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3.xml" ContentType="application/vnd.openxmlformats-officedocument.wordprocessingml.footer+xml"/>
  <Override PartName="/word/footer47.xml" ContentType="application/vnd.openxmlformats-officedocument.wordprocessingml.footer+xml"/>
  <Override PartName="/word/header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6.xml" ContentType="application/vnd.openxmlformats-officedocument.wordprocessingml.header+xml"/>
  <Override PartName="/word/footer46.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header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65.xml" ContentType="application/vnd.openxmlformats-officedocument.wordprocessingml.footer+xml"/>
  <Override PartName="/word/header7.xml" ContentType="application/vnd.openxmlformats-officedocument.wordprocessingml.header+xml"/>
  <Override PartName="/word/footer64.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4.xml" ContentType="application/vnd.openxmlformats-officedocument.wordprocessingml.footer+xml"/>
  <Override PartName="/word/footer37.xml" ContentType="application/vnd.openxmlformats-officedocument.wordprocessingml.footer+xml"/>
  <Override PartName="/word/footer3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3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8.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17.xml" ContentType="application/vnd.openxmlformats-officedocument.wordprocessingml.footer+xml"/>
  <Override PartName="/word/footer27.xml" ContentType="application/vnd.openxmlformats-officedocument.wordprocessingml.footer+xml"/>
  <Override PartName="/word/footer25.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oter26.xml" ContentType="application/vnd.openxmlformats-officedocument.wordprocessingml.footer+xml"/>
  <Override PartName="/word/footer20.xml" ContentType="application/vnd.openxmlformats-officedocument.wordprocessingml.footer+xml"/>
  <Override PartName="/word/footer22.xml" ContentType="application/vnd.openxmlformats-officedocument.wordprocessingml.footer+xml"/>
  <Override PartName="/word/footer24.xml" ContentType="application/vnd.openxmlformats-officedocument.wordprocessingml.footer+xml"/>
  <Override PartName="/word/footer21.xml" ContentType="application/vnd.openxmlformats-officedocument.wordprocessingml.footer+xml"/>
  <Override PartName="/word/footer2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61" w:rsidRPr="00B21C63"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Cs w:val="56"/>
          <w:lang w:val="en-GB"/>
        </w:rPr>
      </w:pPr>
    </w:p>
    <w:p w:rsidR="006D2061" w:rsidRPr="00B21C63"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Cs w:val="56"/>
          <w:lang w:val="en-GB"/>
        </w:rPr>
      </w:pPr>
    </w:p>
    <w:p w:rsidR="006D2061" w:rsidRPr="00B21C63"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Cs w:val="56"/>
          <w:lang w:val="en-GB"/>
        </w:rPr>
      </w:pPr>
    </w:p>
    <w:p w:rsidR="006D2061" w:rsidRPr="00B21C63"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Cs w:val="56"/>
          <w:lang w:val="en-GB"/>
        </w:rPr>
      </w:pPr>
    </w:p>
    <w:p w:rsidR="006D2061" w:rsidRPr="00707C15"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 w:val="56"/>
          <w:szCs w:val="56"/>
          <w:lang w:val="en-GB"/>
        </w:rPr>
      </w:pPr>
      <w:r w:rsidRPr="00707C15">
        <w:rPr>
          <w:rFonts w:cs="Times New Roman" w:hint="eastAsia"/>
          <w:b/>
          <w:kern w:val="0"/>
          <w:sz w:val="56"/>
          <w:szCs w:val="56"/>
          <w:lang w:val="en-GB"/>
        </w:rPr>
        <w:t>中華人民共和國</w:t>
      </w:r>
      <w:r w:rsidRPr="00707C15">
        <w:rPr>
          <w:rFonts w:cs="Times New Roman"/>
          <w:b/>
          <w:kern w:val="0"/>
          <w:sz w:val="56"/>
          <w:szCs w:val="56"/>
          <w:lang w:val="en-GB"/>
        </w:rPr>
        <w:t>香港特別行政區</w:t>
      </w:r>
      <w:r w:rsidRPr="00707C15">
        <w:rPr>
          <w:rFonts w:cs="Times New Roman" w:hint="eastAsia"/>
          <w:b/>
          <w:kern w:val="0"/>
          <w:sz w:val="56"/>
          <w:szCs w:val="56"/>
          <w:lang w:val="en-GB"/>
        </w:rPr>
        <w:t>根據</w:t>
      </w:r>
    </w:p>
    <w:p w:rsidR="006D2061" w:rsidRPr="00707C15"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 w:val="56"/>
          <w:szCs w:val="56"/>
          <w:lang w:val="en-GB"/>
        </w:rPr>
      </w:pPr>
    </w:p>
    <w:p w:rsidR="006D2061" w:rsidRPr="00707C15" w:rsidRDefault="006D2061" w:rsidP="007F7E98">
      <w:pPr>
        <w:widowControl/>
        <w:overflowPunct w:val="0"/>
        <w:autoSpaceDE w:val="0"/>
        <w:autoSpaceDN w:val="0"/>
        <w:adjustRightInd w:val="0"/>
        <w:snapToGrid w:val="0"/>
        <w:spacing w:line="400" w:lineRule="atLeast"/>
        <w:ind w:left="-360" w:right="-334"/>
        <w:jc w:val="center"/>
        <w:textAlignment w:val="baseline"/>
        <w:rPr>
          <w:rFonts w:cs="Times New Roman"/>
          <w:b/>
          <w:kern w:val="0"/>
          <w:sz w:val="56"/>
          <w:szCs w:val="56"/>
          <w:lang w:val="en-GB"/>
        </w:rPr>
      </w:pPr>
      <w:r w:rsidRPr="00707C15">
        <w:rPr>
          <w:rFonts w:cs="Times New Roman"/>
          <w:b/>
          <w:kern w:val="0"/>
          <w:sz w:val="56"/>
          <w:szCs w:val="56"/>
          <w:lang w:val="en-GB"/>
        </w:rPr>
        <w:t>《</w:t>
      </w:r>
      <w:r w:rsidRPr="00707C15">
        <w:rPr>
          <w:rFonts w:cs="Times New Roman" w:hint="eastAsia"/>
          <w:b/>
          <w:kern w:val="0"/>
          <w:sz w:val="56"/>
          <w:szCs w:val="56"/>
          <w:lang w:val="en-GB"/>
        </w:rPr>
        <w:t>經濟、社會</w:t>
      </w:r>
      <w:r w:rsidRPr="00707C15">
        <w:rPr>
          <w:rFonts w:cs="Times New Roman" w:hint="eastAsia"/>
          <w:b/>
          <w:kern w:val="0"/>
          <w:sz w:val="56"/>
          <w:szCs w:val="56"/>
          <w:lang w:val="en-GB" w:eastAsia="zh-HK"/>
        </w:rPr>
        <w:t>及</w:t>
      </w:r>
      <w:r w:rsidRPr="00707C15">
        <w:rPr>
          <w:rFonts w:cs="Times New Roman" w:hint="eastAsia"/>
          <w:b/>
          <w:kern w:val="0"/>
          <w:sz w:val="56"/>
          <w:szCs w:val="56"/>
          <w:lang w:val="en-GB"/>
        </w:rPr>
        <w:t>文化權利國際公約</w:t>
      </w:r>
      <w:r w:rsidRPr="00707C15">
        <w:rPr>
          <w:rFonts w:cs="Times New Roman"/>
          <w:b/>
          <w:kern w:val="0"/>
          <w:sz w:val="56"/>
          <w:szCs w:val="56"/>
          <w:lang w:val="en-GB"/>
        </w:rPr>
        <w:t>》</w:t>
      </w:r>
    </w:p>
    <w:p w:rsidR="006D2061" w:rsidRPr="00707C15"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 w:val="56"/>
          <w:szCs w:val="56"/>
          <w:lang w:val="en-GB"/>
        </w:rPr>
      </w:pPr>
    </w:p>
    <w:p w:rsidR="006D2061" w:rsidRPr="00B21C63" w:rsidRDefault="006D2061" w:rsidP="007F7E98">
      <w:pPr>
        <w:widowControl/>
        <w:overflowPunct w:val="0"/>
        <w:autoSpaceDE w:val="0"/>
        <w:autoSpaceDN w:val="0"/>
        <w:adjustRightInd w:val="0"/>
        <w:snapToGrid w:val="0"/>
        <w:spacing w:line="400" w:lineRule="atLeast"/>
        <w:jc w:val="center"/>
        <w:textAlignment w:val="baseline"/>
        <w:rPr>
          <w:rFonts w:cs="Times New Roman"/>
          <w:b/>
          <w:kern w:val="0"/>
          <w:sz w:val="56"/>
          <w:szCs w:val="56"/>
          <w:lang w:val="en-GB"/>
        </w:rPr>
      </w:pPr>
      <w:r w:rsidRPr="00707C15">
        <w:rPr>
          <w:rFonts w:cs="Times New Roman"/>
          <w:b/>
          <w:kern w:val="0"/>
          <w:sz w:val="56"/>
          <w:szCs w:val="56"/>
          <w:lang w:val="en-GB"/>
        </w:rPr>
        <w:t>提交的第</w:t>
      </w:r>
      <w:r w:rsidRPr="00707C15">
        <w:rPr>
          <w:rFonts w:cs="Times New Roman" w:hint="eastAsia"/>
          <w:b/>
          <w:kern w:val="0"/>
          <w:sz w:val="56"/>
          <w:szCs w:val="56"/>
          <w:lang w:val="en-GB" w:eastAsia="zh-HK"/>
        </w:rPr>
        <w:t>四</w:t>
      </w:r>
      <w:r w:rsidRPr="00707C15">
        <w:rPr>
          <w:rFonts w:cs="Times New Roman"/>
          <w:b/>
          <w:kern w:val="0"/>
          <w:sz w:val="56"/>
          <w:szCs w:val="56"/>
          <w:lang w:val="en-GB"/>
        </w:rPr>
        <w:t>次報告</w:t>
      </w:r>
    </w:p>
    <w:p w:rsidR="00CE7180" w:rsidRDefault="00CE7180"/>
    <w:p w:rsidR="00CE7180" w:rsidRDefault="006D2061">
      <w:pPr>
        <w:widowControl/>
        <w:rPr>
          <w:b/>
        </w:rPr>
        <w:sectPr w:rsidR="00CE7180" w:rsidSect="006D2061">
          <w:footerReference w:type="even" r:id="rId8"/>
          <w:pgSz w:w="11906" w:h="16838"/>
          <w:pgMar w:top="1440" w:right="1800" w:bottom="1440" w:left="1800" w:header="720" w:footer="720" w:gutter="0"/>
          <w:cols w:space="425"/>
          <w:docGrid w:type="lines" w:linePitch="381"/>
        </w:sectPr>
      </w:pPr>
      <w:r w:rsidRPr="006D2061">
        <w:rPr>
          <w:b/>
        </w:rPr>
        <w:br w:type="page"/>
      </w:r>
    </w:p>
    <w:p w:rsidR="006D2061" w:rsidRPr="00816A2B" w:rsidRDefault="006D2061" w:rsidP="007F7E98">
      <w:pPr>
        <w:snapToGrid w:val="0"/>
        <w:spacing w:line="400" w:lineRule="atLeast"/>
        <w:jc w:val="center"/>
        <w:rPr>
          <w:b/>
          <w:u w:val="single"/>
        </w:rPr>
      </w:pPr>
      <w:r w:rsidRPr="00816A2B">
        <w:rPr>
          <w:rFonts w:hint="eastAsia"/>
          <w:b/>
          <w:u w:val="single"/>
        </w:rPr>
        <w:lastRenderedPageBreak/>
        <w:t>目錄</w:t>
      </w:r>
    </w:p>
    <w:p w:rsidR="006D2061" w:rsidRPr="00816A2B" w:rsidRDefault="006D2061" w:rsidP="007F7E98">
      <w:pPr>
        <w:snapToGrid w:val="0"/>
        <w:spacing w:line="400" w:lineRule="atLeast"/>
        <w:jc w:val="center"/>
        <w:rPr>
          <w:b/>
          <w:u w:val="single"/>
        </w:rPr>
      </w:pPr>
    </w:p>
    <w:tbl>
      <w:tblPr>
        <w:tblW w:w="0" w:type="auto"/>
        <w:tblCellMar>
          <w:left w:w="72" w:type="dxa"/>
          <w:right w:w="72" w:type="dxa"/>
        </w:tblCellMar>
        <w:tblLook w:val="01E0" w:firstRow="1" w:lastRow="1" w:firstColumn="1" w:lastColumn="1" w:noHBand="0" w:noVBand="0"/>
      </w:tblPr>
      <w:tblGrid>
        <w:gridCol w:w="8306"/>
      </w:tblGrid>
      <w:tr w:rsidR="006D2061" w:rsidRPr="00816A2B" w:rsidTr="007F7E98">
        <w:tc>
          <w:tcPr>
            <w:tcW w:w="9085" w:type="dxa"/>
          </w:tcPr>
          <w:p w:rsidR="006D2061" w:rsidRPr="00816A2B" w:rsidRDefault="006D2061" w:rsidP="007F7E98">
            <w:pPr>
              <w:snapToGrid w:val="0"/>
              <w:spacing w:line="400" w:lineRule="atLeast"/>
              <w:jc w:val="both"/>
              <w:rPr>
                <w:b/>
              </w:rPr>
            </w:pPr>
            <w:r w:rsidRPr="00816A2B">
              <w:rPr>
                <w:rFonts w:hint="eastAsia"/>
                <w:b/>
                <w:szCs w:val="28"/>
              </w:rPr>
              <w:t>中華人民共和國</w:t>
            </w:r>
            <w:r w:rsidRPr="00816A2B">
              <w:rPr>
                <w:b/>
                <w:szCs w:val="28"/>
              </w:rPr>
              <w:t>香港特別行政區</w:t>
            </w:r>
            <w:r w:rsidRPr="00816A2B">
              <w:rPr>
                <w:rFonts w:hint="eastAsia"/>
                <w:b/>
                <w:szCs w:val="28"/>
              </w:rPr>
              <w:t>根據</w:t>
            </w:r>
            <w:r w:rsidRPr="00816A2B">
              <w:rPr>
                <w:b/>
                <w:szCs w:val="28"/>
              </w:rPr>
              <w:t>《經濟、社會</w:t>
            </w:r>
            <w:r w:rsidRPr="00816A2B">
              <w:rPr>
                <w:rFonts w:hint="eastAsia"/>
                <w:b/>
                <w:szCs w:val="28"/>
                <w:lang w:eastAsia="zh-HK"/>
              </w:rPr>
              <w:t>及</w:t>
            </w:r>
            <w:r w:rsidRPr="00816A2B">
              <w:rPr>
                <w:b/>
                <w:szCs w:val="28"/>
              </w:rPr>
              <w:t>文化權利國際公約》提交的第</w:t>
            </w:r>
            <w:r w:rsidRPr="00816A2B">
              <w:rPr>
                <w:rFonts w:hint="eastAsia"/>
                <w:b/>
                <w:szCs w:val="28"/>
                <w:lang w:eastAsia="zh-HK"/>
              </w:rPr>
              <w:t>四</w:t>
            </w:r>
            <w:r w:rsidRPr="00816A2B">
              <w:rPr>
                <w:b/>
                <w:szCs w:val="28"/>
              </w:rPr>
              <w:t>次報告</w:t>
            </w:r>
          </w:p>
        </w:tc>
      </w:tr>
    </w:tbl>
    <w:p w:rsidR="006D2061" w:rsidRPr="00816A2B" w:rsidRDefault="006D2061" w:rsidP="007F7E98">
      <w:pPr>
        <w:snapToGrid w:val="0"/>
        <w:spacing w:line="400" w:lineRule="atLeast"/>
      </w:pPr>
    </w:p>
    <w:tbl>
      <w:tblPr>
        <w:tblW w:w="0" w:type="auto"/>
        <w:tblCellMar>
          <w:left w:w="72" w:type="dxa"/>
          <w:right w:w="72" w:type="dxa"/>
        </w:tblCellMar>
        <w:tblLook w:val="01E0" w:firstRow="1" w:lastRow="1" w:firstColumn="1" w:lastColumn="1" w:noHBand="0" w:noVBand="0"/>
      </w:tblPr>
      <w:tblGrid>
        <w:gridCol w:w="1530"/>
        <w:gridCol w:w="5670"/>
        <w:gridCol w:w="1106"/>
      </w:tblGrid>
      <w:tr w:rsidR="006D2061" w:rsidRPr="00816A2B" w:rsidTr="00646108">
        <w:trPr>
          <w:tblHeader/>
        </w:trPr>
        <w:tc>
          <w:tcPr>
            <w:tcW w:w="7200" w:type="dxa"/>
            <w:gridSpan w:val="2"/>
          </w:tcPr>
          <w:p w:rsidR="006D2061" w:rsidRPr="00816A2B" w:rsidRDefault="006D2061" w:rsidP="007F7E98">
            <w:pPr>
              <w:snapToGrid w:val="0"/>
              <w:spacing w:line="360" w:lineRule="atLeast"/>
              <w:rPr>
                <w:b/>
                <w:u w:val="single"/>
              </w:rPr>
            </w:pPr>
          </w:p>
        </w:tc>
        <w:tc>
          <w:tcPr>
            <w:tcW w:w="1106" w:type="dxa"/>
          </w:tcPr>
          <w:p w:rsidR="006D2061" w:rsidRPr="00816A2B" w:rsidRDefault="006D2061" w:rsidP="007F7E98">
            <w:pPr>
              <w:snapToGrid w:val="0"/>
              <w:spacing w:line="400" w:lineRule="atLeast"/>
              <w:jc w:val="right"/>
              <w:rPr>
                <w:u w:val="single"/>
              </w:rPr>
            </w:pPr>
            <w:r w:rsidRPr="00816A2B">
              <w:rPr>
                <w:rFonts w:hint="eastAsia"/>
                <w:u w:val="single"/>
              </w:rPr>
              <w:t>段數</w:t>
            </w:r>
          </w:p>
          <w:p w:rsidR="006D2061" w:rsidRPr="00816A2B" w:rsidRDefault="006D2061" w:rsidP="007F7E98">
            <w:pPr>
              <w:snapToGrid w:val="0"/>
              <w:spacing w:line="400" w:lineRule="atLeast"/>
              <w:jc w:val="right"/>
              <w:rPr>
                <w:u w:val="single"/>
              </w:rPr>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序言</w:t>
            </w:r>
          </w:p>
        </w:tc>
        <w:tc>
          <w:tcPr>
            <w:tcW w:w="5670" w:type="dxa"/>
          </w:tcPr>
          <w:p w:rsidR="006D2061" w:rsidRPr="00816A2B" w:rsidRDefault="006D2061" w:rsidP="00646108">
            <w:pPr>
              <w:snapToGrid w:val="0"/>
              <w:spacing w:line="400" w:lineRule="atLeast"/>
              <w:jc w:val="both"/>
              <w:rPr>
                <w:u w:val="single"/>
              </w:rPr>
            </w:pPr>
          </w:p>
        </w:tc>
        <w:tc>
          <w:tcPr>
            <w:tcW w:w="1106" w:type="dxa"/>
          </w:tcPr>
          <w:p w:rsidR="006D2061" w:rsidRPr="00816A2B" w:rsidRDefault="006D2061" w:rsidP="007F7E98">
            <w:pPr>
              <w:snapToGrid w:val="0"/>
              <w:spacing w:line="400" w:lineRule="atLeast"/>
              <w:jc w:val="right"/>
            </w:pPr>
            <w:r w:rsidRPr="00816A2B">
              <w:rPr>
                <w:rFonts w:hint="eastAsia"/>
              </w:rPr>
              <w:t>1</w:t>
            </w:r>
          </w:p>
        </w:tc>
      </w:tr>
      <w:tr w:rsidR="006D2061" w:rsidRPr="00816A2B" w:rsidTr="00646108">
        <w:trPr>
          <w:tblHeader/>
        </w:trPr>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rPr>
                <w:u w:val="single"/>
              </w:rPr>
            </w:pPr>
          </w:p>
        </w:tc>
        <w:tc>
          <w:tcPr>
            <w:tcW w:w="1106" w:type="dxa"/>
          </w:tcPr>
          <w:p w:rsidR="006D2061" w:rsidRPr="00816A2B" w:rsidRDefault="006D2061" w:rsidP="007F7E98">
            <w:pPr>
              <w:snapToGrid w:val="0"/>
              <w:spacing w:line="400" w:lineRule="atLeast"/>
              <w:jc w:val="right"/>
              <w:rPr>
                <w:u w:val="single"/>
              </w:rPr>
            </w:pPr>
          </w:p>
        </w:tc>
      </w:tr>
      <w:tr w:rsidR="006D2061" w:rsidRPr="00816A2B" w:rsidTr="00646108">
        <w:tc>
          <w:tcPr>
            <w:tcW w:w="1530" w:type="dxa"/>
          </w:tcPr>
          <w:p w:rsidR="006D2061" w:rsidRPr="00816A2B" w:rsidRDefault="006D2061" w:rsidP="007F7E98">
            <w:pPr>
              <w:keepNext/>
              <w:snapToGrid w:val="0"/>
              <w:spacing w:line="400" w:lineRule="atLeast"/>
              <w:rPr>
                <w:rFonts w:cs="New Gulim"/>
                <w:b/>
              </w:rPr>
            </w:pPr>
            <w:r w:rsidRPr="00816A2B">
              <w:rPr>
                <w:rFonts w:hint="eastAsia"/>
                <w:b/>
              </w:rPr>
              <w:t>第一條</w:t>
            </w:r>
          </w:p>
        </w:tc>
        <w:tc>
          <w:tcPr>
            <w:tcW w:w="5670" w:type="dxa"/>
          </w:tcPr>
          <w:p w:rsidR="006D2061" w:rsidRPr="00816A2B" w:rsidRDefault="006D2061" w:rsidP="00646108">
            <w:pPr>
              <w:keepNext/>
              <w:snapToGrid w:val="0"/>
              <w:spacing w:line="400" w:lineRule="atLeast"/>
              <w:jc w:val="both"/>
              <w:rPr>
                <w:b/>
              </w:rPr>
            </w:pPr>
            <w:r w:rsidRPr="00816A2B">
              <w:rPr>
                <w:rFonts w:hint="eastAsia"/>
                <w:b/>
                <w:noProof/>
              </w:rPr>
              <w:t>民主發展進程</w:t>
            </w:r>
          </w:p>
        </w:tc>
        <w:tc>
          <w:tcPr>
            <w:tcW w:w="1106" w:type="dxa"/>
          </w:tcPr>
          <w:p w:rsidR="006D2061" w:rsidRPr="00816A2B" w:rsidRDefault="006D2061" w:rsidP="007F7E98">
            <w:pPr>
              <w:keepNext/>
              <w:snapToGrid w:val="0"/>
              <w:spacing w:line="400" w:lineRule="atLeast"/>
              <w:jc w:val="right"/>
            </w:pPr>
            <w:r w:rsidRPr="00816A2B">
              <w:rPr>
                <w:rFonts w:hint="eastAsia"/>
              </w:rPr>
              <w:t>1.1</w:t>
            </w:r>
          </w:p>
        </w:tc>
      </w:tr>
      <w:tr w:rsidR="006D2061" w:rsidRPr="00816A2B" w:rsidTr="00646108">
        <w:tc>
          <w:tcPr>
            <w:tcW w:w="1530" w:type="dxa"/>
          </w:tcPr>
          <w:p w:rsidR="006D2061" w:rsidRPr="00816A2B" w:rsidRDefault="006D2061" w:rsidP="007F7E98">
            <w:pPr>
              <w:keepNext/>
              <w:snapToGrid w:val="0"/>
              <w:spacing w:line="400" w:lineRule="atLeast"/>
              <w:rPr>
                <w:b/>
              </w:rPr>
            </w:pPr>
          </w:p>
        </w:tc>
        <w:tc>
          <w:tcPr>
            <w:tcW w:w="5670" w:type="dxa"/>
          </w:tcPr>
          <w:p w:rsidR="006D2061" w:rsidRPr="00816A2B" w:rsidRDefault="006D2061" w:rsidP="00646108">
            <w:pPr>
              <w:keepNext/>
              <w:snapToGrid w:val="0"/>
              <w:spacing w:line="400" w:lineRule="atLeast"/>
              <w:jc w:val="both"/>
            </w:pPr>
          </w:p>
        </w:tc>
        <w:tc>
          <w:tcPr>
            <w:tcW w:w="1106" w:type="dxa"/>
          </w:tcPr>
          <w:p w:rsidR="006D2061" w:rsidRPr="00816A2B" w:rsidRDefault="006D2061" w:rsidP="007F7E98">
            <w:pPr>
              <w:keepNext/>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第二條</w:t>
            </w:r>
          </w:p>
        </w:tc>
        <w:tc>
          <w:tcPr>
            <w:tcW w:w="5670" w:type="dxa"/>
          </w:tcPr>
          <w:p w:rsidR="006D2061" w:rsidRPr="00816A2B" w:rsidRDefault="006D2061" w:rsidP="00646108">
            <w:pPr>
              <w:snapToGrid w:val="0"/>
              <w:spacing w:line="400" w:lineRule="atLeast"/>
              <w:jc w:val="both"/>
              <w:rPr>
                <w:b/>
              </w:rPr>
            </w:pPr>
            <w:r w:rsidRPr="00816A2B">
              <w:rPr>
                <w:b/>
                <w:szCs w:val="28"/>
              </w:rPr>
              <w:t>逐步實現公約所承認的權利及行使有關權利時不會受到歧視</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rPr>
              <w:t>《公約》在境內的適用</w:t>
            </w:r>
          </w:p>
        </w:tc>
        <w:tc>
          <w:tcPr>
            <w:tcW w:w="1106" w:type="dxa"/>
          </w:tcPr>
          <w:p w:rsidR="006D2061" w:rsidRPr="00816A2B" w:rsidRDefault="006D2061" w:rsidP="007F7E98">
            <w:pPr>
              <w:snapToGrid w:val="0"/>
              <w:spacing w:line="400" w:lineRule="atLeast"/>
              <w:jc w:val="right"/>
            </w:pPr>
            <w:r w:rsidRPr="00816A2B">
              <w:rPr>
                <w:rFonts w:hint="eastAsia"/>
              </w:rPr>
              <w:t>2.1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rPr>
              <w:t>歧視條例檢討</w:t>
            </w:r>
          </w:p>
        </w:tc>
        <w:tc>
          <w:tcPr>
            <w:tcW w:w="1106" w:type="dxa"/>
          </w:tcPr>
          <w:p w:rsidR="006D2061" w:rsidRPr="00816A2B" w:rsidRDefault="006D2061" w:rsidP="007F7E98">
            <w:pPr>
              <w:snapToGrid w:val="0"/>
              <w:spacing w:line="400" w:lineRule="atLeast"/>
              <w:jc w:val="right"/>
            </w:pPr>
            <w:r w:rsidRPr="00816A2B">
              <w:rPr>
                <w:rFonts w:hint="eastAsia"/>
              </w:rPr>
              <w:t>2.5</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t>立法禁止種族歧視</w:t>
            </w:r>
          </w:p>
        </w:tc>
        <w:tc>
          <w:tcPr>
            <w:tcW w:w="1106" w:type="dxa"/>
          </w:tcPr>
          <w:p w:rsidR="006D2061" w:rsidRPr="00816A2B" w:rsidRDefault="006D2061" w:rsidP="007F7E98">
            <w:pPr>
              <w:snapToGrid w:val="0"/>
              <w:spacing w:line="400" w:lineRule="atLeast"/>
              <w:jc w:val="right"/>
            </w:pPr>
            <w:r w:rsidRPr="00816A2B">
              <w:rPr>
                <w:rFonts w:hint="eastAsia"/>
              </w:rPr>
              <w:t>2.7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性傾向及性別認同歧視</w:t>
            </w:r>
          </w:p>
        </w:tc>
        <w:tc>
          <w:tcPr>
            <w:tcW w:w="1106" w:type="dxa"/>
          </w:tcPr>
          <w:p w:rsidR="006D2061" w:rsidRPr="00816A2B" w:rsidRDefault="006D2061" w:rsidP="007F7E98">
            <w:pPr>
              <w:snapToGrid w:val="0"/>
              <w:spacing w:line="400" w:lineRule="atLeast"/>
              <w:jc w:val="right"/>
            </w:pPr>
            <w:r w:rsidRPr="00816A2B">
              <w:rPr>
                <w:rFonts w:hint="eastAsia"/>
              </w:rPr>
              <w:t>2.10</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消除就業方面的年齡歧視</w:t>
            </w:r>
          </w:p>
        </w:tc>
        <w:tc>
          <w:tcPr>
            <w:tcW w:w="1106" w:type="dxa"/>
          </w:tcPr>
          <w:p w:rsidR="006D2061" w:rsidRPr="00816A2B" w:rsidRDefault="006D2061" w:rsidP="007F7E98">
            <w:pPr>
              <w:tabs>
                <w:tab w:val="left" w:pos="480"/>
              </w:tabs>
              <w:snapToGrid w:val="0"/>
              <w:spacing w:line="400" w:lineRule="atLeast"/>
              <w:jc w:val="right"/>
            </w:pPr>
            <w:r w:rsidRPr="00816A2B">
              <w:rPr>
                <w:rFonts w:hint="eastAsia"/>
              </w:rPr>
              <w:t>2.16</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保護殘疾人士</w:t>
            </w:r>
          </w:p>
        </w:tc>
        <w:tc>
          <w:tcPr>
            <w:tcW w:w="1106" w:type="dxa"/>
          </w:tcPr>
          <w:p w:rsidR="006D2061" w:rsidRPr="00816A2B" w:rsidRDefault="006D2061" w:rsidP="007F7E98">
            <w:pPr>
              <w:tabs>
                <w:tab w:val="left" w:pos="480"/>
              </w:tabs>
              <w:snapToGrid w:val="0"/>
              <w:spacing w:line="400" w:lineRule="atLeast"/>
              <w:jc w:val="right"/>
            </w:pPr>
            <w:r w:rsidRPr="00816A2B">
              <w:rPr>
                <w:rFonts w:hint="eastAsia"/>
              </w:rPr>
              <w:t>2.17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免遣返聲請</w:t>
            </w:r>
          </w:p>
        </w:tc>
        <w:tc>
          <w:tcPr>
            <w:tcW w:w="1106" w:type="dxa"/>
          </w:tcPr>
          <w:p w:rsidR="006D2061" w:rsidRPr="00816A2B" w:rsidRDefault="006D2061" w:rsidP="007F7E98">
            <w:pPr>
              <w:tabs>
                <w:tab w:val="left" w:pos="480"/>
              </w:tabs>
              <w:snapToGrid w:val="0"/>
              <w:spacing w:line="400" w:lineRule="atLeast"/>
              <w:jc w:val="right"/>
            </w:pPr>
            <w:r w:rsidRPr="00816A2B">
              <w:rPr>
                <w:rFonts w:hint="eastAsia"/>
              </w:rPr>
              <w:t>2.19</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人權機構</w:t>
            </w:r>
          </w:p>
        </w:tc>
        <w:tc>
          <w:tcPr>
            <w:tcW w:w="1106" w:type="dxa"/>
          </w:tcPr>
          <w:p w:rsidR="006D2061" w:rsidRPr="00816A2B" w:rsidRDefault="006D2061" w:rsidP="007F7E98">
            <w:pPr>
              <w:tabs>
                <w:tab w:val="left" w:pos="480"/>
              </w:tabs>
              <w:snapToGrid w:val="0"/>
              <w:spacing w:line="400" w:lineRule="atLeast"/>
              <w:jc w:val="right"/>
            </w:pPr>
            <w:r w:rsidRPr="00816A2B">
              <w:rPr>
                <w:rFonts w:hint="eastAsia"/>
              </w:rPr>
              <w:t>2.24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第三條</w:t>
            </w:r>
          </w:p>
        </w:tc>
        <w:tc>
          <w:tcPr>
            <w:tcW w:w="5670" w:type="dxa"/>
          </w:tcPr>
          <w:p w:rsidR="006D2061" w:rsidRPr="00816A2B" w:rsidRDefault="006D2061" w:rsidP="00646108">
            <w:pPr>
              <w:snapToGrid w:val="0"/>
              <w:spacing w:line="400" w:lineRule="atLeast"/>
              <w:jc w:val="both"/>
              <w:rPr>
                <w:b/>
              </w:rPr>
            </w:pPr>
            <w:r w:rsidRPr="00816A2B">
              <w:rPr>
                <w:b/>
                <w:szCs w:val="28"/>
              </w:rPr>
              <w:t>男女享有平等權利</w:t>
            </w:r>
          </w:p>
        </w:tc>
        <w:tc>
          <w:tcPr>
            <w:tcW w:w="1106" w:type="dxa"/>
          </w:tcPr>
          <w:p w:rsidR="006D2061" w:rsidRPr="00816A2B" w:rsidRDefault="006D2061" w:rsidP="007F7E98">
            <w:pPr>
              <w:snapToGrid w:val="0"/>
              <w:spacing w:line="400" w:lineRule="atLeast"/>
              <w:jc w:val="right"/>
              <w:rPr>
                <w:b/>
              </w:rPr>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ind w:left="412" w:hangingChars="147" w:hanging="412"/>
              <w:jc w:val="both"/>
            </w:pPr>
            <w:r w:rsidRPr="00816A2B">
              <w:rPr>
                <w:szCs w:val="28"/>
              </w:rPr>
              <w:t>《消除對婦女一切形式歧視公約》及婦女事務委員會</w:t>
            </w:r>
          </w:p>
        </w:tc>
        <w:tc>
          <w:tcPr>
            <w:tcW w:w="1106" w:type="dxa"/>
          </w:tcPr>
          <w:p w:rsidR="006D2061" w:rsidRPr="00816A2B" w:rsidRDefault="006D2061" w:rsidP="007F7E98">
            <w:pPr>
              <w:snapToGrid w:val="0"/>
              <w:spacing w:line="400" w:lineRule="atLeast"/>
              <w:jc w:val="right"/>
            </w:pPr>
            <w:r w:rsidRPr="00816A2B">
              <w:rPr>
                <w:rFonts w:hint="eastAsia"/>
              </w:rPr>
              <w:t>3.1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rPr>
                <w:szCs w:val="28"/>
              </w:rPr>
            </w:pPr>
            <w:r w:rsidRPr="00816A2B">
              <w:rPr>
                <w:rFonts w:hint="eastAsia"/>
                <w:szCs w:val="28"/>
              </w:rPr>
              <w:t>性別歧視及性騷擾的法律保障</w:t>
            </w:r>
          </w:p>
        </w:tc>
        <w:tc>
          <w:tcPr>
            <w:tcW w:w="1106" w:type="dxa"/>
          </w:tcPr>
          <w:p w:rsidR="006D2061" w:rsidRPr="00816A2B" w:rsidRDefault="006D2061" w:rsidP="007F7E98">
            <w:pPr>
              <w:snapToGrid w:val="0"/>
              <w:spacing w:line="400" w:lineRule="atLeast"/>
              <w:jc w:val="right"/>
            </w:pPr>
            <w:r w:rsidRPr="00816A2B">
              <w:rPr>
                <w:rFonts w:hint="eastAsia"/>
              </w:rPr>
              <w:t>3.4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香港年金計劃</w:t>
            </w:r>
          </w:p>
        </w:tc>
        <w:tc>
          <w:tcPr>
            <w:tcW w:w="1106" w:type="dxa"/>
          </w:tcPr>
          <w:p w:rsidR="006D2061" w:rsidRPr="00816A2B" w:rsidRDefault="006D2061" w:rsidP="007F7E98">
            <w:pPr>
              <w:snapToGrid w:val="0"/>
              <w:spacing w:line="400" w:lineRule="atLeast"/>
              <w:jc w:val="right"/>
            </w:pPr>
            <w:r w:rsidRPr="00816A2B">
              <w:rPr>
                <w:rFonts w:hint="eastAsia"/>
              </w:rPr>
              <w:t>3.6</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小型屋宇政策</w:t>
            </w:r>
          </w:p>
        </w:tc>
        <w:tc>
          <w:tcPr>
            <w:tcW w:w="1106" w:type="dxa"/>
          </w:tcPr>
          <w:p w:rsidR="006D2061" w:rsidRPr="00816A2B" w:rsidRDefault="006D2061" w:rsidP="007F7E98">
            <w:pPr>
              <w:snapToGrid w:val="0"/>
              <w:spacing w:line="400" w:lineRule="atLeast"/>
              <w:jc w:val="right"/>
            </w:pPr>
            <w:r w:rsidRPr="00816A2B">
              <w:rPr>
                <w:rFonts w:hint="eastAsia"/>
              </w:rPr>
              <w:t>3.10</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第四條</w:t>
            </w:r>
          </w:p>
        </w:tc>
        <w:tc>
          <w:tcPr>
            <w:tcW w:w="5670" w:type="dxa"/>
          </w:tcPr>
          <w:p w:rsidR="006D2061" w:rsidRPr="00816A2B" w:rsidRDefault="006D2061" w:rsidP="00646108">
            <w:pPr>
              <w:snapToGrid w:val="0"/>
              <w:spacing w:line="400" w:lineRule="atLeast"/>
              <w:jc w:val="both"/>
              <w:rPr>
                <w:b/>
              </w:rPr>
            </w:pPr>
            <w:r w:rsidRPr="00816A2B">
              <w:rPr>
                <w:b/>
                <w:szCs w:val="28"/>
              </w:rPr>
              <w:t>可對本公約所載權利施加的限制</w:t>
            </w:r>
          </w:p>
        </w:tc>
        <w:tc>
          <w:tcPr>
            <w:tcW w:w="1106" w:type="dxa"/>
          </w:tcPr>
          <w:p w:rsidR="006D2061" w:rsidRPr="00816A2B" w:rsidRDefault="006D2061" w:rsidP="007F7E98">
            <w:pPr>
              <w:snapToGrid w:val="0"/>
              <w:spacing w:line="400" w:lineRule="atLeast"/>
              <w:jc w:val="right"/>
            </w:pPr>
            <w:r w:rsidRPr="00816A2B">
              <w:rPr>
                <w:rFonts w:hint="eastAsia"/>
              </w:rPr>
              <w:t>4.1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第五條</w:t>
            </w:r>
          </w:p>
        </w:tc>
        <w:tc>
          <w:tcPr>
            <w:tcW w:w="5670" w:type="dxa"/>
          </w:tcPr>
          <w:p w:rsidR="006D2061" w:rsidRPr="00816A2B" w:rsidRDefault="006D2061" w:rsidP="00646108">
            <w:pPr>
              <w:snapToGrid w:val="0"/>
              <w:spacing w:line="400" w:lineRule="atLeast"/>
              <w:jc w:val="both"/>
              <w:rPr>
                <w:b/>
              </w:rPr>
            </w:pPr>
            <w:r w:rsidRPr="00816A2B">
              <w:rPr>
                <w:b/>
                <w:szCs w:val="28"/>
              </w:rPr>
              <w:t>禁止破壞公約確認的任何權利和自由</w:t>
            </w:r>
          </w:p>
        </w:tc>
        <w:tc>
          <w:tcPr>
            <w:tcW w:w="1106" w:type="dxa"/>
          </w:tcPr>
          <w:p w:rsidR="006D2061" w:rsidRPr="00816A2B" w:rsidRDefault="006D2061" w:rsidP="007F7E98">
            <w:pPr>
              <w:snapToGrid w:val="0"/>
              <w:spacing w:line="400" w:lineRule="atLeast"/>
              <w:jc w:val="right"/>
            </w:pPr>
            <w:r w:rsidRPr="00816A2B">
              <w:rPr>
                <w:rFonts w:hint="eastAsia"/>
              </w:rPr>
              <w:t>5.1</w:t>
            </w:r>
          </w:p>
        </w:tc>
      </w:tr>
      <w:tr w:rsidR="006D2061" w:rsidRPr="00816A2B" w:rsidTr="00646108">
        <w:tc>
          <w:tcPr>
            <w:tcW w:w="1530" w:type="dxa"/>
          </w:tcPr>
          <w:p w:rsidR="006D2061" w:rsidRPr="00816A2B" w:rsidRDefault="006D2061" w:rsidP="007F7E98">
            <w:pPr>
              <w:snapToGrid w:val="0"/>
              <w:spacing w:line="400" w:lineRule="atLeast"/>
              <w:rPr>
                <w:b/>
              </w:rPr>
            </w:pPr>
          </w:p>
          <w:p w:rsidR="006D2061" w:rsidRPr="00816A2B" w:rsidRDefault="006D2061" w:rsidP="007F7E98">
            <w:pPr>
              <w:snapToGrid w:val="0"/>
              <w:spacing w:line="400" w:lineRule="atLeast"/>
              <w:rPr>
                <w:b/>
              </w:rPr>
            </w:pPr>
          </w:p>
        </w:tc>
        <w:tc>
          <w:tcPr>
            <w:tcW w:w="5670" w:type="dxa"/>
          </w:tcPr>
          <w:p w:rsidR="006D2061" w:rsidRDefault="006D2061" w:rsidP="00646108">
            <w:pPr>
              <w:snapToGrid w:val="0"/>
              <w:spacing w:line="400" w:lineRule="atLeast"/>
              <w:jc w:val="both"/>
              <w:rPr>
                <w:b/>
              </w:rPr>
            </w:pPr>
          </w:p>
          <w:p w:rsidR="006D2061" w:rsidRPr="006D2061" w:rsidRDefault="006D2061" w:rsidP="00646108">
            <w:pPr>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lastRenderedPageBreak/>
              <w:t>第六條</w:t>
            </w:r>
          </w:p>
        </w:tc>
        <w:tc>
          <w:tcPr>
            <w:tcW w:w="5670" w:type="dxa"/>
          </w:tcPr>
          <w:p w:rsidR="006D2061" w:rsidRPr="00816A2B" w:rsidRDefault="006D2061" w:rsidP="00646108">
            <w:pPr>
              <w:keepNext/>
              <w:snapToGrid w:val="0"/>
              <w:spacing w:line="400" w:lineRule="atLeast"/>
              <w:jc w:val="both"/>
              <w:rPr>
                <w:b/>
              </w:rPr>
            </w:pPr>
            <w:r w:rsidRPr="00816A2B">
              <w:rPr>
                <w:b/>
                <w:szCs w:val="28"/>
              </w:rPr>
              <w:t>選擇職業和勞工權利</w:t>
            </w:r>
          </w:p>
        </w:tc>
        <w:tc>
          <w:tcPr>
            <w:tcW w:w="1106" w:type="dxa"/>
          </w:tcPr>
          <w:p w:rsidR="006D2061" w:rsidRPr="00816A2B" w:rsidRDefault="006D2061" w:rsidP="007F7E98">
            <w:pPr>
              <w:keepNext/>
              <w:snapToGrid w:val="0"/>
              <w:spacing w:line="400" w:lineRule="atLeast"/>
              <w:jc w:val="right"/>
            </w:pPr>
            <w:r w:rsidRPr="00816A2B">
              <w:rPr>
                <w:rFonts w:hint="eastAsia"/>
              </w:rPr>
              <w:t>6.1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就業服務</w:t>
            </w:r>
          </w:p>
        </w:tc>
        <w:tc>
          <w:tcPr>
            <w:tcW w:w="1106" w:type="dxa"/>
          </w:tcPr>
          <w:p w:rsidR="006D2061" w:rsidRPr="00816A2B" w:rsidRDefault="006D2061" w:rsidP="007F7E98">
            <w:pPr>
              <w:snapToGrid w:val="0"/>
              <w:spacing w:line="400" w:lineRule="atLeast"/>
              <w:jc w:val="right"/>
            </w:pPr>
            <w:r w:rsidRPr="00816A2B">
              <w:rPr>
                <w:rFonts w:hint="eastAsia"/>
              </w:rPr>
              <w:t>6.2</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青少年就業輔導服務</w:t>
            </w:r>
          </w:p>
        </w:tc>
        <w:tc>
          <w:tcPr>
            <w:tcW w:w="1106" w:type="dxa"/>
          </w:tcPr>
          <w:p w:rsidR="006D2061" w:rsidRPr="00816A2B" w:rsidRDefault="006D2061" w:rsidP="007F7E98">
            <w:pPr>
              <w:snapToGrid w:val="0"/>
              <w:spacing w:line="400" w:lineRule="atLeast"/>
              <w:jc w:val="right"/>
            </w:pPr>
            <w:r w:rsidRPr="00816A2B">
              <w:rPr>
                <w:rFonts w:hint="eastAsia"/>
              </w:rPr>
              <w:t>6.3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職業訓練</w:t>
            </w:r>
          </w:p>
        </w:tc>
        <w:tc>
          <w:tcPr>
            <w:tcW w:w="1106" w:type="dxa"/>
          </w:tcPr>
          <w:p w:rsidR="006D2061" w:rsidRPr="00816A2B" w:rsidRDefault="006D2061" w:rsidP="007F7E98">
            <w:pPr>
              <w:snapToGrid w:val="0"/>
              <w:spacing w:line="400" w:lineRule="atLeast"/>
              <w:jc w:val="right"/>
            </w:pPr>
            <w:r w:rsidRPr="00816A2B">
              <w:rPr>
                <w:rFonts w:hint="eastAsia"/>
              </w:rPr>
              <w:t>6.5</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保障僱員免受無理解僱</w:t>
            </w:r>
          </w:p>
        </w:tc>
        <w:tc>
          <w:tcPr>
            <w:tcW w:w="1106" w:type="dxa"/>
          </w:tcPr>
          <w:p w:rsidR="006D2061" w:rsidRPr="00816A2B" w:rsidRDefault="006D2061" w:rsidP="007F7E98">
            <w:pPr>
              <w:snapToGrid w:val="0"/>
              <w:spacing w:line="400" w:lineRule="atLeast"/>
              <w:jc w:val="right"/>
            </w:pPr>
            <w:r w:rsidRPr="00816A2B">
              <w:rPr>
                <w:rFonts w:hint="eastAsia"/>
              </w:rPr>
              <w:t>6.</w:t>
            </w:r>
            <w:r w:rsidRPr="00816A2B">
              <w:t>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輸入勞工</w:t>
            </w:r>
          </w:p>
        </w:tc>
        <w:tc>
          <w:tcPr>
            <w:tcW w:w="1106" w:type="dxa"/>
          </w:tcPr>
          <w:p w:rsidR="006D2061" w:rsidRPr="00816A2B" w:rsidRDefault="006D2061" w:rsidP="007F7E98">
            <w:pPr>
              <w:wordWrap w:val="0"/>
              <w:snapToGrid w:val="0"/>
              <w:spacing w:line="400" w:lineRule="atLeast"/>
              <w:jc w:val="right"/>
              <w:rPr>
                <w:rFonts w:eastAsia="新細明體"/>
              </w:rPr>
            </w:pPr>
            <w:r w:rsidRPr="00816A2B">
              <w:rPr>
                <w:rFonts w:hint="eastAsia"/>
              </w:rPr>
              <w:t>6.</w:t>
            </w:r>
            <w:r w:rsidRPr="00816A2B">
              <w:t>9</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工作權利：有關歧視的問題</w:t>
            </w:r>
          </w:p>
        </w:tc>
        <w:tc>
          <w:tcPr>
            <w:tcW w:w="1106" w:type="dxa"/>
          </w:tcPr>
          <w:p w:rsidR="006D2061" w:rsidRPr="00816A2B" w:rsidRDefault="006D2061" w:rsidP="007F7E98">
            <w:pPr>
              <w:snapToGrid w:val="0"/>
              <w:spacing w:line="400" w:lineRule="atLeast"/>
              <w:jc w:val="right"/>
            </w:pPr>
            <w:r w:rsidRPr="00816A2B">
              <w:rPr>
                <w:rFonts w:hint="eastAsia"/>
              </w:rPr>
              <w:t>6.</w:t>
            </w:r>
            <w:r w:rsidRPr="00816A2B">
              <w:t>11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第七條</w:t>
            </w:r>
          </w:p>
        </w:tc>
        <w:tc>
          <w:tcPr>
            <w:tcW w:w="5670" w:type="dxa"/>
          </w:tcPr>
          <w:p w:rsidR="006D2061" w:rsidRPr="00816A2B" w:rsidRDefault="006D2061" w:rsidP="00646108">
            <w:pPr>
              <w:snapToGrid w:val="0"/>
              <w:spacing w:line="400" w:lineRule="atLeast"/>
              <w:jc w:val="both"/>
              <w:rPr>
                <w:b/>
              </w:rPr>
            </w:pPr>
            <w:r w:rsidRPr="00816A2B">
              <w:rPr>
                <w:b/>
                <w:szCs w:val="28"/>
              </w:rPr>
              <w:t>享受公平與良好工作條件的權利</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法定最低工資</w:t>
            </w:r>
          </w:p>
        </w:tc>
        <w:tc>
          <w:tcPr>
            <w:tcW w:w="1106" w:type="dxa"/>
          </w:tcPr>
          <w:p w:rsidR="006D2061" w:rsidRPr="00816A2B" w:rsidRDefault="006D2061" w:rsidP="007F7E98">
            <w:pPr>
              <w:snapToGrid w:val="0"/>
              <w:spacing w:line="400" w:lineRule="atLeast"/>
              <w:jc w:val="right"/>
            </w:pPr>
            <w:r w:rsidRPr="00816A2B">
              <w:rPr>
                <w:rFonts w:hint="eastAsia"/>
              </w:rPr>
              <w:t>7.1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roofErr w:type="gramStart"/>
            <w:r w:rsidRPr="00816A2B">
              <w:rPr>
                <w:szCs w:val="28"/>
              </w:rPr>
              <w:t>僱傭</w:t>
            </w:r>
            <w:proofErr w:type="gramEnd"/>
            <w:r w:rsidRPr="00816A2B">
              <w:rPr>
                <w:szCs w:val="28"/>
              </w:rPr>
              <w:t>保障：僱員權益和福利</w:t>
            </w:r>
          </w:p>
        </w:tc>
        <w:tc>
          <w:tcPr>
            <w:tcW w:w="1106" w:type="dxa"/>
          </w:tcPr>
          <w:p w:rsidR="006D2061" w:rsidRPr="00816A2B" w:rsidRDefault="006D2061" w:rsidP="007F7E98">
            <w:pPr>
              <w:snapToGrid w:val="0"/>
              <w:spacing w:line="400" w:lineRule="atLeast"/>
              <w:jc w:val="right"/>
            </w:pPr>
            <w:r w:rsidRPr="00816A2B">
              <w:rPr>
                <w:rFonts w:hint="eastAsia"/>
              </w:rPr>
              <w:t>7.3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外</w:t>
            </w:r>
            <w:r w:rsidRPr="00816A2B">
              <w:rPr>
                <w:rFonts w:hint="eastAsia"/>
                <w:szCs w:val="28"/>
              </w:rPr>
              <w:t>籍家庭</w:t>
            </w:r>
            <w:r w:rsidRPr="00816A2B">
              <w:rPr>
                <w:szCs w:val="28"/>
              </w:rPr>
              <w:t>傭</w:t>
            </w:r>
            <w:r w:rsidRPr="00816A2B">
              <w:rPr>
                <w:rFonts w:hint="eastAsia"/>
                <w:szCs w:val="28"/>
              </w:rPr>
              <w:t>工的保障及支援</w:t>
            </w:r>
          </w:p>
        </w:tc>
        <w:tc>
          <w:tcPr>
            <w:tcW w:w="1106" w:type="dxa"/>
          </w:tcPr>
          <w:p w:rsidR="006D2061" w:rsidRPr="00816A2B" w:rsidRDefault="006D2061" w:rsidP="007F7E98">
            <w:pPr>
              <w:snapToGrid w:val="0"/>
              <w:spacing w:line="400" w:lineRule="atLeast"/>
              <w:jc w:val="right"/>
            </w:pPr>
            <w:r w:rsidRPr="00816A2B">
              <w:rPr>
                <w:rFonts w:hint="eastAsia"/>
              </w:rPr>
              <w:t>7.4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為婦女提供</w:t>
            </w:r>
            <w:proofErr w:type="gramStart"/>
            <w:r w:rsidRPr="00816A2B">
              <w:rPr>
                <w:szCs w:val="28"/>
              </w:rPr>
              <w:t>僱傭</w:t>
            </w:r>
            <w:proofErr w:type="gramEnd"/>
            <w:r w:rsidRPr="00816A2B">
              <w:rPr>
                <w:szCs w:val="28"/>
              </w:rPr>
              <w:t>保障</w:t>
            </w:r>
          </w:p>
        </w:tc>
        <w:tc>
          <w:tcPr>
            <w:tcW w:w="1106" w:type="dxa"/>
          </w:tcPr>
          <w:p w:rsidR="006D2061" w:rsidRPr="00816A2B" w:rsidRDefault="006D2061" w:rsidP="007F7E98">
            <w:pPr>
              <w:snapToGrid w:val="0"/>
              <w:spacing w:line="400" w:lineRule="atLeast"/>
              <w:jc w:val="right"/>
            </w:pPr>
            <w:r w:rsidRPr="00816A2B">
              <w:rPr>
                <w:rFonts w:hint="eastAsia"/>
              </w:rPr>
              <w:t>7.18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rPr>
                <w:szCs w:val="28"/>
              </w:rPr>
            </w:pPr>
            <w:proofErr w:type="gramStart"/>
            <w:r w:rsidRPr="00816A2B">
              <w:rPr>
                <w:rFonts w:hint="eastAsia"/>
              </w:rPr>
              <w:t>侍</w:t>
            </w:r>
            <w:proofErr w:type="gramEnd"/>
            <w:r w:rsidRPr="00816A2B">
              <w:rPr>
                <w:rFonts w:hint="eastAsia"/>
              </w:rPr>
              <w:t>產假</w:t>
            </w:r>
          </w:p>
        </w:tc>
        <w:tc>
          <w:tcPr>
            <w:tcW w:w="1106" w:type="dxa"/>
          </w:tcPr>
          <w:p w:rsidR="006D2061" w:rsidRPr="00816A2B" w:rsidRDefault="006D2061" w:rsidP="007F7E98">
            <w:pPr>
              <w:snapToGrid w:val="0"/>
              <w:spacing w:line="400" w:lineRule="atLeast"/>
              <w:jc w:val="right"/>
            </w:pPr>
            <w:r w:rsidRPr="00816A2B">
              <w:rPr>
                <w:rFonts w:hint="eastAsia"/>
              </w:rPr>
              <w:t>7.20</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安全和健康的工作環境</w:t>
            </w:r>
          </w:p>
        </w:tc>
        <w:tc>
          <w:tcPr>
            <w:tcW w:w="1106" w:type="dxa"/>
          </w:tcPr>
          <w:p w:rsidR="006D2061" w:rsidRPr="00816A2B" w:rsidRDefault="006D2061" w:rsidP="007F7E98">
            <w:pPr>
              <w:snapToGrid w:val="0"/>
              <w:spacing w:line="400" w:lineRule="atLeast"/>
              <w:jc w:val="right"/>
            </w:pPr>
            <w:r w:rsidRPr="00816A2B">
              <w:rPr>
                <w:rFonts w:hint="eastAsia"/>
              </w:rPr>
              <w:t>7.21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t>預防工業意外和職業病：法律保障</w:t>
            </w:r>
          </w:p>
        </w:tc>
        <w:tc>
          <w:tcPr>
            <w:tcW w:w="1106" w:type="dxa"/>
          </w:tcPr>
          <w:p w:rsidR="006D2061" w:rsidRPr="00816A2B" w:rsidRDefault="006D2061" w:rsidP="007F7E98">
            <w:pPr>
              <w:snapToGrid w:val="0"/>
              <w:spacing w:line="400" w:lineRule="atLeast"/>
              <w:jc w:val="right"/>
            </w:pPr>
            <w:r w:rsidRPr="00816A2B">
              <w:rPr>
                <w:rFonts w:hint="eastAsia"/>
              </w:rPr>
              <w:t>7.22</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第八條</w:t>
            </w:r>
          </w:p>
        </w:tc>
        <w:tc>
          <w:tcPr>
            <w:tcW w:w="5670" w:type="dxa"/>
          </w:tcPr>
          <w:p w:rsidR="006D2061" w:rsidRPr="00816A2B" w:rsidRDefault="006D2061" w:rsidP="00646108">
            <w:pPr>
              <w:snapToGrid w:val="0"/>
              <w:spacing w:line="400" w:lineRule="atLeast"/>
              <w:jc w:val="both"/>
              <w:rPr>
                <w:b/>
              </w:rPr>
            </w:pPr>
            <w:r w:rsidRPr="00816A2B">
              <w:rPr>
                <w:b/>
                <w:szCs w:val="28"/>
              </w:rPr>
              <w:t>成為職工會會員的權利</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《職工會條例》</w:t>
            </w:r>
          </w:p>
        </w:tc>
        <w:tc>
          <w:tcPr>
            <w:tcW w:w="1106" w:type="dxa"/>
          </w:tcPr>
          <w:p w:rsidR="006D2061" w:rsidRPr="00816A2B" w:rsidRDefault="006D2061" w:rsidP="007F7E98">
            <w:pPr>
              <w:snapToGrid w:val="0"/>
              <w:spacing w:line="400" w:lineRule="atLeast"/>
              <w:jc w:val="right"/>
            </w:pPr>
            <w:r w:rsidRPr="00816A2B">
              <w:rPr>
                <w:rFonts w:hint="eastAsia"/>
              </w:rPr>
              <w:t>8.1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ind w:left="412" w:hangingChars="147" w:hanging="412"/>
              <w:jc w:val="both"/>
            </w:pPr>
            <w:r w:rsidRPr="00816A2B">
              <w:rPr>
                <w:szCs w:val="28"/>
              </w:rPr>
              <w:t>《僱傭條例》有關</w:t>
            </w:r>
            <w:r w:rsidRPr="00816A2B">
              <w:rPr>
                <w:rFonts w:hint="eastAsia"/>
                <w:szCs w:val="28"/>
              </w:rPr>
              <w:t>參加</w:t>
            </w:r>
            <w:r w:rsidRPr="00816A2B">
              <w:rPr>
                <w:szCs w:val="28"/>
              </w:rPr>
              <w:t>職工會</w:t>
            </w:r>
            <w:r w:rsidRPr="00816A2B">
              <w:rPr>
                <w:rFonts w:hint="eastAsia"/>
                <w:szCs w:val="28"/>
              </w:rPr>
              <w:t>及其活動</w:t>
            </w:r>
            <w:r w:rsidRPr="00816A2B">
              <w:rPr>
                <w:szCs w:val="28"/>
              </w:rPr>
              <w:t>不受歧視的法律保障</w:t>
            </w:r>
          </w:p>
        </w:tc>
        <w:tc>
          <w:tcPr>
            <w:tcW w:w="1106" w:type="dxa"/>
          </w:tcPr>
          <w:p w:rsidR="006D2061" w:rsidRPr="00816A2B" w:rsidRDefault="006D2061" w:rsidP="007F7E98">
            <w:pPr>
              <w:snapToGrid w:val="0"/>
              <w:spacing w:line="400" w:lineRule="atLeast"/>
              <w:jc w:val="right"/>
            </w:pPr>
            <w:r w:rsidRPr="00816A2B">
              <w:rPr>
                <w:rFonts w:hint="eastAsia"/>
              </w:rPr>
              <w:t>8.2</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職工會數目與會員人數</w:t>
            </w:r>
          </w:p>
        </w:tc>
        <w:tc>
          <w:tcPr>
            <w:tcW w:w="1106" w:type="dxa"/>
          </w:tcPr>
          <w:p w:rsidR="006D2061" w:rsidRPr="00816A2B" w:rsidRDefault="006D2061" w:rsidP="007F7E98">
            <w:pPr>
              <w:snapToGrid w:val="0"/>
              <w:spacing w:line="400" w:lineRule="atLeast"/>
              <w:jc w:val="right"/>
            </w:pPr>
            <w:r w:rsidRPr="00816A2B">
              <w:rPr>
                <w:rFonts w:hint="eastAsia"/>
              </w:rPr>
              <w:t>8.3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ind w:left="412" w:hangingChars="147" w:hanging="412"/>
              <w:jc w:val="both"/>
            </w:pPr>
            <w:r w:rsidRPr="00816A2B">
              <w:rPr>
                <w:szCs w:val="28"/>
              </w:rPr>
              <w:t>鼓勵勞資雙方進行有效溝通、諮詢和自願協商</w:t>
            </w:r>
          </w:p>
        </w:tc>
        <w:tc>
          <w:tcPr>
            <w:tcW w:w="1106" w:type="dxa"/>
          </w:tcPr>
          <w:p w:rsidR="006D2061" w:rsidRPr="00816A2B" w:rsidRDefault="006D2061" w:rsidP="007F7E98">
            <w:pPr>
              <w:snapToGrid w:val="0"/>
              <w:spacing w:line="400" w:lineRule="atLeast"/>
              <w:jc w:val="right"/>
            </w:pPr>
            <w:r w:rsidRPr="00816A2B">
              <w:rPr>
                <w:rFonts w:hint="eastAsia"/>
              </w:rPr>
              <w:t>8.4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罷工的權利</w:t>
            </w:r>
          </w:p>
        </w:tc>
        <w:tc>
          <w:tcPr>
            <w:tcW w:w="1106" w:type="dxa"/>
          </w:tcPr>
          <w:p w:rsidR="006D2061" w:rsidRPr="00816A2B" w:rsidRDefault="006D2061" w:rsidP="007F7E98">
            <w:pPr>
              <w:snapToGrid w:val="0"/>
              <w:spacing w:line="400" w:lineRule="atLeast"/>
              <w:jc w:val="right"/>
            </w:pPr>
            <w:r w:rsidRPr="00816A2B">
              <w:rPr>
                <w:rFonts w:hint="eastAsia"/>
              </w:rPr>
              <w:t>8.7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第九條</w:t>
            </w:r>
          </w:p>
        </w:tc>
        <w:tc>
          <w:tcPr>
            <w:tcW w:w="5670" w:type="dxa"/>
          </w:tcPr>
          <w:p w:rsidR="006D2061" w:rsidRPr="00816A2B" w:rsidRDefault="006D2061" w:rsidP="00646108">
            <w:pPr>
              <w:snapToGrid w:val="0"/>
              <w:spacing w:line="400" w:lineRule="atLeast"/>
              <w:jc w:val="both"/>
              <w:rPr>
                <w:b/>
              </w:rPr>
            </w:pPr>
            <w:r w:rsidRPr="00816A2B">
              <w:rPr>
                <w:b/>
                <w:szCs w:val="28"/>
              </w:rPr>
              <w:t>享有社會保障的權利</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香港社會保障制度概</w:t>
            </w:r>
            <w:proofErr w:type="gramStart"/>
            <w:r w:rsidRPr="00816A2B">
              <w:rPr>
                <w:szCs w:val="28"/>
              </w:rPr>
              <w:t>覽</w:t>
            </w:r>
            <w:proofErr w:type="gramEnd"/>
          </w:p>
        </w:tc>
        <w:tc>
          <w:tcPr>
            <w:tcW w:w="1106" w:type="dxa"/>
          </w:tcPr>
          <w:p w:rsidR="006D2061" w:rsidRPr="00816A2B" w:rsidRDefault="006D2061" w:rsidP="007F7E98">
            <w:pPr>
              <w:snapToGrid w:val="0"/>
              <w:spacing w:line="400" w:lineRule="atLeast"/>
              <w:jc w:val="right"/>
            </w:pPr>
            <w:r w:rsidRPr="00816A2B">
              <w:rPr>
                <w:rFonts w:hint="eastAsia"/>
              </w:rPr>
              <w:t>9.1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工資保障及法定權益</w:t>
            </w:r>
          </w:p>
        </w:tc>
        <w:tc>
          <w:tcPr>
            <w:tcW w:w="1106" w:type="dxa"/>
          </w:tcPr>
          <w:p w:rsidR="006D2061" w:rsidRPr="00816A2B" w:rsidRDefault="006D2061" w:rsidP="007F7E98">
            <w:pPr>
              <w:snapToGrid w:val="0"/>
              <w:spacing w:line="400" w:lineRule="atLeast"/>
              <w:jc w:val="right"/>
            </w:pPr>
            <w:r w:rsidRPr="00816A2B">
              <w:rPr>
                <w:rFonts w:hint="eastAsia"/>
              </w:rPr>
              <w:t>9.7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僱員補償</w:t>
            </w:r>
          </w:p>
        </w:tc>
        <w:tc>
          <w:tcPr>
            <w:tcW w:w="1106" w:type="dxa"/>
          </w:tcPr>
          <w:p w:rsidR="006D2061" w:rsidRPr="00816A2B" w:rsidRDefault="006D2061" w:rsidP="007F7E98">
            <w:pPr>
              <w:snapToGrid w:val="0"/>
              <w:spacing w:line="400" w:lineRule="atLeast"/>
              <w:jc w:val="right"/>
            </w:pPr>
            <w:r w:rsidRPr="00816A2B">
              <w:rPr>
                <w:rFonts w:hint="eastAsia"/>
              </w:rPr>
              <w:t>9.8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退休福利及保障</w:t>
            </w:r>
          </w:p>
        </w:tc>
        <w:tc>
          <w:tcPr>
            <w:tcW w:w="1106" w:type="dxa"/>
          </w:tcPr>
          <w:p w:rsidR="006D2061" w:rsidRPr="00816A2B" w:rsidRDefault="006D2061" w:rsidP="007F7E98">
            <w:pPr>
              <w:snapToGrid w:val="0"/>
              <w:spacing w:line="400" w:lineRule="atLeast"/>
              <w:jc w:val="right"/>
            </w:pPr>
            <w:r w:rsidRPr="00816A2B">
              <w:rPr>
                <w:rFonts w:hint="eastAsia"/>
              </w:rPr>
              <w:t>9.10</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Default="006D2061" w:rsidP="00646108">
            <w:pPr>
              <w:snapToGrid w:val="0"/>
              <w:spacing w:line="400" w:lineRule="atLeast"/>
              <w:jc w:val="both"/>
              <w:rPr>
                <w:szCs w:val="28"/>
              </w:rPr>
            </w:pPr>
          </w:p>
          <w:p w:rsidR="00646108" w:rsidRPr="00816A2B" w:rsidRDefault="00646108" w:rsidP="00646108">
            <w:pPr>
              <w:snapToGrid w:val="0"/>
              <w:spacing w:line="400" w:lineRule="atLeast"/>
              <w:jc w:val="both"/>
              <w:rPr>
                <w:szCs w:val="28"/>
              </w:rPr>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lastRenderedPageBreak/>
              <w:t>第十條</w:t>
            </w:r>
          </w:p>
        </w:tc>
        <w:tc>
          <w:tcPr>
            <w:tcW w:w="5670" w:type="dxa"/>
          </w:tcPr>
          <w:p w:rsidR="006D2061" w:rsidRPr="00816A2B" w:rsidRDefault="006D2061" w:rsidP="00646108">
            <w:pPr>
              <w:snapToGrid w:val="0"/>
              <w:spacing w:line="400" w:lineRule="atLeast"/>
              <w:jc w:val="both"/>
              <w:rPr>
                <w:b/>
              </w:rPr>
            </w:pPr>
            <w:r w:rsidRPr="00816A2B">
              <w:rPr>
                <w:b/>
                <w:szCs w:val="28"/>
              </w:rPr>
              <w:t>對家庭的保護</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bCs/>
                <w:szCs w:val="28"/>
              </w:rPr>
              <w:t>家庭</w:t>
            </w:r>
          </w:p>
        </w:tc>
        <w:tc>
          <w:tcPr>
            <w:tcW w:w="1106" w:type="dxa"/>
          </w:tcPr>
          <w:p w:rsidR="006D2061" w:rsidRPr="00816A2B" w:rsidRDefault="006D2061" w:rsidP="007F7E98">
            <w:pPr>
              <w:snapToGrid w:val="0"/>
              <w:spacing w:line="400" w:lineRule="atLeast"/>
              <w:jc w:val="right"/>
            </w:pPr>
            <w:r w:rsidRPr="00816A2B">
              <w:rPr>
                <w:rFonts w:hint="eastAsia"/>
              </w:rPr>
              <w:t>10.1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rPr>
                <w:bCs/>
                <w:szCs w:val="28"/>
              </w:rPr>
            </w:pPr>
            <w:r w:rsidRPr="00816A2B">
              <w:rPr>
                <w:rFonts w:hint="eastAsia"/>
                <w:bCs/>
                <w:szCs w:val="28"/>
              </w:rPr>
              <w:t>家庭議會</w:t>
            </w:r>
          </w:p>
        </w:tc>
        <w:tc>
          <w:tcPr>
            <w:tcW w:w="1106" w:type="dxa"/>
          </w:tcPr>
          <w:p w:rsidR="006D2061" w:rsidRPr="00816A2B" w:rsidRDefault="006D2061" w:rsidP="007F7E98">
            <w:pPr>
              <w:snapToGrid w:val="0"/>
              <w:spacing w:line="400" w:lineRule="atLeast"/>
              <w:jc w:val="right"/>
            </w:pPr>
            <w:r w:rsidRPr="00816A2B">
              <w:rPr>
                <w:rFonts w:hint="eastAsia"/>
              </w:rPr>
              <w:t>10.4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rPr>
                <w:bCs/>
                <w:szCs w:val="28"/>
              </w:rPr>
            </w:pPr>
            <w:r w:rsidRPr="00816A2B">
              <w:rPr>
                <w:rFonts w:hint="eastAsia"/>
                <w:bCs/>
                <w:szCs w:val="28"/>
              </w:rPr>
              <w:t>兒童事務委員會</w:t>
            </w:r>
          </w:p>
        </w:tc>
        <w:tc>
          <w:tcPr>
            <w:tcW w:w="1106" w:type="dxa"/>
          </w:tcPr>
          <w:p w:rsidR="006D2061" w:rsidRPr="00816A2B" w:rsidRDefault="006D2061" w:rsidP="007F7E98">
            <w:pPr>
              <w:snapToGrid w:val="0"/>
              <w:spacing w:line="400" w:lineRule="atLeast"/>
              <w:jc w:val="right"/>
            </w:pPr>
            <w:r w:rsidRPr="00816A2B">
              <w:rPr>
                <w:rFonts w:hint="eastAsia"/>
              </w:rPr>
              <w:t>10.5</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向家庭提供的福利服務</w:t>
            </w:r>
          </w:p>
        </w:tc>
        <w:tc>
          <w:tcPr>
            <w:tcW w:w="1106" w:type="dxa"/>
          </w:tcPr>
          <w:p w:rsidR="006D2061" w:rsidRPr="00816A2B" w:rsidRDefault="006D2061" w:rsidP="007F7E98">
            <w:pPr>
              <w:snapToGrid w:val="0"/>
              <w:spacing w:line="400" w:lineRule="atLeast"/>
              <w:jc w:val="right"/>
            </w:pPr>
            <w:r w:rsidRPr="00816A2B">
              <w:rPr>
                <w:rFonts w:hint="eastAsia"/>
              </w:rPr>
              <w:t>10.6</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生育</w:t>
            </w:r>
            <w:r w:rsidRPr="00816A2B">
              <w:rPr>
                <w:szCs w:val="28"/>
              </w:rPr>
              <w:t>保障</w:t>
            </w:r>
          </w:p>
        </w:tc>
        <w:tc>
          <w:tcPr>
            <w:tcW w:w="1106" w:type="dxa"/>
          </w:tcPr>
          <w:p w:rsidR="006D2061" w:rsidRPr="00816A2B" w:rsidRDefault="006D2061" w:rsidP="007F7E98">
            <w:pPr>
              <w:snapToGrid w:val="0"/>
              <w:spacing w:line="400" w:lineRule="atLeast"/>
              <w:jc w:val="right"/>
            </w:pPr>
            <w:r w:rsidRPr="00816A2B">
              <w:rPr>
                <w:rFonts w:hint="eastAsia"/>
              </w:rPr>
              <w:t>10.7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tabs>
                <w:tab w:val="left" w:pos="372"/>
              </w:tabs>
              <w:snapToGrid w:val="0"/>
              <w:spacing w:line="400" w:lineRule="atLeast"/>
              <w:jc w:val="both"/>
            </w:pPr>
            <w:r w:rsidRPr="00816A2B">
              <w:rPr>
                <w:szCs w:val="28"/>
              </w:rPr>
              <w:t>內地新來港定居人士</w:t>
            </w:r>
          </w:p>
        </w:tc>
        <w:tc>
          <w:tcPr>
            <w:tcW w:w="1106" w:type="dxa"/>
          </w:tcPr>
          <w:p w:rsidR="006D2061" w:rsidRPr="00816A2B" w:rsidRDefault="006D2061" w:rsidP="007F7E98">
            <w:pPr>
              <w:snapToGrid w:val="0"/>
              <w:spacing w:line="400" w:lineRule="atLeast"/>
              <w:jc w:val="right"/>
            </w:pPr>
            <w:r w:rsidRPr="00816A2B">
              <w:rPr>
                <w:rFonts w:hint="eastAsia"/>
              </w:rPr>
              <w:t>10.11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單親家庭及分離家庭</w:t>
            </w:r>
          </w:p>
        </w:tc>
        <w:tc>
          <w:tcPr>
            <w:tcW w:w="1106" w:type="dxa"/>
          </w:tcPr>
          <w:p w:rsidR="006D2061" w:rsidRPr="00816A2B" w:rsidRDefault="006D2061" w:rsidP="007F7E98">
            <w:pPr>
              <w:snapToGrid w:val="0"/>
              <w:spacing w:line="400" w:lineRule="atLeast"/>
              <w:jc w:val="right"/>
            </w:pPr>
            <w:r w:rsidRPr="00816A2B">
              <w:rPr>
                <w:rFonts w:hint="eastAsia"/>
              </w:rPr>
              <w:t>10.12</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家庭暴力</w:t>
            </w:r>
          </w:p>
        </w:tc>
        <w:tc>
          <w:tcPr>
            <w:tcW w:w="1106" w:type="dxa"/>
          </w:tcPr>
          <w:p w:rsidR="006D2061" w:rsidRPr="00816A2B" w:rsidRDefault="006D2061" w:rsidP="007F7E98">
            <w:pPr>
              <w:snapToGrid w:val="0"/>
              <w:spacing w:line="400" w:lineRule="atLeast"/>
              <w:jc w:val="right"/>
            </w:pPr>
            <w:r w:rsidRPr="00816A2B">
              <w:rPr>
                <w:rFonts w:hint="eastAsia"/>
              </w:rPr>
              <w:t>10.18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保護兒童及青少年</w:t>
            </w:r>
          </w:p>
        </w:tc>
        <w:tc>
          <w:tcPr>
            <w:tcW w:w="1106" w:type="dxa"/>
          </w:tcPr>
          <w:p w:rsidR="006D2061" w:rsidRPr="00816A2B" w:rsidRDefault="006D2061" w:rsidP="007F7E98">
            <w:pPr>
              <w:snapToGrid w:val="0"/>
              <w:spacing w:line="400" w:lineRule="atLeast"/>
              <w:jc w:val="right"/>
            </w:pPr>
            <w:r w:rsidRPr="00816A2B">
              <w:rPr>
                <w:rFonts w:hint="eastAsia"/>
              </w:rPr>
              <w:t>10.19</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照顧及支援長者</w:t>
            </w:r>
          </w:p>
        </w:tc>
        <w:tc>
          <w:tcPr>
            <w:tcW w:w="1106" w:type="dxa"/>
          </w:tcPr>
          <w:p w:rsidR="006D2061" w:rsidRPr="00816A2B" w:rsidRDefault="006D2061" w:rsidP="007F7E98">
            <w:pPr>
              <w:snapToGrid w:val="0"/>
              <w:spacing w:line="400" w:lineRule="atLeast"/>
              <w:jc w:val="right"/>
            </w:pPr>
            <w:r w:rsidRPr="00816A2B">
              <w:rPr>
                <w:rFonts w:hint="eastAsia"/>
              </w:rPr>
              <w:t>10.20</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第十一條</w:t>
            </w:r>
          </w:p>
        </w:tc>
        <w:tc>
          <w:tcPr>
            <w:tcW w:w="5670" w:type="dxa"/>
          </w:tcPr>
          <w:p w:rsidR="006D2061" w:rsidRPr="00816A2B" w:rsidRDefault="006D2061" w:rsidP="00646108">
            <w:pPr>
              <w:snapToGrid w:val="0"/>
              <w:spacing w:line="400" w:lineRule="atLeast"/>
              <w:jc w:val="both"/>
              <w:rPr>
                <w:b/>
              </w:rPr>
            </w:pPr>
            <w:r w:rsidRPr="00816A2B">
              <w:rPr>
                <w:b/>
                <w:szCs w:val="28"/>
              </w:rPr>
              <w:t>享受適當生活水平的權利</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bCs/>
                <w:szCs w:val="28"/>
              </w:rPr>
              <w:t>整體經濟狀況</w:t>
            </w:r>
          </w:p>
        </w:tc>
        <w:tc>
          <w:tcPr>
            <w:tcW w:w="1106" w:type="dxa"/>
          </w:tcPr>
          <w:p w:rsidR="006D2061" w:rsidRPr="00816A2B" w:rsidRDefault="006D2061" w:rsidP="007F7E98">
            <w:pPr>
              <w:snapToGrid w:val="0"/>
              <w:spacing w:line="400" w:lineRule="atLeast"/>
              <w:jc w:val="right"/>
            </w:pPr>
            <w:r w:rsidRPr="00816A2B">
              <w:rPr>
                <w:rFonts w:hint="eastAsia"/>
              </w:rPr>
              <w:t>11.1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bCs/>
                <w:szCs w:val="28"/>
              </w:rPr>
              <w:t>不斷改善生活條件的權利</w:t>
            </w:r>
          </w:p>
        </w:tc>
        <w:tc>
          <w:tcPr>
            <w:tcW w:w="1106" w:type="dxa"/>
          </w:tcPr>
          <w:p w:rsidR="006D2061" w:rsidRPr="00816A2B" w:rsidRDefault="006D2061" w:rsidP="007F7E98">
            <w:pPr>
              <w:snapToGrid w:val="0"/>
              <w:spacing w:line="400" w:lineRule="atLeast"/>
              <w:jc w:val="right"/>
            </w:pPr>
            <w:r w:rsidRPr="00816A2B">
              <w:rPr>
                <w:rFonts w:hint="eastAsia"/>
              </w:rPr>
              <w:t>11.3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享有足夠食物、用水及適當住屋的權利</w:t>
            </w:r>
          </w:p>
        </w:tc>
        <w:tc>
          <w:tcPr>
            <w:tcW w:w="1106" w:type="dxa"/>
          </w:tcPr>
          <w:p w:rsidR="006D2061" w:rsidRPr="00816A2B" w:rsidRDefault="006D2061" w:rsidP="007F7E98">
            <w:pPr>
              <w:snapToGrid w:val="0"/>
              <w:spacing w:line="400" w:lineRule="atLeast"/>
              <w:jc w:val="right"/>
            </w:pPr>
            <w:r w:rsidRPr="00816A2B">
              <w:rPr>
                <w:rFonts w:hint="eastAsia"/>
              </w:rPr>
              <w:t>11.10</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第十二條</w:t>
            </w:r>
          </w:p>
        </w:tc>
        <w:tc>
          <w:tcPr>
            <w:tcW w:w="5670" w:type="dxa"/>
          </w:tcPr>
          <w:p w:rsidR="006D2061" w:rsidRPr="00816A2B" w:rsidRDefault="006D2061" w:rsidP="00646108">
            <w:pPr>
              <w:snapToGrid w:val="0"/>
              <w:spacing w:line="400" w:lineRule="atLeast"/>
              <w:jc w:val="both"/>
              <w:rPr>
                <w:b/>
              </w:rPr>
            </w:pPr>
            <w:r w:rsidRPr="00816A2B">
              <w:rPr>
                <w:b/>
                <w:bCs/>
                <w:szCs w:val="28"/>
              </w:rPr>
              <w:t>享有健康的權利</w:t>
            </w: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健康及健康護理</w:t>
            </w:r>
          </w:p>
        </w:tc>
        <w:tc>
          <w:tcPr>
            <w:tcW w:w="1106" w:type="dxa"/>
          </w:tcPr>
          <w:p w:rsidR="006D2061" w:rsidRPr="00816A2B" w:rsidRDefault="006D2061" w:rsidP="007F7E98">
            <w:pPr>
              <w:snapToGrid w:val="0"/>
              <w:spacing w:line="400" w:lineRule="atLeast"/>
              <w:jc w:val="right"/>
            </w:pPr>
            <w:r w:rsidRPr="00816A2B">
              <w:rPr>
                <w:rFonts w:hint="eastAsia"/>
              </w:rPr>
              <w:t>12.1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打擊毒品</w:t>
            </w:r>
          </w:p>
        </w:tc>
        <w:tc>
          <w:tcPr>
            <w:tcW w:w="1106" w:type="dxa"/>
          </w:tcPr>
          <w:p w:rsidR="006D2061" w:rsidRPr="00816A2B" w:rsidRDefault="006D2061" w:rsidP="007F7E98">
            <w:pPr>
              <w:snapToGrid w:val="0"/>
              <w:spacing w:line="400" w:lineRule="atLeast"/>
              <w:jc w:val="right"/>
            </w:pPr>
            <w:r w:rsidRPr="00816A2B">
              <w:rPr>
                <w:rFonts w:hint="eastAsia"/>
              </w:rPr>
              <w:t>12.13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roofErr w:type="gramStart"/>
            <w:r w:rsidRPr="00816A2B">
              <w:rPr>
                <w:szCs w:val="28"/>
              </w:rPr>
              <w:t>控煙</w:t>
            </w:r>
            <w:proofErr w:type="gramEnd"/>
          </w:p>
        </w:tc>
        <w:tc>
          <w:tcPr>
            <w:tcW w:w="1106" w:type="dxa"/>
          </w:tcPr>
          <w:p w:rsidR="006D2061" w:rsidRPr="00816A2B" w:rsidRDefault="006D2061" w:rsidP="007F7E98">
            <w:pPr>
              <w:snapToGrid w:val="0"/>
              <w:spacing w:line="400" w:lineRule="atLeast"/>
              <w:jc w:val="right"/>
            </w:pPr>
            <w:r w:rsidRPr="00816A2B">
              <w:rPr>
                <w:rFonts w:hint="eastAsia"/>
              </w:rPr>
              <w:t>12.14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減少酒精的禍害</w:t>
            </w:r>
          </w:p>
        </w:tc>
        <w:tc>
          <w:tcPr>
            <w:tcW w:w="1106" w:type="dxa"/>
          </w:tcPr>
          <w:p w:rsidR="006D2061" w:rsidRPr="00816A2B" w:rsidRDefault="006D2061" w:rsidP="007F7E98">
            <w:pPr>
              <w:snapToGrid w:val="0"/>
              <w:spacing w:line="400" w:lineRule="atLeast"/>
              <w:jc w:val="right"/>
            </w:pPr>
            <w:r w:rsidRPr="00816A2B">
              <w:rPr>
                <w:rFonts w:hint="eastAsia"/>
              </w:rPr>
              <w:t>12.17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食物安全</w:t>
            </w:r>
          </w:p>
        </w:tc>
        <w:tc>
          <w:tcPr>
            <w:tcW w:w="1106" w:type="dxa"/>
          </w:tcPr>
          <w:p w:rsidR="006D2061" w:rsidRPr="00816A2B" w:rsidRDefault="006D2061" w:rsidP="007F7E98">
            <w:pPr>
              <w:snapToGrid w:val="0"/>
              <w:spacing w:line="400" w:lineRule="atLeast"/>
              <w:jc w:val="right"/>
            </w:pPr>
            <w:r w:rsidRPr="00816A2B">
              <w:rPr>
                <w:rFonts w:hint="eastAsia"/>
              </w:rPr>
              <w:t>12.18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為殘疾人士提供的服務</w:t>
            </w:r>
          </w:p>
        </w:tc>
        <w:tc>
          <w:tcPr>
            <w:tcW w:w="1106" w:type="dxa"/>
          </w:tcPr>
          <w:p w:rsidR="006D2061" w:rsidRPr="00816A2B" w:rsidRDefault="006D2061" w:rsidP="007F7E98">
            <w:pPr>
              <w:snapToGrid w:val="0"/>
              <w:spacing w:line="400" w:lineRule="atLeast"/>
              <w:jc w:val="right"/>
            </w:pPr>
            <w:r w:rsidRPr="00816A2B">
              <w:rPr>
                <w:rFonts w:hint="eastAsia"/>
              </w:rPr>
              <w:t>12.19</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為精神有問題的人士提供的服務</w:t>
            </w:r>
          </w:p>
        </w:tc>
        <w:tc>
          <w:tcPr>
            <w:tcW w:w="1106" w:type="dxa"/>
          </w:tcPr>
          <w:p w:rsidR="006D2061" w:rsidRPr="00816A2B" w:rsidRDefault="006D2061" w:rsidP="007F7E98">
            <w:pPr>
              <w:snapToGrid w:val="0"/>
              <w:spacing w:line="400" w:lineRule="atLeast"/>
              <w:jc w:val="right"/>
            </w:pPr>
            <w:r w:rsidRPr="00816A2B">
              <w:rPr>
                <w:rFonts w:hint="eastAsia"/>
              </w:rPr>
              <w:t>12.23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環境及工業</w:t>
            </w:r>
            <w:r w:rsidRPr="00816A2B">
              <w:rPr>
                <w:rFonts w:hint="eastAsia"/>
                <w:szCs w:val="28"/>
              </w:rPr>
              <w:t>衞</w:t>
            </w:r>
            <w:r w:rsidRPr="00816A2B">
              <w:rPr>
                <w:szCs w:val="28"/>
              </w:rPr>
              <w:t>生</w:t>
            </w:r>
          </w:p>
        </w:tc>
        <w:tc>
          <w:tcPr>
            <w:tcW w:w="1106" w:type="dxa"/>
          </w:tcPr>
          <w:p w:rsidR="006D2061" w:rsidRPr="00816A2B" w:rsidRDefault="006D2061" w:rsidP="007F7E98">
            <w:pPr>
              <w:snapToGrid w:val="0"/>
              <w:spacing w:line="400" w:lineRule="atLeast"/>
              <w:jc w:val="right"/>
            </w:pPr>
            <w:r w:rsidRPr="00816A2B">
              <w:rPr>
                <w:rFonts w:hint="eastAsia"/>
              </w:rPr>
              <w:t>12.27</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職業健康</w:t>
            </w:r>
          </w:p>
        </w:tc>
        <w:tc>
          <w:tcPr>
            <w:tcW w:w="1106" w:type="dxa"/>
          </w:tcPr>
          <w:p w:rsidR="006D2061" w:rsidRPr="00816A2B" w:rsidRDefault="006D2061" w:rsidP="007F7E98">
            <w:pPr>
              <w:snapToGrid w:val="0"/>
              <w:spacing w:line="400" w:lineRule="atLeast"/>
              <w:jc w:val="right"/>
            </w:pPr>
            <w:r w:rsidRPr="00816A2B">
              <w:rPr>
                <w:rFonts w:hint="eastAsia"/>
              </w:rPr>
              <w:t>12.28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rPr>
                <w:b/>
                <w:szCs w:val="28"/>
              </w:rPr>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第十三及</w:t>
            </w:r>
          </w:p>
          <w:p w:rsidR="006D2061" w:rsidRPr="00816A2B" w:rsidRDefault="006D2061" w:rsidP="007F7E98">
            <w:pPr>
              <w:snapToGrid w:val="0"/>
              <w:spacing w:line="400" w:lineRule="atLeast"/>
              <w:rPr>
                <w:b/>
              </w:rPr>
            </w:pPr>
            <w:r w:rsidRPr="00816A2B">
              <w:rPr>
                <w:rFonts w:hint="eastAsia"/>
                <w:b/>
              </w:rPr>
              <w:t>十四條</w:t>
            </w:r>
          </w:p>
        </w:tc>
        <w:tc>
          <w:tcPr>
            <w:tcW w:w="5670" w:type="dxa"/>
          </w:tcPr>
          <w:p w:rsidR="006D2061" w:rsidRPr="00816A2B" w:rsidRDefault="006D2061" w:rsidP="00646108">
            <w:pPr>
              <w:snapToGrid w:val="0"/>
              <w:spacing w:line="400" w:lineRule="atLeast"/>
              <w:jc w:val="both"/>
              <w:rPr>
                <w:b/>
              </w:rPr>
            </w:pPr>
            <w:r w:rsidRPr="00816A2B">
              <w:rPr>
                <w:b/>
                <w:szCs w:val="28"/>
              </w:rPr>
              <w:t>接受教育的權利</w:t>
            </w:r>
          </w:p>
        </w:tc>
        <w:tc>
          <w:tcPr>
            <w:tcW w:w="1106" w:type="dxa"/>
          </w:tcPr>
          <w:p w:rsidR="006D2061" w:rsidRPr="00816A2B" w:rsidRDefault="006D2061" w:rsidP="007F7E98">
            <w:pPr>
              <w:snapToGrid w:val="0"/>
              <w:spacing w:line="400" w:lineRule="atLeast"/>
              <w:jc w:val="right"/>
            </w:pPr>
            <w:r w:rsidRPr="00816A2B">
              <w:rPr>
                <w:rFonts w:hint="eastAsia"/>
              </w:rPr>
              <w:t>13.1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語文政</w:t>
            </w:r>
            <w:r w:rsidRPr="00816A2B">
              <w:rPr>
                <w:rFonts w:hint="eastAsia"/>
                <w:szCs w:val="28"/>
              </w:rPr>
              <w:t>策</w:t>
            </w:r>
          </w:p>
        </w:tc>
        <w:tc>
          <w:tcPr>
            <w:tcW w:w="1106" w:type="dxa"/>
          </w:tcPr>
          <w:p w:rsidR="006D2061" w:rsidRPr="00816A2B" w:rsidRDefault="006D2061" w:rsidP="007F7E98">
            <w:pPr>
              <w:snapToGrid w:val="0"/>
              <w:spacing w:line="400" w:lineRule="atLeast"/>
              <w:jc w:val="right"/>
            </w:pPr>
            <w:r w:rsidRPr="00816A2B">
              <w:rPr>
                <w:rFonts w:hint="eastAsia"/>
              </w:rPr>
              <w:t>13.5</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非華語學生的教育</w:t>
            </w:r>
          </w:p>
        </w:tc>
        <w:tc>
          <w:tcPr>
            <w:tcW w:w="1106" w:type="dxa"/>
          </w:tcPr>
          <w:p w:rsidR="006D2061" w:rsidRPr="00816A2B" w:rsidRDefault="006D2061" w:rsidP="007F7E98">
            <w:pPr>
              <w:snapToGrid w:val="0"/>
              <w:spacing w:line="400" w:lineRule="atLeast"/>
              <w:jc w:val="right"/>
            </w:pPr>
            <w:r w:rsidRPr="00816A2B">
              <w:rPr>
                <w:rFonts w:hint="eastAsia"/>
              </w:rPr>
              <w:t>13.6</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為有特殊教育需要的學生提供教育</w:t>
            </w:r>
          </w:p>
        </w:tc>
        <w:tc>
          <w:tcPr>
            <w:tcW w:w="1106" w:type="dxa"/>
          </w:tcPr>
          <w:p w:rsidR="006D2061" w:rsidRPr="00816A2B" w:rsidRDefault="006D2061" w:rsidP="007F7E98">
            <w:pPr>
              <w:snapToGrid w:val="0"/>
              <w:spacing w:line="400" w:lineRule="atLeast"/>
              <w:jc w:val="right"/>
            </w:pPr>
            <w:r w:rsidRPr="00816A2B">
              <w:rPr>
                <w:rFonts w:hint="eastAsia"/>
              </w:rPr>
              <w:t>13.13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在囚人士的教育</w:t>
            </w:r>
          </w:p>
        </w:tc>
        <w:tc>
          <w:tcPr>
            <w:tcW w:w="1106" w:type="dxa"/>
          </w:tcPr>
          <w:p w:rsidR="006D2061" w:rsidRPr="00816A2B" w:rsidRDefault="006D2061" w:rsidP="007F7E98">
            <w:pPr>
              <w:snapToGrid w:val="0"/>
              <w:spacing w:line="400" w:lineRule="atLeast"/>
              <w:jc w:val="right"/>
            </w:pPr>
            <w:r w:rsidRPr="00816A2B">
              <w:rPr>
                <w:rFonts w:hint="eastAsia"/>
              </w:rPr>
              <w:t>13.21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為無權在香港逗留的兒童提供教育</w:t>
            </w:r>
          </w:p>
        </w:tc>
        <w:tc>
          <w:tcPr>
            <w:tcW w:w="1106" w:type="dxa"/>
          </w:tcPr>
          <w:p w:rsidR="006D2061" w:rsidRPr="00816A2B" w:rsidRDefault="006D2061" w:rsidP="007F7E98">
            <w:pPr>
              <w:snapToGrid w:val="0"/>
              <w:spacing w:line="400" w:lineRule="atLeast"/>
              <w:jc w:val="right"/>
            </w:pPr>
            <w:r w:rsidRPr="00816A2B">
              <w:rPr>
                <w:rFonts w:hint="eastAsia"/>
              </w:rPr>
              <w:t>13.23</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內地</w:t>
            </w:r>
            <w:r w:rsidRPr="00816A2B">
              <w:rPr>
                <w:rFonts w:hint="eastAsia"/>
                <w:szCs w:val="28"/>
              </w:rPr>
              <w:t>新</w:t>
            </w:r>
            <w:r w:rsidRPr="00816A2B">
              <w:rPr>
                <w:szCs w:val="28"/>
              </w:rPr>
              <w:t>來港</w:t>
            </w:r>
            <w:r w:rsidRPr="00816A2B">
              <w:rPr>
                <w:rFonts w:hint="eastAsia"/>
                <w:szCs w:val="28"/>
              </w:rPr>
              <w:t>人士</w:t>
            </w:r>
            <w:r w:rsidRPr="00816A2B">
              <w:rPr>
                <w:szCs w:val="28"/>
              </w:rPr>
              <w:t>的教育</w:t>
            </w:r>
            <w:r w:rsidRPr="00816A2B">
              <w:rPr>
                <w:rFonts w:hint="eastAsia"/>
                <w:szCs w:val="28"/>
              </w:rPr>
              <w:t>及資歷評審事宜</w:t>
            </w:r>
          </w:p>
        </w:tc>
        <w:tc>
          <w:tcPr>
            <w:tcW w:w="1106" w:type="dxa"/>
          </w:tcPr>
          <w:p w:rsidR="006D2061" w:rsidRPr="00816A2B" w:rsidRDefault="006D2061" w:rsidP="007F7E98">
            <w:pPr>
              <w:snapToGrid w:val="0"/>
              <w:spacing w:line="400" w:lineRule="atLeast"/>
              <w:jc w:val="right"/>
            </w:pPr>
            <w:r w:rsidRPr="00816A2B">
              <w:rPr>
                <w:rFonts w:hint="eastAsia"/>
              </w:rPr>
              <w:t>13.24</w:t>
            </w:r>
          </w:p>
        </w:tc>
      </w:tr>
      <w:tr w:rsidR="006D2061" w:rsidRPr="00816A2B" w:rsidTr="00646108">
        <w:tc>
          <w:tcPr>
            <w:tcW w:w="1530" w:type="dxa"/>
          </w:tcPr>
          <w:p w:rsidR="006D2061" w:rsidRPr="00816A2B" w:rsidDel="003A115C" w:rsidRDefault="006D2061" w:rsidP="007F7E98">
            <w:pPr>
              <w:snapToGrid w:val="0"/>
              <w:spacing w:line="400" w:lineRule="atLeast"/>
              <w:rPr>
                <w:b/>
              </w:rPr>
            </w:pPr>
          </w:p>
        </w:tc>
        <w:tc>
          <w:tcPr>
            <w:tcW w:w="5670" w:type="dxa"/>
          </w:tcPr>
          <w:p w:rsidR="006D2061" w:rsidRPr="00816A2B" w:rsidDel="003A115C" w:rsidRDefault="006D2061" w:rsidP="00646108">
            <w:pPr>
              <w:snapToGrid w:val="0"/>
              <w:spacing w:line="400" w:lineRule="atLeast"/>
              <w:jc w:val="both"/>
            </w:pPr>
            <w:r w:rsidRPr="00816A2B">
              <w:rPr>
                <w:szCs w:val="28"/>
              </w:rPr>
              <w:t>有關</w:t>
            </w:r>
            <w:proofErr w:type="gramStart"/>
            <w:r w:rsidRPr="00816A2B">
              <w:rPr>
                <w:szCs w:val="28"/>
              </w:rPr>
              <w:t>不</w:t>
            </w:r>
            <w:proofErr w:type="gramEnd"/>
            <w:r w:rsidRPr="00816A2B">
              <w:rPr>
                <w:szCs w:val="28"/>
              </w:rPr>
              <w:t>同性傾向及性別認同人士的教育</w:t>
            </w:r>
          </w:p>
        </w:tc>
        <w:tc>
          <w:tcPr>
            <w:tcW w:w="1106" w:type="dxa"/>
          </w:tcPr>
          <w:p w:rsidR="006D2061" w:rsidRPr="00816A2B" w:rsidDel="003A115C" w:rsidRDefault="006D2061" w:rsidP="007F7E98">
            <w:pPr>
              <w:snapToGrid w:val="0"/>
              <w:spacing w:line="400" w:lineRule="atLeast"/>
              <w:jc w:val="right"/>
            </w:pPr>
            <w:r w:rsidRPr="00816A2B">
              <w:rPr>
                <w:rFonts w:hint="eastAsia"/>
              </w:rPr>
              <w:t>13.26</w:t>
            </w:r>
          </w:p>
        </w:tc>
      </w:tr>
      <w:tr w:rsidR="006D2061" w:rsidRPr="00816A2B" w:rsidTr="00646108">
        <w:tc>
          <w:tcPr>
            <w:tcW w:w="1530" w:type="dxa"/>
          </w:tcPr>
          <w:p w:rsidR="006D2061" w:rsidRPr="00816A2B" w:rsidDel="003A115C" w:rsidRDefault="006D2061" w:rsidP="007F7E98">
            <w:pPr>
              <w:snapToGrid w:val="0"/>
              <w:spacing w:line="400" w:lineRule="atLeast"/>
              <w:rPr>
                <w:b/>
              </w:rPr>
            </w:pPr>
          </w:p>
        </w:tc>
        <w:tc>
          <w:tcPr>
            <w:tcW w:w="5670" w:type="dxa"/>
          </w:tcPr>
          <w:p w:rsidR="006D2061" w:rsidRPr="00646108" w:rsidDel="003A115C" w:rsidRDefault="006D2061" w:rsidP="00646108">
            <w:pPr>
              <w:snapToGrid w:val="0"/>
              <w:spacing w:line="400" w:lineRule="atLeast"/>
              <w:ind w:left="412" w:right="105" w:hangingChars="147" w:hanging="412"/>
              <w:jc w:val="both"/>
              <w:rPr>
                <w:szCs w:val="28"/>
              </w:rPr>
            </w:pPr>
            <w:r w:rsidRPr="00646108">
              <w:rPr>
                <w:szCs w:val="28"/>
              </w:rPr>
              <w:t>公民教育、人權教育</w:t>
            </w:r>
            <w:r w:rsidRPr="00646108">
              <w:rPr>
                <w:rFonts w:hint="eastAsia"/>
                <w:szCs w:val="28"/>
              </w:rPr>
              <w:t>、反歧視教育和反欺凌教育</w:t>
            </w:r>
          </w:p>
        </w:tc>
        <w:tc>
          <w:tcPr>
            <w:tcW w:w="1106" w:type="dxa"/>
          </w:tcPr>
          <w:p w:rsidR="006D2061" w:rsidRPr="00816A2B" w:rsidDel="003A115C" w:rsidRDefault="006D2061" w:rsidP="007F7E98">
            <w:pPr>
              <w:snapToGrid w:val="0"/>
              <w:spacing w:line="400" w:lineRule="atLeast"/>
              <w:jc w:val="right"/>
            </w:pPr>
            <w:r w:rsidRPr="00816A2B">
              <w:rPr>
                <w:rFonts w:hint="eastAsia"/>
              </w:rPr>
              <w:t>13.27</w:t>
            </w:r>
          </w:p>
        </w:tc>
      </w:tr>
      <w:tr w:rsidR="006D2061" w:rsidRPr="00816A2B" w:rsidTr="00646108">
        <w:tc>
          <w:tcPr>
            <w:tcW w:w="1530" w:type="dxa"/>
          </w:tcPr>
          <w:p w:rsidR="006D2061" w:rsidRPr="00816A2B" w:rsidDel="003A115C" w:rsidRDefault="006D2061" w:rsidP="007F7E98">
            <w:pPr>
              <w:snapToGrid w:val="0"/>
              <w:spacing w:line="400" w:lineRule="atLeast"/>
              <w:rPr>
                <w:b/>
              </w:rPr>
            </w:pPr>
          </w:p>
        </w:tc>
        <w:tc>
          <w:tcPr>
            <w:tcW w:w="5670" w:type="dxa"/>
          </w:tcPr>
          <w:p w:rsidR="006D2061" w:rsidRPr="00816A2B" w:rsidDel="003A115C" w:rsidRDefault="006D2061" w:rsidP="00646108">
            <w:pPr>
              <w:snapToGrid w:val="0"/>
              <w:spacing w:line="400" w:lineRule="atLeast"/>
              <w:jc w:val="both"/>
            </w:pPr>
            <w:r w:rsidRPr="00816A2B">
              <w:rPr>
                <w:szCs w:val="28"/>
              </w:rPr>
              <w:t>文化認同及國家價值觀念</w:t>
            </w:r>
          </w:p>
        </w:tc>
        <w:tc>
          <w:tcPr>
            <w:tcW w:w="1106" w:type="dxa"/>
          </w:tcPr>
          <w:p w:rsidR="006D2061" w:rsidRPr="00816A2B" w:rsidDel="003A115C" w:rsidRDefault="006D2061" w:rsidP="007F7E98">
            <w:pPr>
              <w:snapToGrid w:val="0"/>
              <w:spacing w:line="400" w:lineRule="atLeast"/>
              <w:jc w:val="right"/>
            </w:pPr>
            <w:r w:rsidRPr="00816A2B">
              <w:rPr>
                <w:rFonts w:hint="eastAsia"/>
              </w:rPr>
              <w:t>13.31</w:t>
            </w:r>
          </w:p>
        </w:tc>
      </w:tr>
      <w:tr w:rsidR="006D2061" w:rsidRPr="00816A2B" w:rsidTr="00646108">
        <w:tc>
          <w:tcPr>
            <w:tcW w:w="1530" w:type="dxa"/>
          </w:tcPr>
          <w:p w:rsidR="006D2061" w:rsidRPr="00816A2B" w:rsidDel="003A115C" w:rsidRDefault="006D2061" w:rsidP="007F7E98">
            <w:pPr>
              <w:snapToGrid w:val="0"/>
              <w:spacing w:line="400" w:lineRule="atLeast"/>
              <w:rPr>
                <w:b/>
              </w:rPr>
            </w:pPr>
          </w:p>
        </w:tc>
        <w:tc>
          <w:tcPr>
            <w:tcW w:w="5670" w:type="dxa"/>
          </w:tcPr>
          <w:p w:rsidR="006D2061" w:rsidRPr="00816A2B" w:rsidDel="003A115C" w:rsidRDefault="006D2061" w:rsidP="00646108">
            <w:pPr>
              <w:snapToGrid w:val="0"/>
              <w:spacing w:line="400" w:lineRule="atLeast"/>
              <w:jc w:val="both"/>
            </w:pPr>
            <w:r w:rsidRPr="00816A2B">
              <w:rPr>
                <w:szCs w:val="28"/>
              </w:rPr>
              <w:t>《基本法》方面的公眾教育</w:t>
            </w:r>
          </w:p>
        </w:tc>
        <w:tc>
          <w:tcPr>
            <w:tcW w:w="1106" w:type="dxa"/>
          </w:tcPr>
          <w:p w:rsidR="006D2061" w:rsidRPr="00816A2B" w:rsidDel="003A115C" w:rsidRDefault="006D2061" w:rsidP="007F7E98">
            <w:pPr>
              <w:snapToGrid w:val="0"/>
              <w:spacing w:line="400" w:lineRule="atLeast"/>
              <w:jc w:val="right"/>
            </w:pPr>
            <w:r w:rsidRPr="00816A2B">
              <w:rPr>
                <w:rFonts w:hint="eastAsia"/>
              </w:rPr>
              <w:t>13.32</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p>
        </w:tc>
        <w:tc>
          <w:tcPr>
            <w:tcW w:w="1106" w:type="dxa"/>
          </w:tcPr>
          <w:p w:rsidR="006D2061" w:rsidRPr="00816A2B" w:rsidRDefault="006D2061" w:rsidP="007F7E98">
            <w:pPr>
              <w:snapToGrid w:val="0"/>
              <w:spacing w:line="400" w:lineRule="atLeast"/>
              <w:jc w:val="right"/>
            </w:pPr>
          </w:p>
        </w:tc>
      </w:tr>
      <w:tr w:rsidR="006D2061" w:rsidRPr="00816A2B" w:rsidTr="00646108">
        <w:tc>
          <w:tcPr>
            <w:tcW w:w="1530" w:type="dxa"/>
          </w:tcPr>
          <w:p w:rsidR="006D2061" w:rsidRPr="00816A2B" w:rsidRDefault="006D2061" w:rsidP="007F7E98">
            <w:pPr>
              <w:snapToGrid w:val="0"/>
              <w:spacing w:line="400" w:lineRule="atLeast"/>
              <w:rPr>
                <w:b/>
              </w:rPr>
            </w:pPr>
            <w:r w:rsidRPr="00816A2B">
              <w:rPr>
                <w:rFonts w:hint="eastAsia"/>
                <w:b/>
              </w:rPr>
              <w:t>第十五條</w:t>
            </w:r>
          </w:p>
        </w:tc>
        <w:tc>
          <w:tcPr>
            <w:tcW w:w="5670" w:type="dxa"/>
          </w:tcPr>
          <w:p w:rsidR="006D2061" w:rsidRPr="00816A2B" w:rsidRDefault="006D2061" w:rsidP="00646108">
            <w:pPr>
              <w:snapToGrid w:val="0"/>
              <w:spacing w:line="400" w:lineRule="atLeast"/>
              <w:jc w:val="both"/>
              <w:rPr>
                <w:b/>
              </w:rPr>
            </w:pPr>
            <w:r w:rsidRPr="00816A2B">
              <w:rPr>
                <w:rFonts w:hint="eastAsia"/>
                <w:b/>
                <w:szCs w:val="28"/>
              </w:rPr>
              <w:t>參與文化生活、享受科學進步及其應用之惠的權利</w:t>
            </w:r>
          </w:p>
        </w:tc>
        <w:tc>
          <w:tcPr>
            <w:tcW w:w="1106" w:type="dxa"/>
          </w:tcPr>
          <w:p w:rsidR="006D2061" w:rsidRPr="00816A2B" w:rsidRDefault="006D2061" w:rsidP="007F7E98">
            <w:pPr>
              <w:snapToGrid w:val="0"/>
              <w:spacing w:line="400" w:lineRule="atLeast"/>
              <w:jc w:val="right"/>
            </w:pPr>
            <w:r w:rsidRPr="00816A2B">
              <w:rPr>
                <w:rFonts w:hint="eastAsia"/>
              </w:rPr>
              <w:t>15.1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文化及藝術政策</w:t>
            </w:r>
          </w:p>
        </w:tc>
        <w:tc>
          <w:tcPr>
            <w:tcW w:w="1106" w:type="dxa"/>
          </w:tcPr>
          <w:p w:rsidR="006D2061" w:rsidRPr="00816A2B" w:rsidRDefault="006D2061" w:rsidP="007F7E98">
            <w:pPr>
              <w:snapToGrid w:val="0"/>
              <w:spacing w:line="400" w:lineRule="atLeast"/>
              <w:jc w:val="right"/>
            </w:pPr>
            <w:r w:rsidRPr="00816A2B">
              <w:rPr>
                <w:rFonts w:hint="eastAsia"/>
              </w:rPr>
              <w:t>15.2</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文化藝術活動的推廣及參與</w:t>
            </w:r>
          </w:p>
        </w:tc>
        <w:tc>
          <w:tcPr>
            <w:tcW w:w="1106" w:type="dxa"/>
          </w:tcPr>
          <w:p w:rsidR="006D2061" w:rsidRPr="00816A2B" w:rsidRDefault="006D2061" w:rsidP="007F7E98">
            <w:pPr>
              <w:snapToGrid w:val="0"/>
              <w:spacing w:line="400" w:lineRule="atLeast"/>
              <w:jc w:val="right"/>
            </w:pPr>
            <w:r w:rsidRPr="00816A2B">
              <w:rPr>
                <w:rFonts w:hint="eastAsia"/>
              </w:rPr>
              <w:t>15.5</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szCs w:val="28"/>
              </w:rPr>
              <w:t>文化藝術的教育及發展</w:t>
            </w:r>
          </w:p>
        </w:tc>
        <w:tc>
          <w:tcPr>
            <w:tcW w:w="1106" w:type="dxa"/>
          </w:tcPr>
          <w:p w:rsidR="006D2061" w:rsidRPr="00816A2B" w:rsidRDefault="006D2061" w:rsidP="007F7E98">
            <w:pPr>
              <w:snapToGrid w:val="0"/>
              <w:spacing w:line="400" w:lineRule="atLeast"/>
              <w:jc w:val="right"/>
            </w:pPr>
            <w:r w:rsidRPr="00816A2B">
              <w:rPr>
                <w:rFonts w:hint="eastAsia"/>
              </w:rPr>
              <w:t>15.6</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文物保育政策</w:t>
            </w:r>
          </w:p>
        </w:tc>
        <w:tc>
          <w:tcPr>
            <w:tcW w:w="1106" w:type="dxa"/>
          </w:tcPr>
          <w:p w:rsidR="006D2061" w:rsidRPr="00816A2B" w:rsidRDefault="006D2061" w:rsidP="007F7E98">
            <w:pPr>
              <w:snapToGrid w:val="0"/>
              <w:spacing w:line="400" w:lineRule="atLeast"/>
              <w:jc w:val="right"/>
            </w:pPr>
            <w:r w:rsidRPr="00816A2B">
              <w:rPr>
                <w:rFonts w:hint="eastAsia"/>
              </w:rPr>
              <w:t>15.8</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歷史檔案</w:t>
            </w:r>
          </w:p>
        </w:tc>
        <w:tc>
          <w:tcPr>
            <w:tcW w:w="1106" w:type="dxa"/>
          </w:tcPr>
          <w:p w:rsidR="006D2061" w:rsidRPr="00816A2B" w:rsidRDefault="006D2061" w:rsidP="007F7E98">
            <w:pPr>
              <w:snapToGrid w:val="0"/>
              <w:spacing w:line="400" w:lineRule="atLeast"/>
              <w:jc w:val="right"/>
            </w:pPr>
            <w:r w:rsidRPr="00816A2B">
              <w:rPr>
                <w:rFonts w:hint="eastAsia"/>
              </w:rPr>
              <w:t>15.9</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rFonts w:hint="eastAsia"/>
                <w:bCs/>
                <w:szCs w:val="28"/>
              </w:rPr>
              <w:t>廣播</w:t>
            </w:r>
          </w:p>
        </w:tc>
        <w:tc>
          <w:tcPr>
            <w:tcW w:w="1106" w:type="dxa"/>
          </w:tcPr>
          <w:p w:rsidR="006D2061" w:rsidRPr="00816A2B" w:rsidRDefault="006D2061" w:rsidP="007F7E98">
            <w:pPr>
              <w:snapToGrid w:val="0"/>
              <w:spacing w:line="400" w:lineRule="atLeast"/>
              <w:jc w:val="right"/>
            </w:pPr>
            <w:r w:rsidRPr="00816A2B">
              <w:rPr>
                <w:rFonts w:hint="eastAsia"/>
              </w:rPr>
              <w:t>15.11</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推廣科技</w:t>
            </w:r>
          </w:p>
        </w:tc>
        <w:tc>
          <w:tcPr>
            <w:tcW w:w="1106" w:type="dxa"/>
          </w:tcPr>
          <w:p w:rsidR="006D2061" w:rsidRPr="00816A2B" w:rsidRDefault="006D2061" w:rsidP="007F7E98">
            <w:pPr>
              <w:snapToGrid w:val="0"/>
              <w:spacing w:line="400" w:lineRule="atLeast"/>
              <w:jc w:val="right"/>
            </w:pPr>
            <w:r w:rsidRPr="00816A2B">
              <w:rPr>
                <w:rFonts w:hint="eastAsia"/>
              </w:rPr>
              <w:t>15.14</w:t>
            </w:r>
          </w:p>
        </w:tc>
      </w:tr>
      <w:tr w:rsidR="006D2061" w:rsidRPr="00816A2B" w:rsidTr="00646108">
        <w:tc>
          <w:tcPr>
            <w:tcW w:w="1530" w:type="dxa"/>
          </w:tcPr>
          <w:p w:rsidR="006D2061" w:rsidRPr="00816A2B" w:rsidRDefault="006D2061" w:rsidP="007F7E98">
            <w:pPr>
              <w:snapToGrid w:val="0"/>
              <w:spacing w:line="400" w:lineRule="atLeast"/>
              <w:rPr>
                <w:b/>
              </w:rPr>
            </w:pPr>
          </w:p>
        </w:tc>
        <w:tc>
          <w:tcPr>
            <w:tcW w:w="5670" w:type="dxa"/>
          </w:tcPr>
          <w:p w:rsidR="006D2061" w:rsidRPr="00816A2B" w:rsidRDefault="006D2061" w:rsidP="00646108">
            <w:pPr>
              <w:snapToGrid w:val="0"/>
              <w:spacing w:line="400" w:lineRule="atLeast"/>
              <w:jc w:val="both"/>
            </w:pPr>
            <w:r w:rsidRPr="00816A2B">
              <w:rPr>
                <w:szCs w:val="28"/>
              </w:rPr>
              <w:t>郊野公園及保育</w:t>
            </w:r>
            <w:r w:rsidRPr="00816A2B">
              <w:rPr>
                <w:rFonts w:hint="eastAsia"/>
                <w:szCs w:val="28"/>
              </w:rPr>
              <w:t>自然區</w:t>
            </w:r>
          </w:p>
        </w:tc>
        <w:tc>
          <w:tcPr>
            <w:tcW w:w="1106" w:type="dxa"/>
          </w:tcPr>
          <w:p w:rsidR="006D2061" w:rsidRPr="00816A2B" w:rsidRDefault="006D2061" w:rsidP="007F7E98">
            <w:pPr>
              <w:snapToGrid w:val="0"/>
              <w:spacing w:line="400" w:lineRule="atLeast"/>
              <w:jc w:val="right"/>
            </w:pPr>
            <w:r w:rsidRPr="00816A2B">
              <w:rPr>
                <w:rFonts w:hint="eastAsia"/>
              </w:rPr>
              <w:t>15.16</w:t>
            </w:r>
          </w:p>
        </w:tc>
      </w:tr>
    </w:tbl>
    <w:p w:rsidR="006D2061" w:rsidRPr="00816A2B" w:rsidRDefault="006D2061" w:rsidP="007F7E98">
      <w:pPr>
        <w:snapToGrid w:val="0"/>
        <w:spacing w:line="400" w:lineRule="atLeast"/>
      </w:pPr>
    </w:p>
    <w:p w:rsidR="006D2061" w:rsidRPr="00816A2B" w:rsidRDefault="006D2061" w:rsidP="007F7E98">
      <w:pPr>
        <w:snapToGrid w:val="0"/>
        <w:spacing w:line="400" w:lineRule="atLeast"/>
      </w:pPr>
    </w:p>
    <w:tbl>
      <w:tblPr>
        <w:tblW w:w="9081" w:type="dxa"/>
        <w:tblLayout w:type="fixed"/>
        <w:tblCellMar>
          <w:left w:w="72" w:type="dxa"/>
          <w:right w:w="72" w:type="dxa"/>
        </w:tblCellMar>
        <w:tblLook w:val="01E0" w:firstRow="1" w:lastRow="1" w:firstColumn="1" w:lastColumn="1" w:noHBand="0" w:noVBand="0"/>
      </w:tblPr>
      <w:tblGrid>
        <w:gridCol w:w="1994"/>
        <w:gridCol w:w="5926"/>
        <w:gridCol w:w="1161"/>
      </w:tblGrid>
      <w:tr w:rsidR="006D2061" w:rsidRPr="00816A2B" w:rsidTr="00036B35">
        <w:trPr>
          <w:tblHeader/>
        </w:trPr>
        <w:tc>
          <w:tcPr>
            <w:tcW w:w="1994" w:type="dxa"/>
          </w:tcPr>
          <w:p w:rsidR="006D2061" w:rsidRPr="00816A2B" w:rsidRDefault="006D2061" w:rsidP="006F6D1D">
            <w:pPr>
              <w:snapToGrid w:val="0"/>
              <w:spacing w:after="120"/>
              <w:rPr>
                <w:b/>
              </w:rPr>
            </w:pPr>
            <w:r w:rsidRPr="00816A2B">
              <w:br w:type="page"/>
            </w:r>
            <w:r w:rsidRPr="00816A2B">
              <w:rPr>
                <w:rFonts w:hint="eastAsia"/>
                <w:b/>
              </w:rPr>
              <w:t>附件</w:t>
            </w:r>
          </w:p>
          <w:p w:rsidR="006D2061" w:rsidRPr="00816A2B" w:rsidRDefault="006D2061" w:rsidP="006F6D1D">
            <w:pPr>
              <w:snapToGrid w:val="0"/>
              <w:spacing w:after="120"/>
              <w:rPr>
                <w:b/>
              </w:rPr>
            </w:pPr>
          </w:p>
        </w:tc>
        <w:tc>
          <w:tcPr>
            <w:tcW w:w="5926" w:type="dxa"/>
          </w:tcPr>
          <w:p w:rsidR="006D2061" w:rsidRPr="00816A2B" w:rsidRDefault="006D2061" w:rsidP="006F6D1D">
            <w:pPr>
              <w:snapToGrid w:val="0"/>
              <w:spacing w:after="120"/>
              <w:ind w:right="195"/>
              <w:jc w:val="both"/>
            </w:pPr>
          </w:p>
        </w:tc>
        <w:tc>
          <w:tcPr>
            <w:tcW w:w="1161" w:type="dxa"/>
          </w:tcPr>
          <w:p w:rsidR="006D2061" w:rsidRPr="00816A2B" w:rsidRDefault="006D2061" w:rsidP="006F6D1D">
            <w:pPr>
              <w:snapToGrid w:val="0"/>
              <w:spacing w:after="120"/>
              <w:jc w:val="right"/>
              <w:rPr>
                <w:u w:val="single"/>
              </w:rPr>
            </w:pPr>
          </w:p>
        </w:tc>
      </w:tr>
      <w:tr w:rsidR="006D2061" w:rsidRPr="00816A2B" w:rsidTr="00036B35">
        <w:tc>
          <w:tcPr>
            <w:tcW w:w="1994" w:type="dxa"/>
          </w:tcPr>
          <w:p w:rsidR="006D2061" w:rsidRPr="00816A2B" w:rsidRDefault="006D2061" w:rsidP="006F6D1D">
            <w:pPr>
              <w:snapToGrid w:val="0"/>
              <w:spacing w:after="120"/>
              <w:rPr>
                <w:szCs w:val="28"/>
              </w:rPr>
            </w:pPr>
            <w:r w:rsidRPr="00816A2B">
              <w:rPr>
                <w:rFonts w:hint="eastAsia"/>
                <w:szCs w:val="28"/>
              </w:rPr>
              <w:t>1</w:t>
            </w:r>
            <w:r w:rsidRPr="00816A2B">
              <w:rPr>
                <w:szCs w:val="28"/>
              </w:rPr>
              <w:t>A</w:t>
            </w:r>
          </w:p>
        </w:tc>
        <w:tc>
          <w:tcPr>
            <w:tcW w:w="5926" w:type="dxa"/>
          </w:tcPr>
          <w:p w:rsidR="006D2061" w:rsidRPr="00816A2B" w:rsidRDefault="006D2061" w:rsidP="006F6D1D">
            <w:pPr>
              <w:snapToGrid w:val="0"/>
              <w:spacing w:after="120"/>
              <w:ind w:left="412" w:right="195" w:hangingChars="147" w:hanging="412"/>
              <w:jc w:val="both"/>
              <w:rPr>
                <w:iCs/>
                <w:color w:val="000000"/>
                <w:szCs w:val="28"/>
              </w:rPr>
            </w:pPr>
            <w:r w:rsidRPr="00816A2B">
              <w:rPr>
                <w:rFonts w:hint="eastAsia"/>
                <w:iCs/>
                <w:color w:val="000000"/>
                <w:szCs w:val="28"/>
              </w:rPr>
              <w:t>政制發展</w:t>
            </w:r>
          </w:p>
        </w:tc>
        <w:tc>
          <w:tcPr>
            <w:tcW w:w="1161" w:type="dxa"/>
          </w:tcPr>
          <w:p w:rsidR="006D2061" w:rsidRPr="00816A2B" w:rsidRDefault="006D2061" w:rsidP="006F6D1D">
            <w:pPr>
              <w:snapToGrid w:val="0"/>
              <w:spacing w:after="120"/>
              <w:jc w:val="right"/>
              <w:rPr>
                <w:szCs w:val="28"/>
              </w:rPr>
            </w:pPr>
          </w:p>
        </w:tc>
      </w:tr>
      <w:tr w:rsidR="006D2061" w:rsidRPr="00816A2B" w:rsidTr="00036B35">
        <w:tc>
          <w:tcPr>
            <w:tcW w:w="1994" w:type="dxa"/>
          </w:tcPr>
          <w:p w:rsidR="006D2061" w:rsidRPr="00816A2B" w:rsidRDefault="006D2061" w:rsidP="006F6D1D">
            <w:pPr>
              <w:snapToGrid w:val="0"/>
              <w:spacing w:after="120"/>
              <w:rPr>
                <w:szCs w:val="28"/>
              </w:rPr>
            </w:pPr>
            <w:r w:rsidRPr="00816A2B">
              <w:rPr>
                <w:szCs w:val="28"/>
              </w:rPr>
              <w:t>2A</w:t>
            </w:r>
          </w:p>
        </w:tc>
        <w:tc>
          <w:tcPr>
            <w:tcW w:w="5926" w:type="dxa"/>
          </w:tcPr>
          <w:p w:rsidR="006D2061" w:rsidRPr="00816A2B" w:rsidRDefault="006D2061" w:rsidP="006F6D1D">
            <w:pPr>
              <w:snapToGrid w:val="0"/>
              <w:spacing w:after="120"/>
              <w:ind w:left="412" w:right="195" w:hangingChars="147" w:hanging="412"/>
              <w:jc w:val="both"/>
              <w:rPr>
                <w:iCs/>
                <w:color w:val="000000"/>
                <w:szCs w:val="28"/>
              </w:rPr>
            </w:pPr>
            <w:r w:rsidRPr="00816A2B">
              <w:rPr>
                <w:rFonts w:hint="eastAsia"/>
                <w:iCs/>
                <w:color w:val="000000"/>
                <w:szCs w:val="28"/>
              </w:rPr>
              <w:t>在香港特區實施《經濟、社會</w:t>
            </w:r>
            <w:r w:rsidRPr="00816A2B">
              <w:rPr>
                <w:rFonts w:hint="eastAsia"/>
                <w:iCs/>
                <w:color w:val="000000"/>
                <w:szCs w:val="28"/>
                <w:lang w:eastAsia="zh-HK"/>
              </w:rPr>
              <w:t>及</w:t>
            </w:r>
            <w:r w:rsidRPr="00816A2B">
              <w:rPr>
                <w:rFonts w:hint="eastAsia"/>
                <w:iCs/>
                <w:color w:val="000000"/>
                <w:szCs w:val="28"/>
              </w:rPr>
              <w:t>文化權利國際公約》的憲制保障及立法措施</w:t>
            </w:r>
          </w:p>
        </w:tc>
        <w:tc>
          <w:tcPr>
            <w:tcW w:w="1161" w:type="dxa"/>
          </w:tcPr>
          <w:p w:rsidR="006D2061" w:rsidRPr="00816A2B" w:rsidRDefault="006D2061" w:rsidP="006F6D1D">
            <w:pPr>
              <w:snapToGrid w:val="0"/>
              <w:spacing w:after="120"/>
              <w:jc w:val="right"/>
              <w:rPr>
                <w:szCs w:val="28"/>
              </w:rPr>
            </w:pPr>
          </w:p>
        </w:tc>
      </w:tr>
      <w:tr w:rsidR="006D2061" w:rsidRPr="00816A2B" w:rsidTr="00036B35">
        <w:tc>
          <w:tcPr>
            <w:tcW w:w="1994" w:type="dxa"/>
          </w:tcPr>
          <w:p w:rsidR="006D2061" w:rsidRPr="00816A2B" w:rsidRDefault="006D2061" w:rsidP="006F6D1D">
            <w:pPr>
              <w:snapToGrid w:val="0"/>
              <w:spacing w:after="120"/>
              <w:rPr>
                <w:szCs w:val="28"/>
              </w:rPr>
            </w:pPr>
            <w:r w:rsidRPr="00816A2B">
              <w:rPr>
                <w:rFonts w:hint="eastAsia"/>
                <w:szCs w:val="28"/>
              </w:rPr>
              <w:t>2</w:t>
            </w:r>
            <w:r w:rsidRPr="00816A2B">
              <w:rPr>
                <w:szCs w:val="28"/>
              </w:rPr>
              <w:t>B</w:t>
            </w:r>
          </w:p>
        </w:tc>
        <w:tc>
          <w:tcPr>
            <w:tcW w:w="5926" w:type="dxa"/>
          </w:tcPr>
          <w:p w:rsidR="006D2061" w:rsidRPr="00816A2B" w:rsidRDefault="006D2061" w:rsidP="006F6D1D">
            <w:pPr>
              <w:snapToGrid w:val="0"/>
              <w:spacing w:after="120"/>
              <w:ind w:left="412" w:right="195" w:hangingChars="147" w:hanging="412"/>
              <w:jc w:val="both"/>
              <w:rPr>
                <w:iCs/>
                <w:color w:val="000000"/>
                <w:szCs w:val="28"/>
              </w:rPr>
            </w:pPr>
            <w:r w:rsidRPr="00816A2B">
              <w:rPr>
                <w:rFonts w:hint="eastAsia"/>
                <w:iCs/>
                <w:color w:val="000000"/>
                <w:szCs w:val="28"/>
              </w:rPr>
              <w:t>平等機會委員會</w:t>
            </w:r>
          </w:p>
        </w:tc>
        <w:tc>
          <w:tcPr>
            <w:tcW w:w="1161" w:type="dxa"/>
          </w:tcPr>
          <w:p w:rsidR="006D2061" w:rsidRPr="00816A2B" w:rsidRDefault="006D2061" w:rsidP="006F6D1D">
            <w:pPr>
              <w:snapToGrid w:val="0"/>
              <w:spacing w:after="120"/>
              <w:jc w:val="right"/>
              <w:rPr>
                <w:szCs w:val="28"/>
              </w:rPr>
            </w:pPr>
          </w:p>
        </w:tc>
      </w:tr>
      <w:tr w:rsidR="006D2061" w:rsidRPr="00816A2B" w:rsidTr="00036B35">
        <w:tc>
          <w:tcPr>
            <w:tcW w:w="1994" w:type="dxa"/>
          </w:tcPr>
          <w:p w:rsidR="006D2061" w:rsidRPr="00816A2B" w:rsidRDefault="006D2061" w:rsidP="006F6D1D">
            <w:pPr>
              <w:snapToGrid w:val="0"/>
              <w:spacing w:after="120"/>
              <w:rPr>
                <w:szCs w:val="28"/>
              </w:rPr>
            </w:pPr>
            <w:r w:rsidRPr="00816A2B">
              <w:rPr>
                <w:rFonts w:hint="eastAsia"/>
                <w:szCs w:val="28"/>
              </w:rPr>
              <w:t>2</w:t>
            </w:r>
            <w:r w:rsidRPr="00816A2B">
              <w:rPr>
                <w:szCs w:val="28"/>
              </w:rPr>
              <w:t>C</w:t>
            </w:r>
          </w:p>
        </w:tc>
        <w:tc>
          <w:tcPr>
            <w:tcW w:w="5926" w:type="dxa"/>
          </w:tcPr>
          <w:p w:rsidR="006D2061" w:rsidRPr="00816A2B" w:rsidRDefault="006D2061" w:rsidP="006F6D1D">
            <w:pPr>
              <w:snapToGrid w:val="0"/>
              <w:spacing w:after="120"/>
              <w:ind w:left="412" w:right="195" w:hangingChars="147" w:hanging="412"/>
              <w:jc w:val="both"/>
              <w:rPr>
                <w:iCs/>
                <w:color w:val="000000"/>
                <w:szCs w:val="28"/>
              </w:rPr>
            </w:pPr>
            <w:r w:rsidRPr="00816A2B">
              <w:rPr>
                <w:rFonts w:hint="eastAsia"/>
                <w:iCs/>
                <w:color w:val="000000"/>
                <w:szCs w:val="28"/>
              </w:rPr>
              <w:t>歧視條例檢討</w:t>
            </w:r>
            <w:r w:rsidRPr="00816A2B">
              <w:rPr>
                <w:rFonts w:hint="eastAsia"/>
                <w:iCs/>
                <w:color w:val="000000"/>
                <w:szCs w:val="28"/>
              </w:rPr>
              <w:t xml:space="preserve"> -</w:t>
            </w:r>
            <w:r w:rsidRPr="00816A2B">
              <w:rPr>
                <w:iCs/>
                <w:color w:val="000000"/>
                <w:szCs w:val="28"/>
              </w:rPr>
              <w:t xml:space="preserve"> </w:t>
            </w:r>
            <w:r w:rsidRPr="00816A2B">
              <w:rPr>
                <w:rFonts w:hint="eastAsia"/>
                <w:iCs/>
                <w:color w:val="000000"/>
                <w:szCs w:val="28"/>
              </w:rPr>
              <w:t>八項需要優先處理的建議</w:t>
            </w:r>
          </w:p>
        </w:tc>
        <w:tc>
          <w:tcPr>
            <w:tcW w:w="1161" w:type="dxa"/>
          </w:tcPr>
          <w:p w:rsidR="006D2061" w:rsidRPr="00816A2B" w:rsidRDefault="006D2061" w:rsidP="006F6D1D">
            <w:pPr>
              <w:snapToGrid w:val="0"/>
              <w:spacing w:after="120"/>
              <w:jc w:val="right"/>
              <w:rPr>
                <w:szCs w:val="28"/>
              </w:rPr>
            </w:pPr>
          </w:p>
        </w:tc>
      </w:tr>
      <w:tr w:rsidR="006D2061" w:rsidRPr="00816A2B" w:rsidTr="00036B35">
        <w:tc>
          <w:tcPr>
            <w:tcW w:w="1994" w:type="dxa"/>
          </w:tcPr>
          <w:p w:rsidR="006D2061" w:rsidRPr="00816A2B" w:rsidRDefault="006D2061" w:rsidP="006F6D1D">
            <w:pPr>
              <w:snapToGrid w:val="0"/>
              <w:spacing w:after="120"/>
              <w:rPr>
                <w:szCs w:val="28"/>
              </w:rPr>
            </w:pPr>
            <w:r w:rsidRPr="00816A2B">
              <w:rPr>
                <w:rFonts w:hint="eastAsia"/>
                <w:szCs w:val="28"/>
              </w:rPr>
              <w:t>2</w:t>
            </w:r>
            <w:r w:rsidRPr="00816A2B">
              <w:rPr>
                <w:szCs w:val="28"/>
              </w:rPr>
              <w:t>D</w:t>
            </w:r>
          </w:p>
        </w:tc>
        <w:tc>
          <w:tcPr>
            <w:tcW w:w="5926" w:type="dxa"/>
          </w:tcPr>
          <w:p w:rsidR="006D2061" w:rsidRPr="00816A2B" w:rsidRDefault="006D2061" w:rsidP="006F6D1D">
            <w:pPr>
              <w:snapToGrid w:val="0"/>
              <w:spacing w:after="120"/>
              <w:ind w:left="412" w:right="195" w:hangingChars="147" w:hanging="412"/>
              <w:jc w:val="both"/>
              <w:rPr>
                <w:iCs/>
                <w:color w:val="000000"/>
                <w:szCs w:val="28"/>
              </w:rPr>
            </w:pPr>
            <w:r w:rsidRPr="00816A2B">
              <w:rPr>
                <w:rFonts w:hint="eastAsia"/>
                <w:iCs/>
                <w:color w:val="000000"/>
                <w:szCs w:val="28"/>
              </w:rPr>
              <w:t>《種族歧視條例》（第</w:t>
            </w:r>
            <w:r w:rsidRPr="00816A2B">
              <w:rPr>
                <w:rFonts w:hint="eastAsia"/>
                <w:iCs/>
                <w:color w:val="000000"/>
                <w:szCs w:val="28"/>
              </w:rPr>
              <w:t>602</w:t>
            </w:r>
            <w:r w:rsidRPr="00816A2B">
              <w:rPr>
                <w:rFonts w:hint="eastAsia"/>
                <w:iCs/>
                <w:color w:val="000000"/>
                <w:szCs w:val="28"/>
              </w:rPr>
              <w:t>章）</w:t>
            </w:r>
          </w:p>
        </w:tc>
        <w:tc>
          <w:tcPr>
            <w:tcW w:w="1161" w:type="dxa"/>
          </w:tcPr>
          <w:p w:rsidR="006D2061" w:rsidRPr="00816A2B" w:rsidRDefault="006D2061" w:rsidP="006F6D1D">
            <w:pPr>
              <w:snapToGrid w:val="0"/>
              <w:spacing w:after="120"/>
              <w:jc w:val="right"/>
              <w:rPr>
                <w:szCs w:val="28"/>
              </w:rPr>
            </w:pPr>
          </w:p>
        </w:tc>
      </w:tr>
      <w:tr w:rsidR="006D2061" w:rsidRPr="00816A2B" w:rsidTr="00036B35">
        <w:tc>
          <w:tcPr>
            <w:tcW w:w="1994" w:type="dxa"/>
          </w:tcPr>
          <w:p w:rsidR="006D2061" w:rsidRPr="00816A2B" w:rsidRDefault="006D2061" w:rsidP="006F6D1D">
            <w:pPr>
              <w:snapToGrid w:val="0"/>
              <w:spacing w:after="120"/>
              <w:rPr>
                <w:szCs w:val="28"/>
              </w:rPr>
            </w:pPr>
            <w:r w:rsidRPr="00816A2B">
              <w:rPr>
                <w:rFonts w:hint="eastAsia"/>
                <w:szCs w:val="28"/>
              </w:rPr>
              <w:t>2</w:t>
            </w:r>
            <w:r w:rsidRPr="00816A2B">
              <w:rPr>
                <w:szCs w:val="28"/>
              </w:rPr>
              <w:t>E</w:t>
            </w:r>
          </w:p>
        </w:tc>
        <w:tc>
          <w:tcPr>
            <w:tcW w:w="5926" w:type="dxa"/>
          </w:tcPr>
          <w:p w:rsidR="006D2061" w:rsidRPr="00816A2B" w:rsidRDefault="006D2061" w:rsidP="006F6D1D">
            <w:pPr>
              <w:snapToGrid w:val="0"/>
              <w:spacing w:after="120"/>
              <w:ind w:left="412" w:right="195" w:hangingChars="147" w:hanging="412"/>
              <w:jc w:val="both"/>
              <w:rPr>
                <w:iCs/>
                <w:color w:val="000000"/>
                <w:szCs w:val="28"/>
              </w:rPr>
            </w:pPr>
            <w:r w:rsidRPr="00816A2B">
              <w:rPr>
                <w:rFonts w:hint="eastAsia"/>
                <w:iCs/>
                <w:color w:val="000000"/>
                <w:szCs w:val="28"/>
              </w:rPr>
              <w:t>性別承認</w:t>
            </w:r>
          </w:p>
        </w:tc>
        <w:tc>
          <w:tcPr>
            <w:tcW w:w="1161" w:type="dxa"/>
          </w:tcPr>
          <w:p w:rsidR="006D2061" w:rsidRPr="00816A2B" w:rsidRDefault="006D2061" w:rsidP="006F6D1D">
            <w:pPr>
              <w:snapToGrid w:val="0"/>
              <w:spacing w:after="120"/>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lastRenderedPageBreak/>
              <w:t>2</w:t>
            </w:r>
            <w:r w:rsidRPr="00816A2B">
              <w:rPr>
                <w:szCs w:val="28"/>
              </w:rPr>
              <w:t>F</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保護殘疾人士</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2</w:t>
            </w:r>
            <w:r w:rsidRPr="00816A2B">
              <w:rPr>
                <w:szCs w:val="28"/>
              </w:rPr>
              <w:t>G</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全面檢討處理免遣返聲請的策略</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2</w:t>
            </w:r>
            <w:r w:rsidRPr="00816A2B">
              <w:rPr>
                <w:szCs w:val="28"/>
              </w:rPr>
              <w:t>H</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免遣返聲請</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3A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婦女事務委員會的工作</w:t>
            </w:r>
            <w:proofErr w:type="gramStart"/>
            <w:r w:rsidRPr="00816A2B">
              <w:rPr>
                <w:rFonts w:hint="eastAsia"/>
                <w:iCs/>
                <w:color w:val="000000"/>
                <w:szCs w:val="28"/>
              </w:rPr>
              <w:t>撮</w:t>
            </w:r>
            <w:proofErr w:type="gramEnd"/>
            <w:r w:rsidRPr="00816A2B">
              <w:rPr>
                <w:rFonts w:hint="eastAsia"/>
                <w:iCs/>
                <w:color w:val="000000"/>
                <w:szCs w:val="28"/>
              </w:rPr>
              <w:t>要</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6A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有關就業、失業及就業不足情況的統計數字</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6B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勞工處就業服務的新措施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6</w:t>
            </w:r>
            <w:r w:rsidRPr="00816A2B">
              <w:rPr>
                <w:szCs w:val="28"/>
              </w:rPr>
              <w:t>C</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w:t>
            </w:r>
            <w:proofErr w:type="gramStart"/>
            <w:r w:rsidRPr="00816A2B">
              <w:rPr>
                <w:rFonts w:hint="eastAsia"/>
                <w:iCs/>
                <w:color w:val="000000"/>
                <w:szCs w:val="28"/>
              </w:rPr>
              <w:t>展翅青見計劃</w:t>
            </w:r>
            <w:proofErr w:type="gramEnd"/>
            <w:r w:rsidRPr="00816A2B">
              <w:rPr>
                <w:rFonts w:hint="eastAsia"/>
                <w:iCs/>
                <w:color w:val="000000"/>
                <w:szCs w:val="28"/>
              </w:rPr>
              <w:t>」</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6</w:t>
            </w:r>
            <w:r w:rsidRPr="00816A2B">
              <w:rPr>
                <w:szCs w:val="28"/>
              </w:rPr>
              <w:t>D</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僱員再培訓局</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6</w:t>
            </w:r>
            <w:r w:rsidRPr="00816A2B">
              <w:rPr>
                <w:szCs w:val="28"/>
              </w:rPr>
              <w:t>E</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職業訓練局</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7</w:t>
            </w:r>
            <w:r w:rsidRPr="00816A2B">
              <w:rPr>
                <w:szCs w:val="28"/>
              </w:rPr>
              <w:t>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法定最低工資</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7B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proofErr w:type="gramStart"/>
            <w:r w:rsidRPr="00816A2B">
              <w:rPr>
                <w:rFonts w:hint="eastAsia"/>
                <w:iCs/>
                <w:color w:val="000000"/>
                <w:szCs w:val="28"/>
              </w:rPr>
              <w:t>僱傭</w:t>
            </w:r>
            <w:proofErr w:type="gramEnd"/>
            <w:r w:rsidRPr="00816A2B">
              <w:rPr>
                <w:rFonts w:hint="eastAsia"/>
                <w:iCs/>
                <w:color w:val="000000"/>
                <w:szCs w:val="28"/>
              </w:rPr>
              <w:t>保障：僱員權益及福利</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7</w:t>
            </w:r>
            <w:r w:rsidRPr="00816A2B">
              <w:rPr>
                <w:szCs w:val="28"/>
              </w:rPr>
              <w:t>C</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proofErr w:type="gramStart"/>
            <w:r w:rsidRPr="00816A2B">
              <w:rPr>
                <w:rFonts w:hint="eastAsia"/>
                <w:iCs/>
                <w:color w:val="000000"/>
                <w:szCs w:val="28"/>
              </w:rPr>
              <w:t>《</w:t>
            </w:r>
            <w:proofErr w:type="gramEnd"/>
            <w:r w:rsidRPr="00816A2B">
              <w:rPr>
                <w:rFonts w:hint="eastAsia"/>
                <w:iCs/>
                <w:color w:val="000000"/>
                <w:szCs w:val="28"/>
              </w:rPr>
              <w:t>肺塵埃</w:t>
            </w:r>
            <w:proofErr w:type="gramStart"/>
            <w:r w:rsidRPr="00816A2B">
              <w:rPr>
                <w:rFonts w:hint="eastAsia"/>
                <w:iCs/>
                <w:color w:val="000000"/>
                <w:szCs w:val="28"/>
              </w:rPr>
              <w:t>沉</w:t>
            </w:r>
            <w:proofErr w:type="gramEnd"/>
            <w:r w:rsidRPr="00816A2B">
              <w:rPr>
                <w:rFonts w:hint="eastAsia"/>
                <w:iCs/>
                <w:color w:val="000000"/>
                <w:szCs w:val="28"/>
              </w:rPr>
              <w:t>着病及間皮瘤（補償）條例》（第</w:t>
            </w:r>
            <w:r w:rsidRPr="00816A2B">
              <w:rPr>
                <w:iCs/>
                <w:color w:val="000000"/>
                <w:szCs w:val="28"/>
              </w:rPr>
              <w:t>‍360</w:t>
            </w:r>
            <w:r w:rsidRPr="00816A2B">
              <w:rPr>
                <w:rFonts w:hint="eastAsia"/>
                <w:iCs/>
                <w:color w:val="000000"/>
                <w:szCs w:val="28"/>
              </w:rPr>
              <w:t>章）規定的補償</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7D</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《職業性失聰（補償）條例》（第</w:t>
            </w:r>
            <w:r w:rsidRPr="00816A2B">
              <w:rPr>
                <w:rFonts w:hint="eastAsia"/>
                <w:iCs/>
                <w:color w:val="000000"/>
                <w:szCs w:val="28"/>
              </w:rPr>
              <w:t>469</w:t>
            </w:r>
            <w:r w:rsidRPr="00816A2B">
              <w:rPr>
                <w:rFonts w:hint="eastAsia"/>
                <w:iCs/>
                <w:color w:val="000000"/>
                <w:szCs w:val="28"/>
              </w:rPr>
              <w:t>章）規定的補償</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8A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僱員工會的數目與公布的會員人數</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8B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鼓勵勞資雙方進行有效溝通、諮詢和自願協商</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9A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綜合社會保障援助計劃最新情況</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9B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公共福利金計劃下的津貼</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smartTag w:uri="urn:schemas-microsoft-com:office:smarttags" w:element="chmetcnv">
              <w:smartTagPr>
                <w:attr w:name="TCSC" w:val="0"/>
                <w:attr w:name="NumberType" w:val="1"/>
                <w:attr w:name="Negative" w:val="False"/>
                <w:attr w:name="HasSpace" w:val="False"/>
                <w:attr w:name="SourceValue" w:val="9"/>
                <w:attr w:name="UnitName" w:val="C"/>
              </w:smartTagPr>
              <w:r w:rsidRPr="00816A2B">
                <w:rPr>
                  <w:szCs w:val="28"/>
                </w:rPr>
                <w:t>9C</w:t>
              </w:r>
            </w:smartTag>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《僱員補償條例》（第</w:t>
            </w:r>
            <w:r w:rsidRPr="00816A2B">
              <w:rPr>
                <w:rFonts w:hint="eastAsia"/>
                <w:iCs/>
                <w:color w:val="000000"/>
                <w:szCs w:val="28"/>
              </w:rPr>
              <w:t>282</w:t>
            </w:r>
            <w:r w:rsidRPr="00816A2B">
              <w:rPr>
                <w:rFonts w:hint="eastAsia"/>
                <w:iCs/>
                <w:color w:val="000000"/>
                <w:szCs w:val="28"/>
              </w:rPr>
              <w:t>章）規定的補償</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單親家庭的情況</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家庭議會</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0C</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兒童事務委員會</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0D</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向家庭提供的福利服務</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0E</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支援內地新來港人士的服務</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lastRenderedPageBreak/>
              <w:t>1</w:t>
            </w:r>
            <w:r w:rsidRPr="00816A2B">
              <w:rPr>
                <w:szCs w:val="28"/>
              </w:rPr>
              <w:t>0F</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單程證、雙程證及赴港簽注的優化安排</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0G</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預防家庭暴力及為家暴受害人提供的支援</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10</w:t>
            </w:r>
            <w:r w:rsidRPr="00816A2B">
              <w:rPr>
                <w:szCs w:val="28"/>
              </w:rPr>
              <w:t>H</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iCs/>
                <w:color w:val="000000"/>
                <w:szCs w:val="28"/>
              </w:rPr>
              <w:t>2014</w:t>
            </w:r>
            <w:r w:rsidRPr="00816A2B">
              <w:rPr>
                <w:rFonts w:hint="eastAsia"/>
                <w:iCs/>
                <w:color w:val="000000"/>
                <w:szCs w:val="28"/>
              </w:rPr>
              <w:t>至</w:t>
            </w:r>
            <w:r w:rsidRPr="00816A2B">
              <w:rPr>
                <w:iCs/>
                <w:color w:val="000000"/>
                <w:szCs w:val="28"/>
              </w:rPr>
              <w:t>2018</w:t>
            </w:r>
            <w:r w:rsidRPr="00816A2B">
              <w:rPr>
                <w:rFonts w:hint="eastAsia"/>
                <w:iCs/>
                <w:color w:val="000000"/>
                <w:szCs w:val="28"/>
              </w:rPr>
              <w:t>年虐待兒童個案種類及數目</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0I</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照顧及支援長者</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11A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香港整體經濟狀況</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11</w:t>
            </w:r>
            <w:r w:rsidRPr="00816A2B">
              <w:rPr>
                <w:szCs w:val="28"/>
              </w:rPr>
              <w:t>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貧窮線及其分析框架</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11</w:t>
            </w:r>
            <w:r w:rsidRPr="00816A2B">
              <w:rPr>
                <w:szCs w:val="28"/>
              </w:rPr>
              <w:t>C</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在職家庭津貼計劃</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11</w:t>
            </w:r>
            <w:r w:rsidRPr="00816A2B">
              <w:rPr>
                <w:szCs w:val="28"/>
              </w:rPr>
              <w:t>D</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在食物和用水的供應，以及增加房屋土地供應方面的工作</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w:t>
            </w:r>
            <w:r w:rsidRPr="00816A2B">
              <w:rPr>
                <w:szCs w:val="28"/>
              </w:rPr>
              <w:t>A</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全港性電子健康紀錄互通系統、公立醫院及門診服務和牙齒保健服務</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中醫藥發展</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12C</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禁毒政策及措施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12D</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本地酒精相關危害的情況及現行介入措施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12E</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食物安全</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12F</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為殘疾人士提供的社區支援服務及住宿照顧服務</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12G</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水污染管制、廢物管理、空氣污染管制、噪音管制及環保教育等相關工作</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smartTag w:uri="urn:schemas-microsoft-com:office:smarttags" w:element="chmetcnv">
              <w:smartTagPr>
                <w:attr w:name="TCSC" w:val="0"/>
                <w:attr w:name="NumberType" w:val="1"/>
                <w:attr w:name="Negative" w:val="False"/>
                <w:attr w:name="HasSpace" w:val="False"/>
                <w:attr w:name="SourceValue" w:val="13"/>
                <w:attr w:name="UnitName" w:val="a"/>
              </w:smartTagPr>
              <w:r w:rsidRPr="00816A2B">
                <w:rPr>
                  <w:szCs w:val="28"/>
                </w:rPr>
                <w:t>13A</w:t>
              </w:r>
            </w:smartTag>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iCs/>
                <w:color w:val="000000"/>
                <w:szCs w:val="28"/>
              </w:rPr>
              <w:t>香港居民的教育程度</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13B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幼稚園教育、中小學教育、職業專才教育、私立學校、專上教育、成人教育、優質教育基金及資歷架構的情況</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smartTag w:uri="urn:schemas-microsoft-com:office:smarttags" w:element="chmetcnv">
              <w:smartTagPr>
                <w:attr w:name="TCSC" w:val="0"/>
                <w:attr w:name="NumberType" w:val="1"/>
                <w:attr w:name="Negative" w:val="False"/>
                <w:attr w:name="HasSpace" w:val="False"/>
                <w:attr w:name="SourceValue" w:val="13"/>
                <w:attr w:name="UnitName" w:val="C"/>
              </w:smartTagPr>
              <w:r w:rsidRPr="00816A2B">
                <w:rPr>
                  <w:szCs w:val="28"/>
                </w:rPr>
                <w:t>13C</w:t>
              </w:r>
            </w:smartTag>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兩文三語和教學語言的相關措施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szCs w:val="28"/>
              </w:rPr>
              <w:t>13D</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支援學校和非華語學生學習中文的主要措施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13E</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特殊教育的新近發展及措施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lastRenderedPageBreak/>
              <w:t>13F</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協助學校支援有特殊教育需要的學生的措施</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13G</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文化認同及國家價值觀念</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15A</w:t>
            </w:r>
          </w:p>
        </w:tc>
        <w:tc>
          <w:tcPr>
            <w:tcW w:w="5926" w:type="dxa"/>
          </w:tcPr>
          <w:p w:rsidR="006D2061" w:rsidRPr="00816A2B" w:rsidRDefault="006D2061" w:rsidP="00646108">
            <w:pPr>
              <w:snapToGrid w:val="0"/>
              <w:spacing w:after="120" w:line="400" w:lineRule="atLeast"/>
              <w:ind w:left="412" w:hangingChars="147" w:hanging="412"/>
              <w:jc w:val="both"/>
              <w:rPr>
                <w:iCs/>
                <w:color w:val="000000"/>
                <w:szCs w:val="28"/>
              </w:rPr>
            </w:pPr>
            <w:r w:rsidRPr="00816A2B">
              <w:rPr>
                <w:rFonts w:hint="eastAsia"/>
                <w:iCs/>
                <w:color w:val="000000"/>
                <w:szCs w:val="28"/>
              </w:rPr>
              <w:t>文化設施與推廣文化藝術及參與文化藝術活動</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15B</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文物保育政策、文物保育專員辦事處及古物諮詢委員會</w:t>
            </w:r>
          </w:p>
        </w:tc>
        <w:tc>
          <w:tcPr>
            <w:tcW w:w="1161" w:type="dxa"/>
          </w:tcPr>
          <w:p w:rsidR="006D2061" w:rsidRPr="00816A2B" w:rsidRDefault="006D2061" w:rsidP="006F6D1D">
            <w:pPr>
              <w:snapToGrid w:val="0"/>
              <w:spacing w:after="120" w:line="400" w:lineRule="atLeast"/>
              <w:jc w:val="right"/>
              <w:rPr>
                <w:szCs w:val="28"/>
              </w:rPr>
            </w:pPr>
          </w:p>
        </w:tc>
      </w:tr>
      <w:tr w:rsidR="006D2061" w:rsidRPr="00816A2B" w:rsidTr="00036B35">
        <w:tc>
          <w:tcPr>
            <w:tcW w:w="1994" w:type="dxa"/>
          </w:tcPr>
          <w:p w:rsidR="006D2061" w:rsidRPr="00816A2B" w:rsidRDefault="006D2061" w:rsidP="006F6D1D">
            <w:pPr>
              <w:snapToGrid w:val="0"/>
              <w:spacing w:after="120" w:line="400" w:lineRule="atLeast"/>
              <w:rPr>
                <w:szCs w:val="28"/>
              </w:rPr>
            </w:pPr>
            <w:r w:rsidRPr="00816A2B">
              <w:rPr>
                <w:rFonts w:hint="eastAsia"/>
                <w:szCs w:val="28"/>
              </w:rPr>
              <w:t>1</w:t>
            </w:r>
            <w:r w:rsidRPr="00816A2B">
              <w:rPr>
                <w:szCs w:val="28"/>
              </w:rPr>
              <w:t>5C</w:t>
            </w:r>
          </w:p>
        </w:tc>
        <w:tc>
          <w:tcPr>
            <w:tcW w:w="5926" w:type="dxa"/>
          </w:tcPr>
          <w:p w:rsidR="006D2061" w:rsidRPr="00816A2B" w:rsidRDefault="006D2061" w:rsidP="006F6D1D">
            <w:pPr>
              <w:snapToGrid w:val="0"/>
              <w:spacing w:after="120" w:line="400" w:lineRule="atLeast"/>
              <w:ind w:left="412" w:right="195" w:hangingChars="147" w:hanging="412"/>
              <w:jc w:val="both"/>
              <w:rPr>
                <w:iCs/>
                <w:color w:val="000000"/>
                <w:szCs w:val="28"/>
              </w:rPr>
            </w:pPr>
            <w:r w:rsidRPr="00816A2B">
              <w:rPr>
                <w:rFonts w:hint="eastAsia"/>
                <w:iCs/>
                <w:color w:val="000000"/>
                <w:szCs w:val="28"/>
              </w:rPr>
              <w:t>推動創科發展</w:t>
            </w:r>
          </w:p>
        </w:tc>
        <w:tc>
          <w:tcPr>
            <w:tcW w:w="1161" w:type="dxa"/>
          </w:tcPr>
          <w:p w:rsidR="006D2061" w:rsidRPr="00816A2B" w:rsidRDefault="006D2061" w:rsidP="006F6D1D">
            <w:pPr>
              <w:snapToGrid w:val="0"/>
              <w:spacing w:after="120" w:line="400" w:lineRule="atLeast"/>
              <w:jc w:val="right"/>
              <w:rPr>
                <w:szCs w:val="28"/>
              </w:rPr>
            </w:pPr>
          </w:p>
        </w:tc>
      </w:tr>
    </w:tbl>
    <w:p w:rsidR="006D2061" w:rsidRPr="00816A2B" w:rsidRDefault="006D2061" w:rsidP="007F7E98">
      <w:pPr>
        <w:snapToGrid w:val="0"/>
        <w:spacing w:line="400" w:lineRule="atLeast"/>
        <w:sectPr w:rsidR="006D2061" w:rsidRPr="00816A2B" w:rsidSect="007F7E98">
          <w:footerReference w:type="default" r:id="rId9"/>
          <w:pgSz w:w="11906" w:h="16838"/>
          <w:pgMar w:top="1440" w:right="1800" w:bottom="1440" w:left="1800" w:header="720" w:footer="720" w:gutter="0"/>
          <w:pgNumType w:start="1"/>
          <w:cols w:space="425"/>
          <w:docGrid w:type="lines" w:linePitch="381"/>
        </w:sectPr>
      </w:pPr>
    </w:p>
    <w:tbl>
      <w:tblPr>
        <w:tblW w:w="9026" w:type="dxa"/>
        <w:tblInd w:w="11" w:type="dxa"/>
        <w:tblLayout w:type="fixed"/>
        <w:tblCellMar>
          <w:left w:w="28" w:type="dxa"/>
          <w:right w:w="28" w:type="dxa"/>
        </w:tblCellMar>
        <w:tblLook w:val="0000" w:firstRow="0" w:lastRow="0" w:firstColumn="0" w:lastColumn="0" w:noHBand="0" w:noVBand="0"/>
      </w:tblPr>
      <w:tblGrid>
        <w:gridCol w:w="7"/>
        <w:gridCol w:w="2700"/>
        <w:gridCol w:w="11"/>
        <w:gridCol w:w="6308"/>
      </w:tblGrid>
      <w:tr w:rsidR="006D2061" w:rsidRPr="00816A2B" w:rsidTr="00036B35">
        <w:trPr>
          <w:trHeight w:val="20"/>
          <w:tblHeader/>
        </w:trPr>
        <w:tc>
          <w:tcPr>
            <w:tcW w:w="2707" w:type="dxa"/>
            <w:gridSpan w:val="2"/>
            <w:shd w:val="clear" w:color="auto" w:fill="auto"/>
          </w:tcPr>
          <w:p w:rsidR="006D2061" w:rsidRPr="00816A2B" w:rsidRDefault="006D2061" w:rsidP="00036B35">
            <w:pPr>
              <w:adjustRightInd w:val="0"/>
              <w:snapToGrid w:val="0"/>
              <w:spacing w:after="120" w:line="380" w:lineRule="atLeast"/>
              <w:rPr>
                <w:b/>
                <w:szCs w:val="28"/>
              </w:rPr>
            </w:pPr>
            <w:r w:rsidRPr="00816A2B">
              <w:lastRenderedPageBreak/>
              <w:br w:type="page"/>
            </w:r>
            <w:r w:rsidRPr="00816A2B">
              <w:br w:type="page"/>
            </w:r>
            <w:r w:rsidRPr="00816A2B">
              <w:br w:type="page"/>
            </w:r>
            <w:r w:rsidRPr="00816A2B">
              <w:br w:type="page"/>
            </w:r>
            <w:r w:rsidRPr="00816A2B">
              <w:br w:type="page"/>
            </w:r>
            <w:r w:rsidRPr="00816A2B">
              <w:rPr>
                <w:u w:val="single"/>
              </w:rPr>
              <w:br w:type="page"/>
            </w:r>
            <w:r w:rsidRPr="00816A2B">
              <w:rPr>
                <w:u w:val="single"/>
              </w:rPr>
              <w:br w:type="page"/>
            </w:r>
            <w:r w:rsidRPr="00816A2B">
              <w:rPr>
                <w:rFonts w:hint="eastAsia"/>
                <w:b/>
                <w:szCs w:val="28"/>
              </w:rPr>
              <w:t>簡稱對照表</w:t>
            </w:r>
          </w:p>
        </w:tc>
        <w:tc>
          <w:tcPr>
            <w:tcW w:w="6319" w:type="dxa"/>
            <w:gridSpan w:val="2"/>
            <w:shd w:val="clear" w:color="auto" w:fill="auto"/>
          </w:tcPr>
          <w:p w:rsidR="006D2061" w:rsidRPr="00816A2B" w:rsidRDefault="006D2061" w:rsidP="00036B35">
            <w:pPr>
              <w:adjustRightInd w:val="0"/>
              <w:snapToGrid w:val="0"/>
              <w:spacing w:after="120" w:line="380" w:lineRule="atLeast"/>
              <w:ind w:right="300"/>
              <w:rPr>
                <w:szCs w:val="28"/>
              </w:rPr>
            </w:pPr>
          </w:p>
        </w:tc>
      </w:tr>
      <w:tr w:rsidR="006D2061" w:rsidRPr="00816A2B" w:rsidTr="00036B35">
        <w:trPr>
          <w:trHeight w:val="20"/>
          <w:tblHeader/>
        </w:trPr>
        <w:tc>
          <w:tcPr>
            <w:tcW w:w="2707" w:type="dxa"/>
            <w:gridSpan w:val="2"/>
            <w:shd w:val="clear" w:color="auto" w:fill="auto"/>
          </w:tcPr>
          <w:p w:rsidR="006D2061" w:rsidRPr="00816A2B" w:rsidRDefault="006D2061" w:rsidP="00036B35">
            <w:pPr>
              <w:adjustRightInd w:val="0"/>
              <w:snapToGrid w:val="0"/>
              <w:spacing w:after="120" w:line="380" w:lineRule="atLeast"/>
              <w:rPr>
                <w:szCs w:val="28"/>
              </w:rPr>
            </w:pPr>
          </w:p>
        </w:tc>
        <w:tc>
          <w:tcPr>
            <w:tcW w:w="6319" w:type="dxa"/>
            <w:gridSpan w:val="2"/>
            <w:shd w:val="clear" w:color="auto" w:fill="auto"/>
          </w:tcPr>
          <w:p w:rsidR="006D2061" w:rsidRPr="00816A2B" w:rsidRDefault="006D2061" w:rsidP="00036B35">
            <w:pPr>
              <w:adjustRightInd w:val="0"/>
              <w:snapToGrid w:val="0"/>
              <w:spacing w:after="120" w:line="380" w:lineRule="atLeast"/>
              <w:ind w:right="300"/>
              <w:rPr>
                <w:szCs w:val="28"/>
              </w:rPr>
            </w:pP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香港特區</w:t>
            </w:r>
          </w:p>
        </w:tc>
        <w:tc>
          <w:tcPr>
            <w:tcW w:w="6308" w:type="dxa"/>
            <w:shd w:val="clear" w:color="auto" w:fill="auto"/>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中華人民共和國香港特別行政區</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公約</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《經濟、社會</w:t>
            </w:r>
            <w:r w:rsidRPr="00816A2B">
              <w:rPr>
                <w:rFonts w:ascii="標楷體" w:hAnsi="標楷體" w:hint="eastAsia"/>
                <w:color w:val="000000"/>
                <w:szCs w:val="28"/>
                <w:lang w:eastAsia="zh-HK"/>
              </w:rPr>
              <w:t>及</w:t>
            </w:r>
            <w:r w:rsidRPr="00816A2B">
              <w:rPr>
                <w:rFonts w:ascii="標楷體" w:hAnsi="標楷體"/>
                <w:color w:val="000000"/>
                <w:szCs w:val="28"/>
              </w:rPr>
              <w:t>文化權利國際公約》</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本報告</w:t>
            </w:r>
          </w:p>
        </w:tc>
        <w:tc>
          <w:tcPr>
            <w:tcW w:w="6308" w:type="dxa"/>
            <w:shd w:val="clear" w:color="auto" w:fill="auto"/>
            <w:hideMark/>
          </w:tcPr>
          <w:p w:rsidR="006D2061" w:rsidRPr="00816A2B" w:rsidRDefault="006D2061" w:rsidP="00036B35">
            <w:pPr>
              <w:adjustRightInd w:val="0"/>
              <w:snapToGrid w:val="0"/>
              <w:spacing w:after="120" w:line="380" w:lineRule="atLeast"/>
              <w:ind w:right="195"/>
              <w:jc w:val="both"/>
              <w:rPr>
                <w:rFonts w:eastAsia="新細明體"/>
                <w:color w:val="000000"/>
                <w:szCs w:val="28"/>
              </w:rPr>
            </w:pPr>
            <w:r w:rsidRPr="00816A2B">
              <w:rPr>
                <w:rFonts w:ascii="標楷體" w:hAnsi="標楷體"/>
                <w:color w:val="000000"/>
                <w:szCs w:val="28"/>
              </w:rPr>
              <w:t>中華人民共和國香港特別行政區（香港特區）根據《經濟、社會</w:t>
            </w:r>
            <w:r w:rsidRPr="00816A2B">
              <w:rPr>
                <w:rFonts w:ascii="標楷體" w:hAnsi="標楷體" w:hint="eastAsia"/>
                <w:color w:val="000000"/>
                <w:szCs w:val="28"/>
                <w:lang w:eastAsia="zh-HK"/>
              </w:rPr>
              <w:t>及</w:t>
            </w:r>
            <w:r w:rsidRPr="00816A2B">
              <w:rPr>
                <w:rFonts w:ascii="標楷體" w:hAnsi="標楷體"/>
                <w:color w:val="000000"/>
                <w:szCs w:val="28"/>
              </w:rPr>
              <w:t>文化權利國際公約》（公約）提交的第四次報告</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委員會</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經濟、社會與文化權利委員會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上次報告</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ascii="標楷體" w:hAnsi="標楷體"/>
                <w:color w:val="000000"/>
                <w:szCs w:val="28"/>
              </w:rPr>
            </w:pPr>
            <w:r w:rsidRPr="00816A2B">
              <w:rPr>
                <w:rFonts w:ascii="標楷體" w:hAnsi="標楷體" w:hint="eastAsia"/>
                <w:color w:val="000000"/>
                <w:szCs w:val="28"/>
              </w:rPr>
              <w:t>香港特區根據公約在</w:t>
            </w:r>
            <w:r w:rsidRPr="00816A2B">
              <w:rPr>
                <w:color w:val="000000"/>
                <w:szCs w:val="28"/>
              </w:rPr>
              <w:t>2010</w:t>
            </w:r>
            <w:r w:rsidRPr="00816A2B">
              <w:rPr>
                <w:rFonts w:ascii="標楷體" w:hAnsi="標楷體" w:hint="eastAsia"/>
                <w:color w:val="000000"/>
                <w:szCs w:val="28"/>
              </w:rPr>
              <w:t>年提交的第三次報告</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上次審議結論</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委員會於</w:t>
            </w:r>
            <w:r w:rsidRPr="00816A2B">
              <w:rPr>
                <w:rFonts w:eastAsia="新細明體"/>
                <w:color w:val="000000"/>
                <w:szCs w:val="28"/>
              </w:rPr>
              <w:t>2014</w:t>
            </w:r>
            <w:r w:rsidRPr="00816A2B">
              <w:rPr>
                <w:rFonts w:ascii="標楷體" w:hAnsi="標楷體"/>
                <w:color w:val="000000"/>
                <w:szCs w:val="28"/>
              </w:rPr>
              <w:t>年</w:t>
            </w:r>
            <w:r w:rsidRPr="00816A2B">
              <w:rPr>
                <w:rFonts w:eastAsia="新細明體"/>
                <w:color w:val="000000"/>
                <w:szCs w:val="28"/>
              </w:rPr>
              <w:t>5</w:t>
            </w:r>
            <w:r w:rsidRPr="00816A2B">
              <w:rPr>
                <w:rFonts w:ascii="標楷體" w:hAnsi="標楷體"/>
                <w:color w:val="000000"/>
                <w:szCs w:val="28"/>
              </w:rPr>
              <w:t>月通過的審議結論</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lang w:eastAsia="zh-HK"/>
              </w:rPr>
              <w:t>政</w:t>
            </w:r>
            <w:r w:rsidRPr="00816A2B">
              <w:rPr>
                <w:rFonts w:ascii="標楷體" w:hAnsi="標楷體" w:hint="eastAsia"/>
                <w:color w:val="000000"/>
                <w:szCs w:val="28"/>
              </w:rPr>
              <w:t>府</w:t>
            </w:r>
          </w:p>
        </w:tc>
        <w:tc>
          <w:tcPr>
            <w:tcW w:w="6308" w:type="dxa"/>
            <w:shd w:val="clear" w:color="auto" w:fill="auto"/>
            <w:noWrap/>
          </w:tcPr>
          <w:p w:rsidR="006D2061" w:rsidRPr="00816A2B" w:rsidRDefault="006D2061" w:rsidP="00036B35">
            <w:pPr>
              <w:adjustRightInd w:val="0"/>
              <w:snapToGrid w:val="0"/>
              <w:spacing w:after="120" w:line="380" w:lineRule="atLeast"/>
              <w:ind w:right="15"/>
              <w:jc w:val="both"/>
              <w:rPr>
                <w:rFonts w:ascii="標楷體" w:hAnsi="標楷體"/>
                <w:color w:val="000000"/>
                <w:szCs w:val="28"/>
              </w:rPr>
            </w:pPr>
            <w:r w:rsidRPr="00816A2B">
              <w:rPr>
                <w:rFonts w:ascii="標楷體" w:hAnsi="標楷體" w:hint="eastAsia"/>
                <w:color w:val="000000"/>
                <w:szCs w:val="28"/>
                <w:lang w:eastAsia="zh-HK"/>
              </w:rPr>
              <w:t>香</w:t>
            </w:r>
            <w:r w:rsidRPr="00816A2B">
              <w:rPr>
                <w:rFonts w:ascii="標楷體" w:hAnsi="標楷體" w:hint="eastAsia"/>
                <w:color w:val="000000"/>
                <w:szCs w:val="28"/>
              </w:rPr>
              <w:t>港</w:t>
            </w:r>
            <w:r w:rsidRPr="00816A2B">
              <w:rPr>
                <w:rFonts w:ascii="標楷體" w:hAnsi="標楷體" w:hint="eastAsia"/>
                <w:color w:val="000000"/>
                <w:szCs w:val="28"/>
                <w:lang w:eastAsia="zh-HK"/>
              </w:rPr>
              <w:t>特區政</w:t>
            </w:r>
            <w:r w:rsidRPr="00816A2B">
              <w:rPr>
                <w:rFonts w:ascii="標楷體" w:hAnsi="標楷體" w:hint="eastAsia"/>
                <w:color w:val="000000"/>
                <w:szCs w:val="28"/>
              </w:rPr>
              <w:t>府</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全國人大常委會</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全國人民代表大會常務委員會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《解釋》</w:t>
            </w:r>
          </w:p>
        </w:tc>
        <w:tc>
          <w:tcPr>
            <w:tcW w:w="6308" w:type="dxa"/>
            <w:shd w:val="clear" w:color="auto" w:fill="auto"/>
            <w:hideMark/>
          </w:tcPr>
          <w:p w:rsidR="006D2061" w:rsidRPr="00816A2B" w:rsidRDefault="006D2061" w:rsidP="00036B35">
            <w:pPr>
              <w:adjustRightInd w:val="0"/>
              <w:snapToGrid w:val="0"/>
              <w:spacing w:after="120" w:line="380" w:lineRule="atLeast"/>
              <w:ind w:right="15"/>
              <w:jc w:val="both"/>
              <w:rPr>
                <w:rFonts w:ascii="標楷體" w:hAnsi="標楷體"/>
                <w:color w:val="000000"/>
                <w:szCs w:val="28"/>
              </w:rPr>
            </w:pPr>
            <w:r w:rsidRPr="00816A2B">
              <w:rPr>
                <w:rFonts w:ascii="標楷體" w:hAnsi="標楷體" w:hint="eastAsia"/>
                <w:color w:val="000000"/>
                <w:szCs w:val="28"/>
              </w:rPr>
              <w:t>《全國人民代表大會常務委員會關於〈中華人民共和國香港特別行政區基本法〉附件一第七條和附件二第三條的解釋》</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w:t>
            </w:r>
            <w:r w:rsidRPr="00816A2B">
              <w:rPr>
                <w:rFonts w:eastAsia="新細明體"/>
                <w:color w:val="000000"/>
                <w:szCs w:val="28"/>
              </w:rPr>
              <w:t>8.31</w:t>
            </w:r>
            <w:r w:rsidRPr="00816A2B">
              <w:rPr>
                <w:rFonts w:ascii="標楷體" w:hAnsi="標楷體"/>
                <w:color w:val="000000"/>
                <w:szCs w:val="28"/>
              </w:rPr>
              <w:t>決定」</w:t>
            </w:r>
          </w:p>
        </w:tc>
        <w:tc>
          <w:tcPr>
            <w:tcW w:w="6308" w:type="dxa"/>
            <w:shd w:val="clear" w:color="auto" w:fill="auto"/>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全國人大常委會在</w:t>
            </w:r>
            <w:r w:rsidRPr="00816A2B">
              <w:rPr>
                <w:rFonts w:eastAsia="新細明體"/>
                <w:color w:val="000000"/>
                <w:szCs w:val="28"/>
              </w:rPr>
              <w:t>2014</w:t>
            </w:r>
            <w:r w:rsidRPr="00816A2B">
              <w:rPr>
                <w:rFonts w:ascii="標楷體" w:hAnsi="標楷體"/>
                <w:color w:val="000000"/>
                <w:szCs w:val="28"/>
              </w:rPr>
              <w:t>年</w:t>
            </w:r>
            <w:r w:rsidRPr="00816A2B">
              <w:rPr>
                <w:rFonts w:eastAsia="新細明體"/>
                <w:color w:val="000000"/>
                <w:szCs w:val="28"/>
              </w:rPr>
              <w:t>8</w:t>
            </w:r>
            <w:r w:rsidRPr="00816A2B">
              <w:rPr>
                <w:rFonts w:ascii="標楷體" w:hAnsi="標楷體"/>
                <w:color w:val="000000"/>
                <w:szCs w:val="28"/>
              </w:rPr>
              <w:t>月</w:t>
            </w:r>
            <w:r w:rsidRPr="00816A2B">
              <w:rPr>
                <w:rFonts w:eastAsia="新細明體"/>
                <w:color w:val="000000"/>
                <w:szCs w:val="28"/>
              </w:rPr>
              <w:t>31</w:t>
            </w:r>
            <w:r w:rsidRPr="00816A2B">
              <w:rPr>
                <w:rFonts w:ascii="標楷體" w:hAnsi="標楷體"/>
                <w:color w:val="000000"/>
                <w:szCs w:val="28"/>
              </w:rPr>
              <w:t>日通過</w:t>
            </w:r>
            <w:r w:rsidRPr="00816A2B">
              <w:rPr>
                <w:rFonts w:ascii="標楷體" w:hAnsi="標楷體" w:hint="eastAsia"/>
                <w:color w:val="000000"/>
                <w:szCs w:val="28"/>
              </w:rPr>
              <w:br/>
            </w:r>
            <w:r w:rsidRPr="00816A2B">
              <w:rPr>
                <w:rFonts w:ascii="標楷體" w:hAnsi="標楷體"/>
                <w:color w:val="000000"/>
                <w:szCs w:val="28"/>
              </w:rPr>
              <w:t>《關於香港特別行政區行政長官普選問題</w:t>
            </w:r>
            <w:r w:rsidRPr="00036B35">
              <w:rPr>
                <w:rFonts w:cs="Times New Roman"/>
                <w:color w:val="000000"/>
                <w:szCs w:val="28"/>
              </w:rPr>
              <w:t>和</w:t>
            </w:r>
            <w:r w:rsidR="00036B35" w:rsidRPr="00036B35">
              <w:rPr>
                <w:rFonts w:cs="Times New Roman"/>
                <w:color w:val="000000"/>
                <w:szCs w:val="28"/>
                <w:lang w:val="en-GB"/>
              </w:rPr>
              <w:t>2016</w:t>
            </w:r>
            <w:r w:rsidRPr="00816A2B">
              <w:rPr>
                <w:rFonts w:ascii="標楷體" w:hAnsi="標楷體"/>
                <w:color w:val="000000"/>
                <w:szCs w:val="28"/>
              </w:rPr>
              <w:t>年立法會產生辦法的決定》</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平機會</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平等機會委員會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諮詢小組</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消除歧視性小眾諮詢小組</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工作小組</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ascii="標楷體" w:hAnsi="標楷體"/>
                <w:color w:val="000000"/>
                <w:szCs w:val="28"/>
              </w:rPr>
            </w:pPr>
            <w:r w:rsidRPr="00816A2B">
              <w:rPr>
                <w:rFonts w:ascii="標楷體" w:hAnsi="標楷體" w:hint="eastAsia"/>
                <w:color w:val="000000"/>
                <w:szCs w:val="28"/>
              </w:rPr>
              <w:t>性別承認跨部門工作小組</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《殘疾人公約》</w:t>
            </w:r>
          </w:p>
        </w:tc>
        <w:tc>
          <w:tcPr>
            <w:tcW w:w="6308" w:type="dxa"/>
            <w:shd w:val="clear" w:color="auto" w:fill="auto"/>
            <w:hideMark/>
          </w:tcPr>
          <w:p w:rsidR="006D2061" w:rsidRPr="00816A2B" w:rsidRDefault="006D2061" w:rsidP="00036B35">
            <w:pPr>
              <w:adjustRightInd w:val="0"/>
              <w:snapToGrid w:val="0"/>
              <w:spacing w:after="120" w:line="380" w:lineRule="atLeast"/>
              <w:ind w:right="15"/>
              <w:jc w:val="both"/>
              <w:rPr>
                <w:rFonts w:ascii="標楷體" w:hAnsi="標楷體"/>
                <w:color w:val="000000"/>
                <w:szCs w:val="28"/>
              </w:rPr>
            </w:pPr>
            <w:r w:rsidRPr="00816A2B">
              <w:rPr>
                <w:rFonts w:ascii="標楷體" w:hAnsi="標楷體" w:hint="eastAsia"/>
                <w:color w:val="000000"/>
                <w:szCs w:val="28"/>
              </w:rPr>
              <w:t>《殘疾人權利公約》</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勞福局</w:t>
            </w:r>
          </w:p>
        </w:tc>
        <w:tc>
          <w:tcPr>
            <w:tcW w:w="6308" w:type="dxa"/>
            <w:shd w:val="clear" w:color="auto" w:fill="auto"/>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勞工及福利局</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《設計手冊》</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《設計手冊：暢通無阻的通道</w:t>
            </w:r>
            <w:r w:rsidRPr="00816A2B">
              <w:rPr>
                <w:rFonts w:eastAsia="新細明體"/>
                <w:color w:val="000000"/>
                <w:szCs w:val="28"/>
              </w:rPr>
              <w:t>2008</w:t>
            </w:r>
            <w:r w:rsidRPr="00816A2B">
              <w:rPr>
                <w:rFonts w:ascii="標楷體" w:hAnsi="標楷體"/>
                <w:color w:val="000000"/>
                <w:szCs w:val="28"/>
              </w:rPr>
              <w:t>》</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lang w:eastAsia="zh-HK"/>
              </w:rPr>
              <w:t>康文署</w:t>
            </w:r>
          </w:p>
        </w:tc>
        <w:tc>
          <w:tcPr>
            <w:tcW w:w="6308" w:type="dxa"/>
            <w:shd w:val="clear" w:color="auto" w:fill="auto"/>
            <w:noWrap/>
          </w:tcPr>
          <w:p w:rsidR="006D2061" w:rsidRPr="00816A2B" w:rsidRDefault="006D2061" w:rsidP="00036B35">
            <w:pPr>
              <w:adjustRightInd w:val="0"/>
              <w:snapToGrid w:val="0"/>
              <w:spacing w:after="120" w:line="380" w:lineRule="atLeast"/>
              <w:ind w:right="15"/>
              <w:jc w:val="both"/>
              <w:rPr>
                <w:rFonts w:ascii="標楷體" w:hAnsi="標楷體"/>
                <w:color w:val="000000"/>
                <w:szCs w:val="28"/>
              </w:rPr>
            </w:pPr>
            <w:r w:rsidRPr="00816A2B">
              <w:rPr>
                <w:rFonts w:ascii="標楷體" w:hAnsi="標楷體" w:hint="eastAsia"/>
                <w:color w:val="000000"/>
                <w:szCs w:val="28"/>
                <w:lang w:eastAsia="zh-HK"/>
              </w:rPr>
              <w:t>康樂及文</w:t>
            </w:r>
            <w:r w:rsidRPr="00816A2B">
              <w:rPr>
                <w:rFonts w:ascii="標楷體" w:hAnsi="標楷體" w:hint="eastAsia"/>
                <w:color w:val="000000"/>
                <w:szCs w:val="28"/>
              </w:rPr>
              <w:t>化</w:t>
            </w:r>
            <w:r w:rsidRPr="00816A2B">
              <w:rPr>
                <w:rFonts w:ascii="標楷體" w:hAnsi="標楷體" w:hint="eastAsia"/>
                <w:color w:val="000000"/>
                <w:szCs w:val="28"/>
                <w:lang w:eastAsia="zh-HK"/>
              </w:rPr>
              <w:t>事</w:t>
            </w:r>
            <w:r w:rsidRPr="00816A2B">
              <w:rPr>
                <w:rFonts w:ascii="標楷體" w:hAnsi="標楷體" w:hint="eastAsia"/>
                <w:color w:val="000000"/>
                <w:szCs w:val="28"/>
              </w:rPr>
              <w:t>務</w:t>
            </w:r>
            <w:r w:rsidRPr="00816A2B">
              <w:rPr>
                <w:rFonts w:ascii="標楷體" w:hAnsi="標楷體" w:hint="eastAsia"/>
                <w:color w:val="000000"/>
                <w:szCs w:val="28"/>
                <w:lang w:eastAsia="zh-HK"/>
              </w:rPr>
              <w:t>署</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入境處</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入境事務處</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上訴委員會</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酷刑聲請上訴委員會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婦委會</w:t>
            </w:r>
          </w:p>
        </w:tc>
        <w:tc>
          <w:tcPr>
            <w:tcW w:w="6308" w:type="dxa"/>
            <w:shd w:val="clear" w:color="auto" w:fill="auto"/>
            <w:noWrap/>
            <w:hideMark/>
          </w:tcPr>
          <w:p w:rsidR="006D2061" w:rsidRPr="00816A2B" w:rsidRDefault="006D2061" w:rsidP="00036B35">
            <w:pPr>
              <w:adjustRightInd w:val="0"/>
              <w:snapToGrid w:val="0"/>
              <w:spacing w:after="120" w:line="380" w:lineRule="atLeast"/>
              <w:ind w:right="15"/>
              <w:jc w:val="both"/>
              <w:rPr>
                <w:rFonts w:eastAsia="新細明體"/>
                <w:color w:val="000000"/>
                <w:szCs w:val="28"/>
              </w:rPr>
            </w:pPr>
            <w:r w:rsidRPr="00816A2B">
              <w:rPr>
                <w:rFonts w:ascii="標楷體" w:hAnsi="標楷體"/>
                <w:color w:val="000000"/>
                <w:szCs w:val="28"/>
              </w:rPr>
              <w:t>婦女事務委員會</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lastRenderedPageBreak/>
              <w:t>年金公司</w:t>
            </w:r>
          </w:p>
        </w:tc>
        <w:tc>
          <w:tcPr>
            <w:tcW w:w="6308" w:type="dxa"/>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香港年金有限公司</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再培訓局</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僱員再培訓局</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外傭</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外籍家庭傭工</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《實務守則》</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《職業介紹所實務守則》</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職安健</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職業安全及健康</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勞顧會</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勞工顧問委員會</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綜援</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綜合社會保障援助</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社署</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社會福利署</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居權證</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居留權證明書</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單程證</w:t>
            </w:r>
          </w:p>
        </w:tc>
        <w:tc>
          <w:tcPr>
            <w:tcW w:w="6308" w:type="dxa"/>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前往港澳通行證</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雙程證</w:t>
            </w:r>
          </w:p>
        </w:tc>
        <w:tc>
          <w:tcPr>
            <w:tcW w:w="6308" w:type="dxa"/>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往來</w:t>
            </w:r>
            <w:r w:rsidRPr="00816A2B">
              <w:rPr>
                <w:rFonts w:ascii="標楷體" w:hAnsi="標楷體"/>
                <w:color w:val="000000"/>
                <w:szCs w:val="28"/>
              </w:rPr>
              <w:t>港澳通行證</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服務課</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保護家庭及兒童服務課</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安委會</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安老事務委員會</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社創基金</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社會創新及創業發展基金</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低津</w:t>
            </w:r>
          </w:p>
        </w:tc>
        <w:tc>
          <w:tcPr>
            <w:tcW w:w="6308" w:type="dxa"/>
            <w:shd w:val="clear" w:color="auto" w:fill="auto"/>
            <w:noWrap/>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低收入</w:t>
            </w:r>
            <w:r w:rsidRPr="00816A2B">
              <w:rPr>
                <w:rFonts w:ascii="標楷體" w:hAnsi="標楷體"/>
                <w:color w:val="000000"/>
                <w:szCs w:val="28"/>
              </w:rPr>
              <w:t>在職家庭津貼</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職津</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在職家庭津貼</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專責小組</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土地供應專責小組</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《長策》</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《長遠房屋策略》</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房委會</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香港房屋委員會</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「綠置居」</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「綠表置居計劃」</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居屋</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居者有其屋計劃</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「首置」</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「港人首次置業」</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醫管局</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醫院管理局</w:t>
            </w:r>
          </w:p>
        </w:tc>
      </w:tr>
      <w:tr w:rsidR="006D2061" w:rsidRPr="00036B35"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hint="eastAsia"/>
                <w:color w:val="000000"/>
                <w:szCs w:val="28"/>
              </w:rPr>
              <w:t>自願醫保</w:t>
            </w:r>
          </w:p>
        </w:tc>
        <w:tc>
          <w:tcPr>
            <w:tcW w:w="6308" w:type="dxa"/>
            <w:shd w:val="clear" w:color="auto" w:fill="auto"/>
            <w:noWrap/>
            <w:hideMark/>
          </w:tcPr>
          <w:p w:rsidR="006D2061" w:rsidRPr="00036B35" w:rsidRDefault="006D2061" w:rsidP="00036B35">
            <w:pPr>
              <w:adjustRightInd w:val="0"/>
              <w:snapToGrid w:val="0"/>
              <w:spacing w:after="120" w:line="360" w:lineRule="atLeast"/>
              <w:rPr>
                <w:rFonts w:ascii="標楷體" w:hAnsi="標楷體"/>
                <w:color w:val="000000"/>
                <w:szCs w:val="28"/>
              </w:rPr>
            </w:pPr>
            <w:r w:rsidRPr="00816A2B">
              <w:rPr>
                <w:rFonts w:ascii="標楷體" w:hAnsi="標楷體"/>
                <w:color w:val="000000"/>
                <w:szCs w:val="28"/>
              </w:rPr>
              <w:t>自願醫保計劃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食衞局</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食物及衞生局</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lastRenderedPageBreak/>
              <w:t>食安中心</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食物安全中心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維港</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維多利亞港</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教資會</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大學教育資助委員會</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「學習架構」</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「中國語文課程第二語言學習架構」</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藝發局</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香港藝術發展局</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西九管理局</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西九文化區管理局</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非遺</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非物質文化遺產</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檔案處</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政府檔案處</w:t>
            </w:r>
          </w:p>
        </w:tc>
      </w:tr>
      <w:tr w:rsidR="006D2061" w:rsidRPr="00816A2B"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港台</w:t>
            </w:r>
          </w:p>
        </w:tc>
        <w:tc>
          <w:tcPr>
            <w:tcW w:w="6308" w:type="dxa"/>
            <w:shd w:val="clear" w:color="auto" w:fill="auto"/>
            <w:noWrap/>
            <w:hideMark/>
          </w:tcPr>
          <w:p w:rsidR="006D2061" w:rsidRPr="00816A2B"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香港電台</w:t>
            </w:r>
          </w:p>
        </w:tc>
      </w:tr>
      <w:tr w:rsidR="006D2061" w:rsidRPr="00877D83" w:rsidTr="00036B35">
        <w:tblPrEx>
          <w:tblCellMar>
            <w:top w:w="15" w:type="dxa"/>
            <w:bottom w:w="15" w:type="dxa"/>
          </w:tblCellMar>
          <w:tblLook w:val="04A0" w:firstRow="1" w:lastRow="0" w:firstColumn="1" w:lastColumn="0" w:noHBand="0" w:noVBand="1"/>
        </w:tblPrEx>
        <w:trPr>
          <w:gridBefore w:val="1"/>
          <w:wBefore w:w="7" w:type="dxa"/>
          <w:trHeight w:val="20"/>
        </w:trPr>
        <w:tc>
          <w:tcPr>
            <w:tcW w:w="2711" w:type="dxa"/>
            <w:gridSpan w:val="2"/>
            <w:shd w:val="clear" w:color="auto" w:fill="auto"/>
            <w:noWrap/>
            <w:hideMark/>
          </w:tcPr>
          <w:p w:rsidR="006D2061" w:rsidRPr="00816A2B" w:rsidRDefault="006D2061" w:rsidP="00036B35">
            <w:pPr>
              <w:adjustRightInd w:val="0"/>
              <w:snapToGrid w:val="0"/>
              <w:spacing w:after="120" w:line="380" w:lineRule="atLeast"/>
              <w:rPr>
                <w:rFonts w:ascii="標楷體" w:hAnsi="標楷體"/>
                <w:color w:val="000000"/>
                <w:szCs w:val="28"/>
              </w:rPr>
            </w:pPr>
            <w:r w:rsidRPr="00816A2B">
              <w:rPr>
                <w:rFonts w:ascii="標楷體" w:hAnsi="標楷體" w:hint="eastAsia"/>
                <w:color w:val="000000"/>
                <w:szCs w:val="28"/>
              </w:rPr>
              <w:t>創科</w:t>
            </w:r>
          </w:p>
        </w:tc>
        <w:tc>
          <w:tcPr>
            <w:tcW w:w="6308" w:type="dxa"/>
            <w:shd w:val="clear" w:color="auto" w:fill="auto"/>
            <w:noWrap/>
            <w:hideMark/>
          </w:tcPr>
          <w:p w:rsidR="006D2061" w:rsidRPr="00877D83" w:rsidRDefault="006D2061" w:rsidP="00036B35">
            <w:pPr>
              <w:adjustRightInd w:val="0"/>
              <w:snapToGrid w:val="0"/>
              <w:spacing w:after="120" w:line="380" w:lineRule="atLeast"/>
              <w:rPr>
                <w:rFonts w:eastAsia="新細明體"/>
                <w:color w:val="000000"/>
                <w:szCs w:val="28"/>
              </w:rPr>
            </w:pPr>
            <w:r w:rsidRPr="00816A2B">
              <w:rPr>
                <w:rFonts w:ascii="標楷體" w:hAnsi="標楷體"/>
                <w:color w:val="000000"/>
                <w:szCs w:val="28"/>
              </w:rPr>
              <w:t>創新及科技</w:t>
            </w:r>
          </w:p>
        </w:tc>
      </w:tr>
    </w:tbl>
    <w:p w:rsidR="006D2061" w:rsidRPr="00C67C9F" w:rsidRDefault="006D2061" w:rsidP="007F7E98">
      <w:pPr>
        <w:snapToGrid w:val="0"/>
        <w:spacing w:line="400" w:lineRule="atLeast"/>
        <w:rPr>
          <w:u w:val="single"/>
        </w:rPr>
      </w:pPr>
    </w:p>
    <w:p w:rsidR="006D2061" w:rsidRDefault="006D2061">
      <w:pPr>
        <w:widowControl/>
        <w:rPr>
          <w:b/>
          <w:szCs w:val="28"/>
        </w:rPr>
      </w:pPr>
      <w:r>
        <w:rPr>
          <w:b/>
          <w:szCs w:val="28"/>
        </w:rPr>
        <w:br w:type="page"/>
      </w:r>
    </w:p>
    <w:p w:rsidR="006D2061" w:rsidRPr="00C50710" w:rsidRDefault="006D2061" w:rsidP="007F7E98">
      <w:pPr>
        <w:tabs>
          <w:tab w:val="left" w:pos="1440"/>
        </w:tabs>
        <w:snapToGrid w:val="0"/>
        <w:spacing w:line="400" w:lineRule="atLeast"/>
        <w:jc w:val="center"/>
        <w:rPr>
          <w:b/>
          <w:szCs w:val="28"/>
        </w:rPr>
      </w:pPr>
      <w:r w:rsidRPr="00C50710">
        <w:rPr>
          <w:rFonts w:hint="eastAsia"/>
          <w:b/>
          <w:szCs w:val="28"/>
        </w:rPr>
        <w:lastRenderedPageBreak/>
        <w:t>中華人民共和國</w:t>
      </w:r>
      <w:r w:rsidRPr="00C50710">
        <w:rPr>
          <w:b/>
          <w:szCs w:val="28"/>
        </w:rPr>
        <w:t>香港特別行政區</w:t>
      </w:r>
    </w:p>
    <w:p w:rsidR="006D2061" w:rsidRPr="00C50710" w:rsidRDefault="006D2061" w:rsidP="007F7E98">
      <w:pPr>
        <w:tabs>
          <w:tab w:val="left" w:pos="1440"/>
        </w:tabs>
        <w:snapToGrid w:val="0"/>
        <w:spacing w:line="400" w:lineRule="atLeast"/>
        <w:jc w:val="center"/>
        <w:rPr>
          <w:b/>
          <w:szCs w:val="28"/>
        </w:rPr>
      </w:pPr>
      <w:r w:rsidRPr="00C50710">
        <w:rPr>
          <w:rFonts w:hint="eastAsia"/>
          <w:b/>
          <w:szCs w:val="28"/>
        </w:rPr>
        <w:t>根據</w:t>
      </w:r>
      <w:r w:rsidRPr="00C50710">
        <w:rPr>
          <w:b/>
          <w:szCs w:val="28"/>
        </w:rPr>
        <w:t>《經濟、社會</w:t>
      </w:r>
      <w:r w:rsidRPr="00C50710">
        <w:rPr>
          <w:rFonts w:hint="eastAsia"/>
          <w:b/>
          <w:szCs w:val="28"/>
          <w:lang w:eastAsia="zh-HK"/>
        </w:rPr>
        <w:t>及</w:t>
      </w:r>
      <w:r w:rsidRPr="00C50710">
        <w:rPr>
          <w:b/>
          <w:szCs w:val="28"/>
        </w:rPr>
        <w:t>文化權利國際公約》</w:t>
      </w:r>
    </w:p>
    <w:p w:rsidR="006D2061" w:rsidRPr="00C50710" w:rsidRDefault="006D2061" w:rsidP="007F7E98">
      <w:pPr>
        <w:tabs>
          <w:tab w:val="left" w:pos="1440"/>
        </w:tabs>
        <w:snapToGrid w:val="0"/>
        <w:spacing w:line="400" w:lineRule="atLeast"/>
        <w:jc w:val="center"/>
        <w:rPr>
          <w:b/>
          <w:szCs w:val="28"/>
        </w:rPr>
      </w:pPr>
      <w:r w:rsidRPr="00C50710">
        <w:rPr>
          <w:b/>
          <w:szCs w:val="28"/>
        </w:rPr>
        <w:t>提交的第</w:t>
      </w:r>
      <w:r w:rsidRPr="00C50710">
        <w:rPr>
          <w:rFonts w:hint="eastAsia"/>
          <w:b/>
          <w:szCs w:val="28"/>
          <w:lang w:eastAsia="zh-HK"/>
        </w:rPr>
        <w:t>四</w:t>
      </w:r>
      <w:r w:rsidRPr="00C50710">
        <w:rPr>
          <w:b/>
          <w:szCs w:val="28"/>
        </w:rPr>
        <w:t>次報告</w:t>
      </w:r>
    </w:p>
    <w:p w:rsidR="006D2061" w:rsidRPr="00C50710" w:rsidRDefault="006D2061" w:rsidP="007F7E98">
      <w:pPr>
        <w:tabs>
          <w:tab w:val="left" w:pos="1440"/>
        </w:tabs>
        <w:snapToGrid w:val="0"/>
        <w:spacing w:line="400" w:lineRule="atLeast"/>
        <w:rPr>
          <w:b/>
          <w:szCs w:val="28"/>
        </w:rPr>
      </w:pPr>
    </w:p>
    <w:p w:rsidR="006D2061" w:rsidRPr="00C50710" w:rsidRDefault="006D2061" w:rsidP="007F7E98">
      <w:pPr>
        <w:tabs>
          <w:tab w:val="left" w:pos="1440"/>
        </w:tabs>
        <w:snapToGrid w:val="0"/>
        <w:spacing w:line="400" w:lineRule="atLeast"/>
        <w:rPr>
          <w:b/>
          <w:szCs w:val="28"/>
          <w:u w:val="single"/>
        </w:rPr>
      </w:pPr>
      <w:r w:rsidRPr="00C50710">
        <w:rPr>
          <w:b/>
          <w:szCs w:val="28"/>
          <w:u w:val="single"/>
        </w:rPr>
        <w:t>序言</w:t>
      </w:r>
    </w:p>
    <w:p w:rsidR="006D2061" w:rsidRPr="00C50710" w:rsidRDefault="006D2061" w:rsidP="007F7E98">
      <w:pPr>
        <w:tabs>
          <w:tab w:val="left" w:pos="1440"/>
        </w:tabs>
        <w:snapToGrid w:val="0"/>
        <w:spacing w:line="400" w:lineRule="atLeast"/>
        <w:rPr>
          <w:b/>
          <w:szCs w:val="28"/>
          <w:u w:val="single"/>
        </w:rPr>
      </w:pPr>
    </w:p>
    <w:p w:rsidR="006D2061" w:rsidRPr="00C50710" w:rsidRDefault="006D2061" w:rsidP="007F7E98">
      <w:pPr>
        <w:tabs>
          <w:tab w:val="left" w:pos="1440"/>
        </w:tabs>
        <w:snapToGrid w:val="0"/>
        <w:spacing w:line="400" w:lineRule="atLeast"/>
        <w:jc w:val="both"/>
        <w:rPr>
          <w:szCs w:val="28"/>
        </w:rPr>
      </w:pPr>
      <w:r w:rsidRPr="00C50710">
        <w:rPr>
          <w:rFonts w:hint="eastAsia"/>
          <w:szCs w:val="28"/>
        </w:rPr>
        <w:t>1.</w:t>
      </w:r>
      <w:r w:rsidRPr="00C50710">
        <w:rPr>
          <w:rFonts w:hint="eastAsia"/>
          <w:szCs w:val="28"/>
        </w:rPr>
        <w:tab/>
      </w:r>
      <w:r w:rsidRPr="00C50710">
        <w:rPr>
          <w:rFonts w:hint="eastAsia"/>
          <w:szCs w:val="28"/>
          <w:lang w:eastAsia="zh-HK"/>
        </w:rPr>
        <w:t>此乃</w:t>
      </w:r>
      <w:r w:rsidRPr="00C50710">
        <w:rPr>
          <w:szCs w:val="28"/>
        </w:rPr>
        <w:t>中華人民共和國香港特別行政區（香港特區）根據</w:t>
      </w:r>
      <w:r w:rsidRPr="00C50710">
        <w:rPr>
          <w:rFonts w:hint="eastAsia"/>
          <w:szCs w:val="28"/>
        </w:rPr>
        <w:t>《經濟、社會</w:t>
      </w:r>
      <w:r w:rsidRPr="00C50710">
        <w:rPr>
          <w:rFonts w:hint="eastAsia"/>
          <w:szCs w:val="28"/>
          <w:lang w:eastAsia="zh-HK"/>
        </w:rPr>
        <w:t>及</w:t>
      </w:r>
      <w:r w:rsidRPr="00C50710">
        <w:rPr>
          <w:rFonts w:hint="eastAsia"/>
          <w:szCs w:val="28"/>
        </w:rPr>
        <w:t>文化權利國際公約》</w:t>
      </w:r>
      <w:r w:rsidRPr="00C50710">
        <w:rPr>
          <w:szCs w:val="28"/>
        </w:rPr>
        <w:t>（公約）提交的第</w:t>
      </w:r>
      <w:r w:rsidRPr="00C50710">
        <w:rPr>
          <w:rFonts w:hint="eastAsia"/>
          <w:szCs w:val="28"/>
          <w:lang w:eastAsia="zh-HK"/>
        </w:rPr>
        <w:t>四</w:t>
      </w:r>
      <w:r w:rsidRPr="00C50710">
        <w:rPr>
          <w:szCs w:val="28"/>
        </w:rPr>
        <w:t>次報告（本報告），並會納入中國根據公約而提交的第</w:t>
      </w:r>
      <w:r w:rsidRPr="00C50710">
        <w:rPr>
          <w:rFonts w:hint="eastAsia"/>
          <w:szCs w:val="28"/>
          <w:lang w:eastAsia="zh-HK"/>
        </w:rPr>
        <w:t>三</w:t>
      </w:r>
      <w:r w:rsidRPr="00C50710">
        <w:rPr>
          <w:szCs w:val="28"/>
        </w:rPr>
        <w:t>次定期報告內。本報告旨在向</w:t>
      </w:r>
      <w:r w:rsidRPr="00C50710">
        <w:rPr>
          <w:rFonts w:hint="eastAsia"/>
          <w:szCs w:val="28"/>
        </w:rPr>
        <w:t>經濟、社會與文化</w:t>
      </w:r>
      <w:r w:rsidRPr="00C50710">
        <w:rPr>
          <w:szCs w:val="28"/>
        </w:rPr>
        <w:t>權利委員會（委員會）匯報，自提交</w:t>
      </w:r>
      <w:r w:rsidRPr="00C50710">
        <w:rPr>
          <w:rFonts w:hint="eastAsia"/>
          <w:szCs w:val="28"/>
        </w:rPr>
        <w:t>香港特區的</w:t>
      </w:r>
      <w:r w:rsidRPr="00C50710">
        <w:rPr>
          <w:szCs w:val="28"/>
        </w:rPr>
        <w:t>第</w:t>
      </w:r>
      <w:r w:rsidRPr="00C50710">
        <w:rPr>
          <w:rFonts w:hint="eastAsia"/>
          <w:szCs w:val="28"/>
          <w:lang w:eastAsia="zh-HK"/>
        </w:rPr>
        <w:t>三</w:t>
      </w:r>
      <w:r w:rsidRPr="00C50710">
        <w:rPr>
          <w:szCs w:val="28"/>
        </w:rPr>
        <w:t>次報告</w:t>
      </w:r>
      <w:r w:rsidRPr="00C50710">
        <w:rPr>
          <w:rFonts w:hint="eastAsia"/>
          <w:szCs w:val="28"/>
        </w:rPr>
        <w:t>（上</w:t>
      </w:r>
      <w:r w:rsidRPr="00C50710">
        <w:rPr>
          <w:szCs w:val="28"/>
        </w:rPr>
        <w:t>次報告</w:t>
      </w:r>
      <w:r w:rsidRPr="00C50710">
        <w:rPr>
          <w:rFonts w:hint="eastAsia"/>
          <w:szCs w:val="28"/>
        </w:rPr>
        <w:t>）（</w:t>
      </w:r>
      <w:r w:rsidRPr="00C50710">
        <w:rPr>
          <w:szCs w:val="28"/>
        </w:rPr>
        <w:t>已納入中國</w:t>
      </w:r>
      <w:r w:rsidRPr="00C50710">
        <w:rPr>
          <w:rFonts w:hint="eastAsia"/>
          <w:szCs w:val="28"/>
        </w:rPr>
        <w:t>於</w:t>
      </w:r>
      <w:r w:rsidRPr="00C50710">
        <w:rPr>
          <w:rFonts w:hint="eastAsia"/>
          <w:szCs w:val="28"/>
        </w:rPr>
        <w:t>2010</w:t>
      </w:r>
      <w:r w:rsidRPr="00C50710">
        <w:rPr>
          <w:rFonts w:hint="eastAsia"/>
          <w:szCs w:val="28"/>
        </w:rPr>
        <w:t>年</w:t>
      </w:r>
      <w:r w:rsidRPr="00C50710">
        <w:rPr>
          <w:rFonts w:hint="eastAsia"/>
          <w:szCs w:val="28"/>
        </w:rPr>
        <w:t>6</w:t>
      </w:r>
      <w:r w:rsidRPr="00C50710">
        <w:rPr>
          <w:rFonts w:hint="eastAsia"/>
          <w:szCs w:val="28"/>
        </w:rPr>
        <w:t>月提交</w:t>
      </w:r>
      <w:r w:rsidRPr="00C50710">
        <w:rPr>
          <w:szCs w:val="28"/>
        </w:rPr>
        <w:t>的第</w:t>
      </w:r>
      <w:r w:rsidRPr="00C50710">
        <w:rPr>
          <w:rFonts w:hint="eastAsia"/>
          <w:szCs w:val="28"/>
          <w:lang w:eastAsia="zh-HK"/>
        </w:rPr>
        <w:t>二</w:t>
      </w:r>
      <w:r w:rsidRPr="00C50710">
        <w:rPr>
          <w:szCs w:val="28"/>
        </w:rPr>
        <w:t>次報告內），及</w:t>
      </w:r>
      <w:r w:rsidRPr="00C50710">
        <w:rPr>
          <w:rFonts w:hint="eastAsia"/>
          <w:szCs w:val="28"/>
        </w:rPr>
        <w:t>就</w:t>
      </w:r>
      <w:r w:rsidRPr="00C50710">
        <w:rPr>
          <w:szCs w:val="28"/>
        </w:rPr>
        <w:t>委員會</w:t>
      </w:r>
      <w:r w:rsidRPr="00C50710">
        <w:rPr>
          <w:rFonts w:hint="eastAsia"/>
          <w:szCs w:val="28"/>
        </w:rPr>
        <w:t>於</w:t>
      </w:r>
      <w:r w:rsidRPr="00C50710">
        <w:rPr>
          <w:szCs w:val="28"/>
        </w:rPr>
        <w:t>20</w:t>
      </w:r>
      <w:r w:rsidRPr="00C50710">
        <w:rPr>
          <w:rFonts w:hint="eastAsia"/>
          <w:szCs w:val="28"/>
        </w:rPr>
        <w:t>14</w:t>
      </w:r>
      <w:r w:rsidRPr="00C50710">
        <w:rPr>
          <w:szCs w:val="28"/>
        </w:rPr>
        <w:t>年</w:t>
      </w:r>
      <w:r w:rsidRPr="00C50710">
        <w:rPr>
          <w:rFonts w:hint="eastAsia"/>
          <w:szCs w:val="28"/>
        </w:rPr>
        <w:t>5</w:t>
      </w:r>
      <w:r w:rsidRPr="00C50710">
        <w:rPr>
          <w:szCs w:val="28"/>
        </w:rPr>
        <w:t>月</w:t>
      </w:r>
      <w:r w:rsidRPr="00C50710">
        <w:rPr>
          <w:rFonts w:hint="eastAsia"/>
          <w:szCs w:val="28"/>
        </w:rPr>
        <w:t>審議上</w:t>
      </w:r>
      <w:r w:rsidRPr="00C50710">
        <w:rPr>
          <w:szCs w:val="28"/>
        </w:rPr>
        <w:t>一次報告後</w:t>
      </w:r>
      <w:r w:rsidRPr="00C50710">
        <w:rPr>
          <w:rFonts w:hint="eastAsia"/>
          <w:szCs w:val="28"/>
        </w:rPr>
        <w:t>同月通過</w:t>
      </w:r>
      <w:r w:rsidRPr="00C50710">
        <w:rPr>
          <w:szCs w:val="28"/>
        </w:rPr>
        <w:t>的審議結論（上次審議結論）作出回應。</w:t>
      </w:r>
    </w:p>
    <w:p w:rsidR="006D2061" w:rsidRPr="00C50710" w:rsidRDefault="006D2061" w:rsidP="007F7E98">
      <w:pPr>
        <w:tabs>
          <w:tab w:val="left" w:pos="1440"/>
        </w:tabs>
        <w:snapToGrid w:val="0"/>
        <w:spacing w:line="400" w:lineRule="atLeast"/>
        <w:jc w:val="both"/>
        <w:rPr>
          <w:szCs w:val="28"/>
        </w:rPr>
      </w:pPr>
    </w:p>
    <w:p w:rsidR="006D2061" w:rsidRPr="00C50710" w:rsidRDefault="006D2061" w:rsidP="007F7E98">
      <w:pPr>
        <w:tabs>
          <w:tab w:val="left" w:pos="1440"/>
        </w:tabs>
        <w:snapToGrid w:val="0"/>
        <w:spacing w:line="400" w:lineRule="atLeast"/>
        <w:jc w:val="both"/>
        <w:rPr>
          <w:szCs w:val="28"/>
        </w:rPr>
      </w:pPr>
      <w:r w:rsidRPr="00C50710">
        <w:rPr>
          <w:szCs w:val="28"/>
        </w:rPr>
        <w:t>2</w:t>
      </w:r>
      <w:r w:rsidRPr="00C50710">
        <w:rPr>
          <w:rFonts w:hint="eastAsia"/>
          <w:szCs w:val="28"/>
        </w:rPr>
        <w:t>.</w:t>
      </w:r>
      <w:r w:rsidRPr="00C50710">
        <w:rPr>
          <w:rFonts w:hint="eastAsia"/>
          <w:szCs w:val="28"/>
        </w:rPr>
        <w:tab/>
      </w:r>
      <w:r w:rsidRPr="00C50710">
        <w:rPr>
          <w:rFonts w:hint="eastAsia"/>
          <w:szCs w:val="28"/>
        </w:rPr>
        <w:t>香港特區政府（</w:t>
      </w:r>
      <w:r w:rsidRPr="00C50710">
        <w:rPr>
          <w:rFonts w:hint="eastAsia"/>
          <w:szCs w:val="28"/>
          <w:lang w:eastAsia="zh-HK"/>
        </w:rPr>
        <w:t>政</w:t>
      </w:r>
      <w:r w:rsidRPr="00C50710">
        <w:rPr>
          <w:rFonts w:hint="eastAsia"/>
          <w:szCs w:val="28"/>
        </w:rPr>
        <w:t>府）</w:t>
      </w:r>
      <w:r w:rsidRPr="00C50710">
        <w:rPr>
          <w:szCs w:val="28"/>
        </w:rPr>
        <w:t>擬備本報告時，按照</w:t>
      </w:r>
      <w:r w:rsidRPr="00C50710">
        <w:rPr>
          <w:rFonts w:hint="eastAsia"/>
          <w:szCs w:val="28"/>
          <w:lang w:eastAsia="zh-HK"/>
        </w:rPr>
        <w:t>一</w:t>
      </w:r>
      <w:r w:rsidRPr="00C50710">
        <w:rPr>
          <w:rFonts w:hint="eastAsia"/>
          <w:szCs w:val="28"/>
        </w:rPr>
        <w:t>貫</w:t>
      </w:r>
      <w:r w:rsidRPr="00C50710">
        <w:rPr>
          <w:szCs w:val="28"/>
        </w:rPr>
        <w:t>做法，</w:t>
      </w:r>
      <w:r w:rsidRPr="00C50710">
        <w:rPr>
          <w:rFonts w:hint="eastAsia"/>
          <w:szCs w:val="28"/>
        </w:rPr>
        <w:t>邀</w:t>
      </w:r>
      <w:r w:rsidRPr="00C50710">
        <w:rPr>
          <w:rFonts w:hint="eastAsia"/>
          <w:szCs w:val="28"/>
          <w:lang w:eastAsia="zh-HK"/>
        </w:rPr>
        <w:t>請</w:t>
      </w:r>
      <w:r w:rsidRPr="00C50710">
        <w:rPr>
          <w:szCs w:val="28"/>
        </w:rPr>
        <w:t>公眾人士在</w:t>
      </w:r>
      <w:r w:rsidRPr="00C50710">
        <w:rPr>
          <w:rFonts w:hint="eastAsia"/>
          <w:szCs w:val="28"/>
        </w:rPr>
        <w:t>201</w:t>
      </w:r>
      <w:r w:rsidRPr="00C50710">
        <w:rPr>
          <w:szCs w:val="28"/>
        </w:rPr>
        <w:t>8</w:t>
      </w:r>
      <w:r w:rsidRPr="00C50710">
        <w:rPr>
          <w:szCs w:val="28"/>
        </w:rPr>
        <w:t>年</w:t>
      </w:r>
      <w:r w:rsidRPr="00C50710">
        <w:rPr>
          <w:rFonts w:hint="eastAsia"/>
          <w:szCs w:val="28"/>
        </w:rPr>
        <w:t>12</w:t>
      </w:r>
      <w:r w:rsidRPr="00C50710">
        <w:rPr>
          <w:szCs w:val="28"/>
        </w:rPr>
        <w:t>月</w:t>
      </w:r>
      <w:r w:rsidRPr="00C50710">
        <w:rPr>
          <w:rFonts w:hint="eastAsia"/>
          <w:szCs w:val="28"/>
        </w:rPr>
        <w:t>24</w:t>
      </w:r>
      <w:r w:rsidRPr="00C50710">
        <w:rPr>
          <w:szCs w:val="28"/>
        </w:rPr>
        <w:t>日至</w:t>
      </w:r>
      <w:r w:rsidRPr="00C50710">
        <w:rPr>
          <w:rFonts w:hint="eastAsia"/>
          <w:szCs w:val="28"/>
        </w:rPr>
        <w:t>201</w:t>
      </w:r>
      <w:r w:rsidRPr="00C50710">
        <w:rPr>
          <w:szCs w:val="28"/>
        </w:rPr>
        <w:t>9</w:t>
      </w:r>
      <w:r w:rsidRPr="00C50710">
        <w:rPr>
          <w:szCs w:val="28"/>
        </w:rPr>
        <w:t>年</w:t>
      </w:r>
      <w:r w:rsidRPr="00C50710">
        <w:rPr>
          <w:rFonts w:hint="eastAsia"/>
          <w:szCs w:val="28"/>
        </w:rPr>
        <w:t>2</w:t>
      </w:r>
      <w:r w:rsidRPr="00C50710">
        <w:rPr>
          <w:szCs w:val="28"/>
        </w:rPr>
        <w:t>月</w:t>
      </w:r>
      <w:r w:rsidRPr="00C50710">
        <w:rPr>
          <w:rFonts w:hint="eastAsia"/>
          <w:szCs w:val="28"/>
        </w:rPr>
        <w:t>4</w:t>
      </w:r>
      <w:r w:rsidRPr="00C50710">
        <w:rPr>
          <w:szCs w:val="28"/>
        </w:rPr>
        <w:t>‍</w:t>
      </w:r>
      <w:r w:rsidRPr="00C50710">
        <w:rPr>
          <w:szCs w:val="28"/>
        </w:rPr>
        <w:t>日期間，根據</w:t>
      </w:r>
      <w:r w:rsidRPr="00C50710">
        <w:rPr>
          <w:rFonts w:hint="eastAsia"/>
          <w:szCs w:val="28"/>
          <w:lang w:eastAsia="zh-HK"/>
        </w:rPr>
        <w:t>報</w:t>
      </w:r>
      <w:r w:rsidRPr="00C50710">
        <w:rPr>
          <w:rFonts w:hint="eastAsia"/>
          <w:szCs w:val="28"/>
        </w:rPr>
        <w:t>告</w:t>
      </w:r>
      <w:r w:rsidRPr="00C50710">
        <w:rPr>
          <w:rFonts w:hint="eastAsia"/>
          <w:szCs w:val="28"/>
          <w:lang w:eastAsia="zh-HK"/>
        </w:rPr>
        <w:t>的項</w:t>
      </w:r>
      <w:r w:rsidRPr="00C50710">
        <w:rPr>
          <w:rFonts w:hint="eastAsia"/>
          <w:szCs w:val="28"/>
        </w:rPr>
        <w:t>目</w:t>
      </w:r>
      <w:r w:rsidRPr="00C50710">
        <w:rPr>
          <w:szCs w:val="28"/>
        </w:rPr>
        <w:t>大綱就政府施行</w:t>
      </w:r>
      <w:r w:rsidRPr="00C50710">
        <w:rPr>
          <w:rFonts w:hint="eastAsia"/>
          <w:szCs w:val="28"/>
        </w:rPr>
        <w:t>《</w:t>
      </w:r>
      <w:r w:rsidRPr="00C50710">
        <w:rPr>
          <w:szCs w:val="28"/>
        </w:rPr>
        <w:t>公約</w:t>
      </w:r>
      <w:r w:rsidRPr="00C50710">
        <w:rPr>
          <w:rFonts w:hint="eastAsia"/>
          <w:szCs w:val="28"/>
        </w:rPr>
        <w:t>》</w:t>
      </w:r>
      <w:r w:rsidRPr="00C50710">
        <w:rPr>
          <w:szCs w:val="28"/>
        </w:rPr>
        <w:t>的情況提出意見</w:t>
      </w:r>
      <w:r w:rsidRPr="00C50710">
        <w:rPr>
          <w:rFonts w:hint="eastAsia"/>
          <w:szCs w:val="28"/>
        </w:rPr>
        <w:t>，</w:t>
      </w:r>
      <w:r w:rsidRPr="00C50710">
        <w:rPr>
          <w:rFonts w:hint="eastAsia"/>
          <w:szCs w:val="28"/>
          <w:lang w:eastAsia="zh-HK"/>
        </w:rPr>
        <w:t>並</w:t>
      </w:r>
      <w:r w:rsidRPr="00C50710">
        <w:rPr>
          <w:rFonts w:hint="eastAsia"/>
          <w:szCs w:val="28"/>
        </w:rPr>
        <w:t>建議</w:t>
      </w:r>
      <w:r w:rsidRPr="00C50710">
        <w:rPr>
          <w:szCs w:val="28"/>
        </w:rPr>
        <w:t>其認為應列入報告內的</w:t>
      </w:r>
      <w:r w:rsidRPr="00C50710">
        <w:rPr>
          <w:rFonts w:hint="eastAsia"/>
          <w:szCs w:val="28"/>
        </w:rPr>
        <w:t>其他</w:t>
      </w:r>
      <w:r w:rsidRPr="00C50710">
        <w:rPr>
          <w:szCs w:val="28"/>
        </w:rPr>
        <w:t>項目。</w:t>
      </w:r>
    </w:p>
    <w:p w:rsidR="006D2061" w:rsidRPr="00C50710" w:rsidRDefault="006D2061" w:rsidP="007F7E98">
      <w:pPr>
        <w:tabs>
          <w:tab w:val="left" w:pos="1440"/>
        </w:tabs>
        <w:snapToGrid w:val="0"/>
        <w:spacing w:line="400" w:lineRule="atLeast"/>
        <w:jc w:val="both"/>
        <w:rPr>
          <w:szCs w:val="28"/>
        </w:rPr>
      </w:pPr>
    </w:p>
    <w:p w:rsidR="006D2061" w:rsidRDefault="006D2061" w:rsidP="007F7E98">
      <w:pPr>
        <w:tabs>
          <w:tab w:val="left" w:pos="1440"/>
        </w:tabs>
        <w:snapToGrid w:val="0"/>
        <w:spacing w:line="400" w:lineRule="atLeast"/>
        <w:jc w:val="both"/>
        <w:rPr>
          <w:szCs w:val="28"/>
        </w:rPr>
      </w:pPr>
      <w:r w:rsidRPr="00C50710">
        <w:rPr>
          <w:rFonts w:hint="eastAsia"/>
          <w:szCs w:val="28"/>
        </w:rPr>
        <w:t>3</w:t>
      </w:r>
      <w:r w:rsidRPr="00C50710">
        <w:rPr>
          <w:szCs w:val="28"/>
        </w:rPr>
        <w:t>.</w:t>
      </w:r>
      <w:r w:rsidRPr="00C50710">
        <w:rPr>
          <w:rFonts w:hint="eastAsia"/>
          <w:szCs w:val="28"/>
        </w:rPr>
        <w:tab/>
      </w:r>
      <w:r w:rsidRPr="00C50710">
        <w:rPr>
          <w:szCs w:val="28"/>
        </w:rPr>
        <w:t>立法會政制事務委員會</w:t>
      </w:r>
      <w:r w:rsidRPr="00C50710">
        <w:rPr>
          <w:rFonts w:hint="eastAsia"/>
          <w:szCs w:val="28"/>
        </w:rPr>
        <w:t>曾</w:t>
      </w:r>
      <w:r w:rsidRPr="00C50710">
        <w:rPr>
          <w:szCs w:val="28"/>
        </w:rPr>
        <w:t>討論大綱，</w:t>
      </w:r>
      <w:r w:rsidRPr="00C50710">
        <w:rPr>
          <w:rFonts w:hint="eastAsia"/>
          <w:szCs w:val="28"/>
          <w:lang w:eastAsia="zh-HK"/>
        </w:rPr>
        <w:t>持份</w:t>
      </w:r>
      <w:r w:rsidRPr="00C50710">
        <w:rPr>
          <w:szCs w:val="28"/>
        </w:rPr>
        <w:t>的非政府機構代表</w:t>
      </w:r>
      <w:r w:rsidRPr="00C50710">
        <w:rPr>
          <w:rFonts w:hint="eastAsia"/>
          <w:szCs w:val="28"/>
        </w:rPr>
        <w:t>亦</w:t>
      </w:r>
      <w:r w:rsidRPr="00C50710">
        <w:rPr>
          <w:rFonts w:hint="eastAsia"/>
          <w:szCs w:val="28"/>
          <w:lang w:eastAsia="zh-HK"/>
        </w:rPr>
        <w:t>獲邀出</w:t>
      </w:r>
      <w:r w:rsidRPr="00C50710">
        <w:rPr>
          <w:rFonts w:hint="eastAsia"/>
          <w:szCs w:val="28"/>
        </w:rPr>
        <w:t>席</w:t>
      </w:r>
      <w:r w:rsidRPr="00C50710">
        <w:rPr>
          <w:szCs w:val="28"/>
        </w:rPr>
        <w:t>討論。</w:t>
      </w:r>
      <w:r w:rsidRPr="00C50710">
        <w:rPr>
          <w:rFonts w:hint="eastAsia"/>
          <w:szCs w:val="28"/>
          <w:lang w:eastAsia="zh-HK"/>
        </w:rPr>
        <w:t>我</w:t>
      </w:r>
      <w:r w:rsidRPr="00C50710">
        <w:rPr>
          <w:rFonts w:hint="eastAsia"/>
          <w:szCs w:val="28"/>
        </w:rPr>
        <w:t>們</w:t>
      </w:r>
      <w:r w:rsidRPr="00C50710">
        <w:rPr>
          <w:szCs w:val="28"/>
        </w:rPr>
        <w:t>審慎考慮收</w:t>
      </w:r>
      <w:r w:rsidRPr="00C50710">
        <w:rPr>
          <w:rFonts w:hint="eastAsia"/>
          <w:szCs w:val="28"/>
          <w:lang w:eastAsia="zh-HK"/>
        </w:rPr>
        <w:t>到</w:t>
      </w:r>
      <w:r w:rsidRPr="00C50710">
        <w:rPr>
          <w:szCs w:val="28"/>
        </w:rPr>
        <w:t>的意見，把評論</w:t>
      </w:r>
      <w:r w:rsidRPr="00C50710">
        <w:rPr>
          <w:rFonts w:hint="eastAsia"/>
          <w:szCs w:val="28"/>
        </w:rPr>
        <w:t>者</w:t>
      </w:r>
      <w:r w:rsidRPr="00C50710">
        <w:rPr>
          <w:szCs w:val="28"/>
        </w:rPr>
        <w:t>提出的事項，連同政府的回應（如適用），納入本報告。</w:t>
      </w:r>
    </w:p>
    <w:p w:rsidR="00323D2E" w:rsidRDefault="00323D2E">
      <w:pPr>
        <w:widowControl/>
        <w:rPr>
          <w:b/>
          <w:szCs w:val="28"/>
        </w:rPr>
        <w:sectPr w:rsidR="00323D2E">
          <w:footerReference w:type="even" r:id="rId10"/>
          <w:footerReference w:type="default" r:id="rId11"/>
          <w:footerReference w:type="first" r:id="rId12"/>
          <w:pgSz w:w="11906" w:h="16838"/>
          <w:pgMar w:top="1440" w:right="1800" w:bottom="1440" w:left="1800" w:header="851" w:footer="992" w:gutter="0"/>
          <w:cols w:space="425"/>
          <w:docGrid w:type="lines" w:linePitch="360"/>
        </w:sectPr>
      </w:pPr>
    </w:p>
    <w:p w:rsidR="006D2061" w:rsidRPr="00EE7867" w:rsidRDefault="006D2061" w:rsidP="008375BB">
      <w:pPr>
        <w:tabs>
          <w:tab w:val="left" w:pos="1440"/>
        </w:tabs>
        <w:adjustRightInd w:val="0"/>
        <w:snapToGrid w:val="0"/>
        <w:spacing w:line="400" w:lineRule="atLeast"/>
        <w:jc w:val="both"/>
        <w:rPr>
          <w:b/>
          <w:szCs w:val="28"/>
          <w:u w:val="single"/>
        </w:rPr>
      </w:pPr>
      <w:r w:rsidRPr="00EE7867">
        <w:rPr>
          <w:b/>
          <w:szCs w:val="28"/>
          <w:u w:val="single"/>
        </w:rPr>
        <w:lastRenderedPageBreak/>
        <w:t>第一條：民主發展進程</w:t>
      </w:r>
    </w:p>
    <w:p w:rsidR="006D2061" w:rsidRPr="00EE7867" w:rsidRDefault="006D2061" w:rsidP="008375BB">
      <w:pPr>
        <w:tabs>
          <w:tab w:val="left" w:pos="1440"/>
        </w:tabs>
        <w:adjustRightInd w:val="0"/>
        <w:snapToGrid w:val="0"/>
        <w:spacing w:line="400" w:lineRule="atLeast"/>
        <w:jc w:val="both"/>
        <w:rPr>
          <w:szCs w:val="28"/>
        </w:rPr>
      </w:pPr>
    </w:p>
    <w:p w:rsidR="006D2061" w:rsidRPr="00CE3CA8" w:rsidRDefault="006D2061" w:rsidP="008375BB">
      <w:pPr>
        <w:tabs>
          <w:tab w:val="left" w:pos="1440"/>
        </w:tabs>
        <w:adjustRightInd w:val="0"/>
        <w:snapToGrid w:val="0"/>
        <w:spacing w:line="400" w:lineRule="atLeast"/>
        <w:jc w:val="both"/>
        <w:rPr>
          <w:szCs w:val="28"/>
        </w:rPr>
      </w:pPr>
      <w:r w:rsidRPr="00EE7867">
        <w:rPr>
          <w:szCs w:val="28"/>
        </w:rPr>
        <w:t>1.1</w:t>
      </w:r>
      <w:r w:rsidRPr="00EE7867">
        <w:rPr>
          <w:szCs w:val="28"/>
        </w:rPr>
        <w:tab/>
      </w:r>
      <w:r w:rsidRPr="00CE3CA8">
        <w:rPr>
          <w:rFonts w:hint="eastAsia"/>
          <w:szCs w:val="28"/>
        </w:rPr>
        <w:t>香港特區根據「一國兩制」原則設立。《基本法》第</w:t>
      </w:r>
      <w:r w:rsidRPr="00CE3CA8">
        <w:rPr>
          <w:szCs w:val="28"/>
        </w:rPr>
        <w:t>‍</w:t>
      </w:r>
      <w:r w:rsidRPr="00CE3CA8">
        <w:rPr>
          <w:rFonts w:hint="eastAsia"/>
          <w:szCs w:val="28"/>
        </w:rPr>
        <w:t>一</w:t>
      </w:r>
      <w:r w:rsidRPr="00CE3CA8">
        <w:rPr>
          <w:szCs w:val="28"/>
        </w:rPr>
        <w:t>‍</w:t>
      </w:r>
      <w:r>
        <w:rPr>
          <w:rFonts w:hint="eastAsia"/>
          <w:szCs w:val="28"/>
          <w:lang w:eastAsia="zh-HK"/>
        </w:rPr>
        <w:t>、</w:t>
      </w:r>
      <w:r w:rsidRPr="00CE3CA8">
        <w:rPr>
          <w:rFonts w:hint="eastAsia"/>
          <w:szCs w:val="28"/>
        </w:rPr>
        <w:t>二條訂明，香港特區是中華人民共和國不可分離的部分，享有行政管理權、立法權、獨立的司法權和終審權。</w:t>
      </w:r>
    </w:p>
    <w:p w:rsidR="006D2061" w:rsidRPr="00CE3CA8" w:rsidRDefault="006D2061" w:rsidP="008375BB">
      <w:pPr>
        <w:tabs>
          <w:tab w:val="left" w:pos="1440"/>
        </w:tabs>
        <w:adjustRightInd w:val="0"/>
        <w:snapToGrid w:val="0"/>
        <w:spacing w:line="400" w:lineRule="atLeast"/>
        <w:jc w:val="both"/>
        <w:rPr>
          <w:szCs w:val="28"/>
        </w:rPr>
      </w:pPr>
    </w:p>
    <w:p w:rsidR="006D2061" w:rsidRPr="00CE3CA8" w:rsidRDefault="006D2061" w:rsidP="008375BB">
      <w:pPr>
        <w:tabs>
          <w:tab w:val="left" w:pos="1440"/>
        </w:tabs>
        <w:adjustRightInd w:val="0"/>
        <w:snapToGrid w:val="0"/>
        <w:spacing w:line="400" w:lineRule="atLeast"/>
        <w:jc w:val="both"/>
        <w:rPr>
          <w:szCs w:val="28"/>
        </w:rPr>
      </w:pPr>
      <w:r>
        <w:rPr>
          <w:rFonts w:hint="eastAsia"/>
          <w:szCs w:val="28"/>
        </w:rPr>
        <w:t>1.2</w:t>
      </w:r>
      <w:r w:rsidRPr="00CE3CA8">
        <w:rPr>
          <w:szCs w:val="28"/>
        </w:rPr>
        <w:tab/>
      </w:r>
      <w:r w:rsidRPr="00CE3CA8">
        <w:rPr>
          <w:rFonts w:hint="eastAsia"/>
          <w:szCs w:val="28"/>
        </w:rPr>
        <w:t>自香港特區成立以來，中央一直按照「一國兩制」原則和《基本法》，維持香港的高度自治，支持政府依法施政，尊重香港司</w:t>
      </w:r>
      <w:r w:rsidRPr="00FD6393">
        <w:rPr>
          <w:rFonts w:hint="eastAsia"/>
          <w:spacing w:val="2"/>
          <w:szCs w:val="28"/>
        </w:rPr>
        <w:t>法獨立。</w:t>
      </w:r>
      <w:r w:rsidRPr="00FD6393">
        <w:rPr>
          <w:spacing w:val="2"/>
          <w:szCs w:val="28"/>
        </w:rPr>
        <w:t>人權</w:t>
      </w:r>
      <w:r w:rsidRPr="00FD6393">
        <w:rPr>
          <w:rFonts w:hint="eastAsia"/>
          <w:spacing w:val="2"/>
          <w:szCs w:val="28"/>
        </w:rPr>
        <w:t>和自由</w:t>
      </w:r>
      <w:r w:rsidRPr="00FD6393">
        <w:rPr>
          <w:spacing w:val="2"/>
          <w:szCs w:val="28"/>
        </w:rPr>
        <w:t>受到《基本法》、《香港人權法案條例》（</w:t>
      </w:r>
      <w:r w:rsidRPr="00FD6393">
        <w:rPr>
          <w:rFonts w:hint="eastAsia"/>
          <w:spacing w:val="2"/>
          <w:szCs w:val="28"/>
          <w:lang w:val="en-GB"/>
        </w:rPr>
        <w:t>第</w:t>
      </w:r>
      <w:r w:rsidRPr="00FD6393">
        <w:rPr>
          <w:rFonts w:hint="eastAsia"/>
          <w:spacing w:val="2"/>
          <w:szCs w:val="28"/>
          <w:lang w:val="en-GB"/>
        </w:rPr>
        <w:t>383</w:t>
      </w:r>
      <w:r w:rsidRPr="00FD6393">
        <w:rPr>
          <w:rFonts w:hint="eastAsia"/>
          <w:spacing w:val="2"/>
          <w:szCs w:val="28"/>
          <w:lang w:val="en-GB"/>
        </w:rPr>
        <w:t>章</w:t>
      </w:r>
      <w:r w:rsidRPr="00FD6393">
        <w:rPr>
          <w:spacing w:val="2"/>
          <w:szCs w:val="28"/>
        </w:rPr>
        <w:t>）</w:t>
      </w:r>
      <w:r w:rsidRPr="00CE3CA8">
        <w:rPr>
          <w:szCs w:val="28"/>
        </w:rPr>
        <w:t>及其他法律充分保障。</w:t>
      </w:r>
      <w:r w:rsidRPr="00CE3CA8">
        <w:rPr>
          <w:rFonts w:hint="eastAsia"/>
          <w:szCs w:val="28"/>
        </w:rPr>
        <w:t>司法獨立</w:t>
      </w:r>
      <w:r>
        <w:rPr>
          <w:rFonts w:hint="eastAsia"/>
          <w:szCs w:val="28"/>
        </w:rPr>
        <w:t>受</w:t>
      </w:r>
      <w:r w:rsidRPr="00CE3CA8">
        <w:rPr>
          <w:rFonts w:hint="eastAsia"/>
          <w:szCs w:val="28"/>
        </w:rPr>
        <w:t>《基本法》</w:t>
      </w:r>
      <w:r>
        <w:rPr>
          <w:rFonts w:hint="eastAsia"/>
          <w:szCs w:val="28"/>
        </w:rPr>
        <w:t>保障，</w:t>
      </w:r>
      <w:r w:rsidRPr="00CE3CA8">
        <w:rPr>
          <w:rFonts w:hint="eastAsia"/>
          <w:szCs w:val="28"/>
        </w:rPr>
        <w:t>香港特區法院獨立進行審判，不受任何干涉。</w:t>
      </w:r>
      <w:r w:rsidRPr="00E5119E">
        <w:rPr>
          <w:szCs w:val="28"/>
        </w:rPr>
        <w:t>政府全力</w:t>
      </w:r>
      <w:r w:rsidRPr="00E5119E">
        <w:rPr>
          <w:rFonts w:hint="eastAsia"/>
          <w:szCs w:val="28"/>
        </w:rPr>
        <w:t>捍衞</w:t>
      </w:r>
      <w:r w:rsidRPr="00E5119E">
        <w:rPr>
          <w:szCs w:val="28"/>
        </w:rPr>
        <w:t>法治與自由</w:t>
      </w:r>
      <w:r w:rsidRPr="00E5119E">
        <w:rPr>
          <w:rFonts w:hint="eastAsia"/>
          <w:szCs w:val="28"/>
        </w:rPr>
        <w:t>這兩個</w:t>
      </w:r>
      <w:r w:rsidRPr="00E5119E">
        <w:rPr>
          <w:szCs w:val="28"/>
        </w:rPr>
        <w:t>核心價值</w:t>
      </w:r>
      <w:r>
        <w:rPr>
          <w:rFonts w:hint="eastAsia"/>
          <w:szCs w:val="28"/>
        </w:rPr>
        <w:t>。</w:t>
      </w:r>
    </w:p>
    <w:p w:rsidR="006D2061" w:rsidRPr="00CE3CA8"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s>
        <w:adjustRightInd w:val="0"/>
        <w:snapToGrid w:val="0"/>
        <w:spacing w:line="400" w:lineRule="atLeast"/>
        <w:jc w:val="both"/>
        <w:rPr>
          <w:szCs w:val="28"/>
        </w:rPr>
      </w:pPr>
      <w:r>
        <w:rPr>
          <w:rFonts w:hint="eastAsia"/>
          <w:szCs w:val="28"/>
        </w:rPr>
        <w:t>1.3</w:t>
      </w:r>
      <w:r>
        <w:rPr>
          <w:rFonts w:hint="eastAsia"/>
          <w:szCs w:val="28"/>
        </w:rPr>
        <w:tab/>
      </w:r>
      <w:r w:rsidRPr="00684CB7">
        <w:rPr>
          <w:szCs w:val="28"/>
        </w:rPr>
        <w:t>香港是全球最自由的經濟體系、充滿活力的國際金融和商貿中心、蓬勃的物流和旅遊樞紐及全球最安全城市之一。我們投放大量資源於教育、醫療服務、福利、基建、扶貧及支援少數族裔的工作上，致力構建關愛</w:t>
      </w:r>
      <w:r>
        <w:rPr>
          <w:rFonts w:hint="eastAsia"/>
          <w:szCs w:val="28"/>
          <w:lang w:eastAsia="zh-HK"/>
        </w:rPr>
        <w:t>、</w:t>
      </w:r>
      <w:r w:rsidRPr="00684CB7">
        <w:rPr>
          <w:szCs w:val="28"/>
        </w:rPr>
        <w:t>公平的香港。這些成就有賴我們的核心價值及獨特的制度優勢</w:t>
      </w:r>
      <w:r>
        <w:rPr>
          <w:rFonts w:hint="eastAsia"/>
          <w:szCs w:val="28"/>
        </w:rPr>
        <w:t>。</w:t>
      </w:r>
    </w:p>
    <w:p w:rsidR="006D2061" w:rsidRDefault="006D2061" w:rsidP="008375BB">
      <w:pPr>
        <w:tabs>
          <w:tab w:val="left" w:pos="1440"/>
        </w:tabs>
        <w:adjustRightInd w:val="0"/>
        <w:snapToGrid w:val="0"/>
        <w:spacing w:line="400" w:lineRule="atLeast"/>
        <w:jc w:val="both"/>
        <w:rPr>
          <w:szCs w:val="28"/>
        </w:rPr>
      </w:pPr>
    </w:p>
    <w:p w:rsidR="006D2061" w:rsidRPr="00EE7867" w:rsidRDefault="006D2061" w:rsidP="008375BB">
      <w:pPr>
        <w:tabs>
          <w:tab w:val="left" w:pos="1440"/>
        </w:tabs>
        <w:adjustRightInd w:val="0"/>
        <w:snapToGrid w:val="0"/>
        <w:spacing w:line="400" w:lineRule="atLeast"/>
        <w:jc w:val="both"/>
        <w:rPr>
          <w:szCs w:val="28"/>
        </w:rPr>
      </w:pPr>
      <w:r>
        <w:rPr>
          <w:rFonts w:hint="eastAsia"/>
          <w:szCs w:val="28"/>
        </w:rPr>
        <w:t>1.4</w:t>
      </w:r>
      <w:r w:rsidRPr="00CE3CA8">
        <w:rPr>
          <w:szCs w:val="28"/>
        </w:rPr>
        <w:tab/>
      </w:r>
      <w:r w:rsidRPr="00CE3CA8">
        <w:rPr>
          <w:rFonts w:hint="eastAsia"/>
          <w:szCs w:val="28"/>
        </w:rPr>
        <w:t>香港特區的行政、立法及司法機關都會繼續按照《基本法》履行相應職責。</w:t>
      </w:r>
    </w:p>
    <w:p w:rsidR="006D2061" w:rsidRDefault="006D2061" w:rsidP="008375BB">
      <w:pPr>
        <w:tabs>
          <w:tab w:val="left" w:pos="1440"/>
        </w:tabs>
        <w:adjustRightInd w:val="0"/>
        <w:snapToGrid w:val="0"/>
        <w:spacing w:line="400" w:lineRule="atLeast"/>
        <w:jc w:val="both"/>
        <w:rPr>
          <w:szCs w:val="28"/>
        </w:rPr>
      </w:pPr>
    </w:p>
    <w:p w:rsidR="006D2061" w:rsidRPr="00684CB7" w:rsidRDefault="006D2061" w:rsidP="008375BB">
      <w:pPr>
        <w:tabs>
          <w:tab w:val="left" w:pos="1440"/>
        </w:tabs>
        <w:adjustRightInd w:val="0"/>
        <w:snapToGrid w:val="0"/>
        <w:spacing w:line="400" w:lineRule="atLeast"/>
        <w:jc w:val="both"/>
        <w:rPr>
          <w:szCs w:val="28"/>
        </w:rPr>
      </w:pPr>
      <w:r>
        <w:rPr>
          <w:rFonts w:hint="eastAsia"/>
          <w:szCs w:val="28"/>
        </w:rPr>
        <w:t>1.5</w:t>
      </w:r>
      <w:r>
        <w:rPr>
          <w:rFonts w:hint="eastAsia"/>
          <w:szCs w:val="28"/>
        </w:rPr>
        <w:tab/>
      </w:r>
      <w:r w:rsidRPr="00684CB7">
        <w:rPr>
          <w:szCs w:val="28"/>
        </w:rPr>
        <w:t>自上</w:t>
      </w:r>
      <w:r w:rsidRPr="00684CB7">
        <w:rPr>
          <w:rFonts w:hint="eastAsia"/>
          <w:szCs w:val="28"/>
        </w:rPr>
        <w:t>次</w:t>
      </w:r>
      <w:r w:rsidRPr="00684CB7">
        <w:rPr>
          <w:szCs w:val="28"/>
        </w:rPr>
        <w:t>報告後，我們一直致力推動香港的政制發展</w:t>
      </w:r>
      <w:r>
        <w:rPr>
          <w:rFonts w:hint="eastAsia"/>
          <w:szCs w:val="28"/>
          <w:lang w:eastAsia="zh-HK"/>
        </w:rPr>
        <w:t>並</w:t>
      </w:r>
      <w:r w:rsidRPr="00684CB7">
        <w:rPr>
          <w:szCs w:val="28"/>
        </w:rPr>
        <w:t>取得重大進展</w:t>
      </w:r>
      <w:r>
        <w:rPr>
          <w:rFonts w:hint="eastAsia"/>
          <w:szCs w:val="28"/>
        </w:rPr>
        <w:t>，</w:t>
      </w:r>
      <w:r>
        <w:rPr>
          <w:rFonts w:hint="eastAsia"/>
          <w:szCs w:val="28"/>
          <w:lang w:eastAsia="zh-HK"/>
        </w:rPr>
        <w:t>詳見</w:t>
      </w:r>
      <w:r w:rsidRPr="0051737C">
        <w:rPr>
          <w:rFonts w:hint="eastAsia"/>
          <w:b/>
          <w:szCs w:val="28"/>
          <w:lang w:eastAsia="zh-HK"/>
        </w:rPr>
        <w:t>附件</w:t>
      </w:r>
      <w:r w:rsidRPr="0051737C">
        <w:rPr>
          <w:rFonts w:hint="eastAsia"/>
          <w:b/>
          <w:szCs w:val="28"/>
        </w:rPr>
        <w:t>1A</w:t>
      </w:r>
      <w:r>
        <w:rPr>
          <w:rFonts w:hint="eastAsia"/>
          <w:szCs w:val="28"/>
          <w:lang w:eastAsia="zh-HK"/>
        </w:rPr>
        <w:t>。</w:t>
      </w:r>
    </w:p>
    <w:p w:rsidR="006D2061" w:rsidRPr="00684CB7" w:rsidRDefault="006D2061" w:rsidP="008375BB">
      <w:pPr>
        <w:tabs>
          <w:tab w:val="left" w:pos="1440"/>
        </w:tabs>
        <w:adjustRightInd w:val="0"/>
        <w:snapToGrid w:val="0"/>
        <w:spacing w:line="400" w:lineRule="atLeast"/>
        <w:jc w:val="both"/>
        <w:rPr>
          <w:szCs w:val="28"/>
        </w:rPr>
      </w:pPr>
    </w:p>
    <w:p w:rsidR="006D2061" w:rsidRPr="00EE7867" w:rsidRDefault="006D2061" w:rsidP="008375BB">
      <w:pPr>
        <w:tabs>
          <w:tab w:val="left" w:pos="1440"/>
        </w:tabs>
        <w:adjustRightInd w:val="0"/>
        <w:snapToGrid w:val="0"/>
        <w:spacing w:line="400" w:lineRule="atLeast"/>
        <w:jc w:val="both"/>
        <w:rPr>
          <w:szCs w:val="28"/>
        </w:rPr>
      </w:pPr>
    </w:p>
    <w:p w:rsidR="00EA42ED" w:rsidRPr="00EA42ED" w:rsidRDefault="00EA42ED" w:rsidP="008375BB">
      <w:pPr>
        <w:widowControl/>
        <w:jc w:val="both"/>
        <w:rPr>
          <w:b/>
          <w:szCs w:val="28"/>
        </w:rPr>
      </w:pPr>
      <w:r w:rsidRPr="00EA42ED">
        <w:rPr>
          <w:b/>
          <w:szCs w:val="28"/>
        </w:rPr>
        <w:br w:type="page"/>
      </w:r>
    </w:p>
    <w:p w:rsidR="006D2061" w:rsidRPr="00612CEA" w:rsidRDefault="006D2061" w:rsidP="008375BB">
      <w:pPr>
        <w:tabs>
          <w:tab w:val="left" w:pos="1440"/>
        </w:tabs>
        <w:adjustRightInd w:val="0"/>
        <w:snapToGrid w:val="0"/>
        <w:spacing w:line="400" w:lineRule="atLeast"/>
        <w:jc w:val="both"/>
        <w:rPr>
          <w:b/>
          <w:szCs w:val="28"/>
          <w:u w:val="single"/>
        </w:rPr>
      </w:pPr>
      <w:r w:rsidRPr="00612CEA">
        <w:rPr>
          <w:b/>
          <w:szCs w:val="28"/>
          <w:u w:val="single"/>
        </w:rPr>
        <w:lastRenderedPageBreak/>
        <w:t>第二條：逐步實現公約所承認的權利及行使有關權利時不會受到歧視</w:t>
      </w:r>
    </w:p>
    <w:p w:rsidR="006D2061" w:rsidRDefault="006D2061" w:rsidP="008375BB">
      <w:pPr>
        <w:tabs>
          <w:tab w:val="left" w:pos="1440"/>
        </w:tabs>
        <w:adjustRightInd w:val="0"/>
        <w:snapToGrid w:val="0"/>
        <w:spacing w:line="400" w:lineRule="atLeast"/>
        <w:jc w:val="both"/>
        <w:rPr>
          <w:b/>
          <w:szCs w:val="28"/>
          <w:u w:val="single"/>
        </w:rPr>
      </w:pPr>
    </w:p>
    <w:p w:rsidR="006D2061" w:rsidRPr="00F15325" w:rsidRDefault="006D2061" w:rsidP="008375BB">
      <w:pPr>
        <w:tabs>
          <w:tab w:val="left" w:pos="1440"/>
        </w:tabs>
        <w:adjustRightInd w:val="0"/>
        <w:snapToGrid w:val="0"/>
        <w:spacing w:line="400" w:lineRule="atLeast"/>
        <w:jc w:val="both"/>
        <w:rPr>
          <w:b/>
          <w:szCs w:val="28"/>
        </w:rPr>
      </w:pPr>
      <w:r w:rsidRPr="00F15325">
        <w:rPr>
          <w:rFonts w:hint="eastAsia"/>
          <w:b/>
          <w:szCs w:val="28"/>
          <w:lang w:val="en-GB"/>
        </w:rPr>
        <w:t>《公約》在境內的適用</w:t>
      </w:r>
    </w:p>
    <w:p w:rsidR="006D2061" w:rsidRPr="004503F7" w:rsidRDefault="006D2061" w:rsidP="008375BB">
      <w:pPr>
        <w:tabs>
          <w:tab w:val="left" w:pos="1440"/>
        </w:tabs>
        <w:adjustRightInd w:val="0"/>
        <w:snapToGrid w:val="0"/>
        <w:spacing w:line="400" w:lineRule="atLeast"/>
        <w:jc w:val="both"/>
        <w:rPr>
          <w:b/>
          <w:szCs w:val="28"/>
          <w:u w:val="single"/>
        </w:rPr>
      </w:pPr>
    </w:p>
    <w:p w:rsidR="006D2061" w:rsidRPr="00F15325" w:rsidRDefault="006D2061" w:rsidP="008375BB">
      <w:pPr>
        <w:tabs>
          <w:tab w:val="left" w:pos="1440"/>
        </w:tabs>
        <w:adjustRightInd w:val="0"/>
        <w:snapToGrid w:val="0"/>
        <w:spacing w:line="400" w:lineRule="atLeast"/>
        <w:jc w:val="both"/>
        <w:rPr>
          <w:szCs w:val="28"/>
        </w:rPr>
      </w:pPr>
      <w:r w:rsidRPr="00F15325">
        <w:rPr>
          <w:rFonts w:hint="eastAsia"/>
          <w:szCs w:val="28"/>
        </w:rPr>
        <w:t>2.1</w:t>
      </w:r>
      <w:r w:rsidRPr="00F15325">
        <w:rPr>
          <w:szCs w:val="28"/>
        </w:rPr>
        <w:tab/>
      </w:r>
      <w:r w:rsidRPr="00F15325">
        <w:rPr>
          <w:rFonts w:hint="eastAsia"/>
          <w:szCs w:val="28"/>
        </w:rPr>
        <w:t>委員會注意到《公約》尚未被納入香港特區法律，因而</w:t>
      </w:r>
      <w:r>
        <w:rPr>
          <w:rFonts w:hint="eastAsia"/>
          <w:szCs w:val="28"/>
          <w:lang w:eastAsia="zh-HK"/>
        </w:rPr>
        <w:t>無法被</w:t>
      </w:r>
      <w:r w:rsidRPr="00F15325">
        <w:rPr>
          <w:rFonts w:hint="eastAsia"/>
          <w:szCs w:val="28"/>
        </w:rPr>
        <w:t>法院和法庭直接應用。委員會建議中國香港採取一切適當措施將《公約》的規定納入法律，並保證本地法院能夠直接應用這些規定。</w:t>
      </w:r>
    </w:p>
    <w:p w:rsidR="006D2061" w:rsidRPr="00F15325" w:rsidRDefault="006D2061" w:rsidP="008375BB">
      <w:pPr>
        <w:tabs>
          <w:tab w:val="left" w:pos="1440"/>
        </w:tabs>
        <w:adjustRightInd w:val="0"/>
        <w:snapToGrid w:val="0"/>
        <w:spacing w:line="400" w:lineRule="atLeast"/>
        <w:jc w:val="both"/>
        <w:rPr>
          <w:szCs w:val="28"/>
        </w:rPr>
      </w:pPr>
    </w:p>
    <w:p w:rsidR="006D2061" w:rsidRPr="00F15325" w:rsidRDefault="006D2061" w:rsidP="008375BB">
      <w:pPr>
        <w:tabs>
          <w:tab w:val="left" w:pos="1440"/>
        </w:tabs>
        <w:adjustRightInd w:val="0"/>
        <w:snapToGrid w:val="0"/>
        <w:spacing w:line="400" w:lineRule="atLeast"/>
        <w:jc w:val="both"/>
        <w:rPr>
          <w:szCs w:val="28"/>
          <w:lang w:val="en-GB"/>
        </w:rPr>
      </w:pPr>
      <w:r w:rsidRPr="00F15325">
        <w:rPr>
          <w:rFonts w:hint="eastAsia"/>
          <w:szCs w:val="28"/>
        </w:rPr>
        <w:t>2.2</w:t>
      </w:r>
      <w:r w:rsidRPr="00F15325">
        <w:rPr>
          <w:rFonts w:hint="eastAsia"/>
          <w:szCs w:val="28"/>
        </w:rPr>
        <w:tab/>
      </w:r>
      <w:r w:rsidRPr="00F15325">
        <w:rPr>
          <w:rFonts w:hint="eastAsia"/>
          <w:szCs w:val="28"/>
        </w:rPr>
        <w:t>香港法例中沒有一條法例像轉錄《公民權利和政治權利國際公約》適用於香港的有關規定的《香港人權法案條例》般，直接把《公約》的條文納入本地法律</w:t>
      </w:r>
      <w:r>
        <w:rPr>
          <w:rFonts w:hint="eastAsia"/>
          <w:szCs w:val="28"/>
        </w:rPr>
        <w:t>；</w:t>
      </w:r>
      <w:r w:rsidRPr="00F15325">
        <w:rPr>
          <w:rFonts w:hint="eastAsia"/>
          <w:szCs w:val="28"/>
        </w:rPr>
        <w:t>但我們認為無必要亦不適宜直接把《公約》的條文全部納入香港法例內。</w:t>
      </w:r>
    </w:p>
    <w:p w:rsidR="006D2061" w:rsidRPr="00F15325" w:rsidRDefault="006D2061" w:rsidP="008375BB">
      <w:pPr>
        <w:tabs>
          <w:tab w:val="left" w:pos="1440"/>
        </w:tabs>
        <w:adjustRightInd w:val="0"/>
        <w:snapToGrid w:val="0"/>
        <w:spacing w:line="400" w:lineRule="atLeast"/>
        <w:jc w:val="both"/>
        <w:rPr>
          <w:szCs w:val="28"/>
          <w:lang w:val="en-GB"/>
        </w:rPr>
      </w:pPr>
    </w:p>
    <w:p w:rsidR="006D2061" w:rsidRPr="00F15325" w:rsidRDefault="006D2061" w:rsidP="008375BB">
      <w:pPr>
        <w:tabs>
          <w:tab w:val="left" w:pos="1440"/>
        </w:tabs>
        <w:adjustRightInd w:val="0"/>
        <w:snapToGrid w:val="0"/>
        <w:spacing w:line="400" w:lineRule="atLeast"/>
        <w:jc w:val="both"/>
        <w:rPr>
          <w:szCs w:val="28"/>
        </w:rPr>
      </w:pPr>
      <w:r w:rsidRPr="00F15325">
        <w:rPr>
          <w:rFonts w:hint="eastAsia"/>
          <w:szCs w:val="28"/>
        </w:rPr>
        <w:t>2.3</w:t>
      </w:r>
      <w:r w:rsidRPr="00F15325">
        <w:rPr>
          <w:rFonts w:hint="eastAsia"/>
          <w:szCs w:val="28"/>
        </w:rPr>
        <w:tab/>
      </w:r>
      <w:r w:rsidRPr="00F15325">
        <w:rPr>
          <w:rFonts w:hint="eastAsia"/>
          <w:szCs w:val="28"/>
        </w:rPr>
        <w:t>《公約》和《公民權利和政治權利國際公約》規定的權利，雖然都關乎基本人權，性質卻有不同。《公約》所載的多項權利已通過《基本法》條文</w:t>
      </w:r>
      <w:r w:rsidRPr="00684CB7">
        <w:rPr>
          <w:szCs w:val="28"/>
        </w:rPr>
        <w:t>（</w:t>
      </w:r>
      <w:r w:rsidRPr="00F15325">
        <w:rPr>
          <w:rFonts w:hint="eastAsia"/>
          <w:szCs w:val="28"/>
        </w:rPr>
        <w:t>如第二十七、三十四、三十六、三十七、一百三十七、一百四十、一百四十四和一百四十五條</w:t>
      </w:r>
      <w:r w:rsidRPr="00684CB7">
        <w:rPr>
          <w:szCs w:val="28"/>
        </w:rPr>
        <w:t>）</w:t>
      </w:r>
      <w:r w:rsidRPr="00F15325">
        <w:rPr>
          <w:rFonts w:hint="eastAsia"/>
          <w:szCs w:val="28"/>
        </w:rPr>
        <w:t>，以及不同法例，得到保障。</w:t>
      </w:r>
      <w:r>
        <w:rPr>
          <w:rFonts w:hint="eastAsia"/>
          <w:szCs w:val="28"/>
          <w:lang w:eastAsia="zh-HK"/>
        </w:rPr>
        <w:t>相關例子</w:t>
      </w:r>
      <w:r w:rsidRPr="00F15325">
        <w:rPr>
          <w:rFonts w:hint="eastAsia"/>
          <w:szCs w:val="28"/>
        </w:rPr>
        <w:t>載於</w:t>
      </w:r>
      <w:r w:rsidRPr="00F15325">
        <w:rPr>
          <w:rFonts w:hint="eastAsia"/>
          <w:b/>
          <w:szCs w:val="28"/>
        </w:rPr>
        <w:t>附件</w:t>
      </w:r>
      <w:r w:rsidRPr="00F15325">
        <w:rPr>
          <w:rFonts w:hint="eastAsia"/>
          <w:b/>
          <w:szCs w:val="28"/>
        </w:rPr>
        <w:t>2A</w:t>
      </w:r>
      <w:r w:rsidRPr="00F15325">
        <w:rPr>
          <w:rFonts w:hint="eastAsia"/>
          <w:szCs w:val="28"/>
        </w:rPr>
        <w:t>。</w:t>
      </w:r>
    </w:p>
    <w:p w:rsidR="006D2061" w:rsidRPr="00F15325" w:rsidRDefault="006D2061" w:rsidP="008375BB">
      <w:pPr>
        <w:tabs>
          <w:tab w:val="left" w:pos="1440"/>
        </w:tabs>
        <w:adjustRightInd w:val="0"/>
        <w:snapToGrid w:val="0"/>
        <w:spacing w:line="400" w:lineRule="atLeast"/>
        <w:jc w:val="both"/>
        <w:rPr>
          <w:szCs w:val="28"/>
        </w:rPr>
      </w:pPr>
    </w:p>
    <w:p w:rsidR="006D2061" w:rsidRPr="00F15325" w:rsidRDefault="006D2061" w:rsidP="008375BB">
      <w:pPr>
        <w:tabs>
          <w:tab w:val="left" w:pos="1440"/>
        </w:tabs>
        <w:adjustRightInd w:val="0"/>
        <w:snapToGrid w:val="0"/>
        <w:spacing w:line="400" w:lineRule="atLeast"/>
        <w:jc w:val="both"/>
        <w:rPr>
          <w:szCs w:val="28"/>
        </w:rPr>
      </w:pPr>
      <w:r w:rsidRPr="0079491C">
        <w:rPr>
          <w:rFonts w:hint="eastAsia"/>
          <w:szCs w:val="28"/>
        </w:rPr>
        <w:t>2.4</w:t>
      </w:r>
      <w:r w:rsidRPr="0079491C">
        <w:rPr>
          <w:rFonts w:hint="eastAsia"/>
          <w:szCs w:val="28"/>
        </w:rPr>
        <w:tab/>
      </w:r>
      <w:r w:rsidRPr="00714455">
        <w:rPr>
          <w:rFonts w:hint="eastAsia"/>
          <w:szCs w:val="28"/>
        </w:rPr>
        <w:t>在保障公約所載的權利方面，我們認為這類按主題事項的</w:t>
      </w:r>
      <w:r w:rsidRPr="00F15325">
        <w:rPr>
          <w:rFonts w:hint="eastAsia"/>
          <w:szCs w:val="28"/>
        </w:rPr>
        <w:t>具體措施以照顧《公約》涵蓋的不同範疇，較在本地法律中重申《公約》條文的做法，更為有效。</w:t>
      </w:r>
    </w:p>
    <w:p w:rsidR="006D2061" w:rsidRDefault="006D2061" w:rsidP="008375BB">
      <w:pPr>
        <w:pStyle w:val="a6"/>
        <w:tabs>
          <w:tab w:val="clear" w:pos="840"/>
          <w:tab w:val="clear" w:pos="1680"/>
          <w:tab w:val="left" w:pos="1440"/>
        </w:tabs>
        <w:adjustRightInd w:val="0"/>
        <w:spacing w:after="0" w:line="400" w:lineRule="atLeast"/>
        <w:ind w:leftChars="0" w:left="0"/>
        <w:rPr>
          <w:b/>
        </w:rPr>
      </w:pPr>
    </w:p>
    <w:p w:rsidR="006D2061" w:rsidRPr="00612CEA" w:rsidRDefault="006D2061" w:rsidP="008375BB">
      <w:pPr>
        <w:pStyle w:val="a6"/>
        <w:tabs>
          <w:tab w:val="clear" w:pos="840"/>
          <w:tab w:val="clear" w:pos="1680"/>
          <w:tab w:val="left" w:pos="1440"/>
        </w:tabs>
        <w:adjustRightInd w:val="0"/>
        <w:spacing w:after="0" w:line="400" w:lineRule="atLeast"/>
        <w:ind w:leftChars="0" w:left="0"/>
        <w:rPr>
          <w:b/>
        </w:rPr>
      </w:pPr>
      <w:r w:rsidRPr="00612CEA">
        <w:rPr>
          <w:b/>
        </w:rPr>
        <w:t>歧視</w:t>
      </w:r>
      <w:r>
        <w:rPr>
          <w:rFonts w:hint="eastAsia"/>
          <w:b/>
          <w:lang w:eastAsia="zh-HK"/>
        </w:rPr>
        <w:t>條</w:t>
      </w:r>
      <w:r>
        <w:rPr>
          <w:rFonts w:hint="eastAsia"/>
          <w:b/>
        </w:rPr>
        <w:t>例</w:t>
      </w:r>
      <w:r>
        <w:rPr>
          <w:rFonts w:hint="eastAsia"/>
          <w:b/>
          <w:lang w:eastAsia="zh-HK"/>
        </w:rPr>
        <w:t>檢</w:t>
      </w:r>
      <w:r>
        <w:rPr>
          <w:rFonts w:hint="eastAsia"/>
          <w:b/>
        </w:rPr>
        <w:t>討</w:t>
      </w:r>
    </w:p>
    <w:p w:rsidR="006D2061" w:rsidRPr="00612CEA" w:rsidRDefault="006D2061" w:rsidP="008375BB">
      <w:pPr>
        <w:tabs>
          <w:tab w:val="left" w:pos="1440"/>
        </w:tabs>
        <w:autoSpaceDE w:val="0"/>
        <w:autoSpaceDN w:val="0"/>
        <w:adjustRightInd w:val="0"/>
        <w:snapToGrid w:val="0"/>
        <w:spacing w:line="400" w:lineRule="atLeast"/>
        <w:jc w:val="both"/>
        <w:rPr>
          <w:kern w:val="0"/>
          <w:szCs w:val="28"/>
        </w:rPr>
      </w:pPr>
    </w:p>
    <w:p w:rsidR="006D2061" w:rsidRPr="00615A91" w:rsidRDefault="006D2061" w:rsidP="008375BB">
      <w:pPr>
        <w:tabs>
          <w:tab w:val="left" w:pos="1440"/>
        </w:tabs>
        <w:autoSpaceDE w:val="0"/>
        <w:autoSpaceDN w:val="0"/>
        <w:adjustRightInd w:val="0"/>
        <w:snapToGrid w:val="0"/>
        <w:spacing w:line="400" w:lineRule="atLeast"/>
        <w:jc w:val="both"/>
        <w:rPr>
          <w:bCs/>
          <w:kern w:val="0"/>
          <w:szCs w:val="28"/>
        </w:rPr>
      </w:pPr>
      <w:r w:rsidRPr="00612CEA">
        <w:rPr>
          <w:kern w:val="0"/>
          <w:szCs w:val="28"/>
        </w:rPr>
        <w:t>2.</w:t>
      </w:r>
      <w:r>
        <w:rPr>
          <w:kern w:val="0"/>
          <w:szCs w:val="28"/>
        </w:rPr>
        <w:t>5</w:t>
      </w:r>
      <w:r w:rsidRPr="00612CEA">
        <w:rPr>
          <w:kern w:val="0"/>
          <w:szCs w:val="28"/>
        </w:rPr>
        <w:tab/>
      </w:r>
      <w:r w:rsidRPr="00615A91">
        <w:rPr>
          <w:rFonts w:hint="eastAsia"/>
          <w:spacing w:val="2"/>
          <w:kern w:val="0"/>
          <w:szCs w:val="28"/>
          <w:lang w:eastAsia="zh-HK"/>
        </w:rPr>
        <w:t>平等機會委</w:t>
      </w:r>
      <w:r w:rsidRPr="00615A91">
        <w:rPr>
          <w:rFonts w:hint="eastAsia"/>
          <w:spacing w:val="2"/>
          <w:kern w:val="0"/>
          <w:szCs w:val="28"/>
        </w:rPr>
        <w:t>員會（平機會）（</w:t>
      </w:r>
      <w:r w:rsidRPr="00615A91">
        <w:rPr>
          <w:rFonts w:hint="eastAsia"/>
          <w:spacing w:val="2"/>
          <w:kern w:val="0"/>
          <w:szCs w:val="28"/>
          <w:lang w:eastAsia="zh-HK"/>
        </w:rPr>
        <w:t>見</w:t>
      </w:r>
      <w:r w:rsidRPr="00615A91">
        <w:rPr>
          <w:rFonts w:hint="eastAsia"/>
          <w:b/>
          <w:spacing w:val="2"/>
          <w:kern w:val="0"/>
          <w:szCs w:val="28"/>
          <w:lang w:eastAsia="zh-HK"/>
        </w:rPr>
        <w:t>附件</w:t>
      </w:r>
      <w:r w:rsidRPr="00615A91">
        <w:rPr>
          <w:rFonts w:hint="eastAsia"/>
          <w:b/>
          <w:spacing w:val="2"/>
          <w:kern w:val="0"/>
          <w:szCs w:val="28"/>
        </w:rPr>
        <w:t>2B</w:t>
      </w:r>
      <w:r w:rsidRPr="00615A91">
        <w:rPr>
          <w:rFonts w:hint="eastAsia"/>
          <w:spacing w:val="2"/>
          <w:kern w:val="0"/>
          <w:szCs w:val="28"/>
        </w:rPr>
        <w:t>）負責執行四條反歧視條例，即《性別歧視條例》（第</w:t>
      </w:r>
      <w:r w:rsidRPr="00615A91">
        <w:rPr>
          <w:spacing w:val="2"/>
          <w:kern w:val="0"/>
          <w:szCs w:val="28"/>
        </w:rPr>
        <w:t>480</w:t>
      </w:r>
      <w:r w:rsidRPr="00615A91">
        <w:rPr>
          <w:rFonts w:hint="eastAsia"/>
          <w:spacing w:val="2"/>
          <w:kern w:val="0"/>
          <w:szCs w:val="28"/>
        </w:rPr>
        <w:t>章）、《殘疾歧視條例》（第</w:t>
      </w:r>
      <w:r w:rsidRPr="00615A91">
        <w:rPr>
          <w:spacing w:val="2"/>
          <w:kern w:val="0"/>
          <w:szCs w:val="28"/>
        </w:rPr>
        <w:t>487</w:t>
      </w:r>
      <w:r w:rsidRPr="00615A91">
        <w:rPr>
          <w:rFonts w:hint="eastAsia"/>
          <w:spacing w:val="2"/>
          <w:kern w:val="0"/>
          <w:szCs w:val="28"/>
        </w:rPr>
        <w:t>章）、《家庭崗位歧視條例》（第</w:t>
      </w:r>
      <w:r w:rsidRPr="00615A91">
        <w:rPr>
          <w:rFonts w:hint="eastAsia"/>
          <w:spacing w:val="2"/>
          <w:kern w:val="0"/>
          <w:szCs w:val="28"/>
        </w:rPr>
        <w:t>527</w:t>
      </w:r>
      <w:r w:rsidRPr="00615A91">
        <w:rPr>
          <w:rFonts w:hint="eastAsia"/>
          <w:spacing w:val="2"/>
          <w:kern w:val="0"/>
          <w:szCs w:val="28"/>
        </w:rPr>
        <w:t>章）及《種族歧視條例》（第</w:t>
      </w:r>
      <w:r w:rsidRPr="00615A91">
        <w:rPr>
          <w:rFonts w:hint="eastAsia"/>
          <w:spacing w:val="2"/>
          <w:kern w:val="0"/>
          <w:szCs w:val="28"/>
        </w:rPr>
        <w:t>602</w:t>
      </w:r>
      <w:r w:rsidRPr="00615A91">
        <w:rPr>
          <w:rFonts w:hint="eastAsia"/>
          <w:spacing w:val="2"/>
          <w:kern w:val="0"/>
          <w:szCs w:val="28"/>
        </w:rPr>
        <w:t>章）。平機會其中一項職能，是檢討四</w:t>
      </w:r>
      <w:r w:rsidRPr="00615A91">
        <w:rPr>
          <w:spacing w:val="2"/>
          <w:kern w:val="0"/>
          <w:szCs w:val="28"/>
        </w:rPr>
        <w:t>‍</w:t>
      </w:r>
      <w:r w:rsidRPr="00615A91">
        <w:rPr>
          <w:rFonts w:hint="eastAsia"/>
          <w:spacing w:val="2"/>
          <w:kern w:val="0"/>
          <w:szCs w:val="28"/>
        </w:rPr>
        <w:t>條條例的施行情況，並在行政長官要求或該會認為有需要時，擬備</w:t>
      </w:r>
      <w:r w:rsidRPr="00615A91">
        <w:rPr>
          <w:rFonts w:hint="eastAsia"/>
          <w:spacing w:val="2"/>
          <w:kern w:val="0"/>
          <w:szCs w:val="28"/>
          <w:lang w:eastAsia="zh-HK"/>
        </w:rPr>
        <w:t>並提交</w:t>
      </w:r>
      <w:r w:rsidRPr="00615A91">
        <w:rPr>
          <w:rFonts w:hint="eastAsia"/>
          <w:spacing w:val="2"/>
          <w:kern w:val="0"/>
          <w:szCs w:val="28"/>
        </w:rPr>
        <w:t>修訂條例的建議。平機會</w:t>
      </w:r>
      <w:r w:rsidRPr="00615A91">
        <w:rPr>
          <w:rFonts w:hint="eastAsia"/>
          <w:spacing w:val="2"/>
          <w:kern w:val="0"/>
          <w:szCs w:val="28"/>
          <w:lang w:eastAsia="zh-HK"/>
        </w:rPr>
        <w:t>在</w:t>
      </w:r>
      <w:r w:rsidRPr="00615A91">
        <w:rPr>
          <w:spacing w:val="2"/>
          <w:kern w:val="0"/>
          <w:szCs w:val="28"/>
        </w:rPr>
        <w:t>2016</w:t>
      </w:r>
      <w:r w:rsidRPr="00615A91">
        <w:rPr>
          <w:rFonts w:hint="eastAsia"/>
          <w:spacing w:val="2"/>
          <w:kern w:val="0"/>
          <w:szCs w:val="28"/>
        </w:rPr>
        <w:t>年</w:t>
      </w:r>
      <w:r w:rsidRPr="00615A91">
        <w:rPr>
          <w:spacing w:val="2"/>
          <w:kern w:val="0"/>
          <w:szCs w:val="28"/>
        </w:rPr>
        <w:t>3</w:t>
      </w:r>
      <w:r w:rsidRPr="00615A91">
        <w:rPr>
          <w:rFonts w:hint="eastAsia"/>
          <w:spacing w:val="2"/>
          <w:kern w:val="0"/>
          <w:szCs w:val="28"/>
        </w:rPr>
        <w:t>月就歧視條例檢討向政府提交了</w:t>
      </w:r>
      <w:r w:rsidRPr="00615A91">
        <w:rPr>
          <w:spacing w:val="2"/>
          <w:kern w:val="0"/>
          <w:szCs w:val="28"/>
        </w:rPr>
        <w:t>73‍</w:t>
      </w:r>
      <w:r w:rsidRPr="00615A91">
        <w:rPr>
          <w:rFonts w:hint="eastAsia"/>
          <w:spacing w:val="2"/>
          <w:kern w:val="0"/>
          <w:szCs w:val="28"/>
        </w:rPr>
        <w:t>項建議，</w:t>
      </w:r>
      <w:r w:rsidRPr="00615A91">
        <w:rPr>
          <w:rFonts w:hint="eastAsia"/>
          <w:spacing w:val="2"/>
          <w:kern w:val="0"/>
          <w:szCs w:val="28"/>
          <w:lang w:eastAsia="zh-HK"/>
        </w:rPr>
        <w:t>並</w:t>
      </w:r>
      <w:r w:rsidRPr="00615A91">
        <w:rPr>
          <w:rFonts w:hint="eastAsia"/>
          <w:spacing w:val="2"/>
          <w:kern w:val="0"/>
          <w:szCs w:val="28"/>
        </w:rPr>
        <w:t>認為</w:t>
      </w:r>
      <w:r w:rsidRPr="00615A91">
        <w:rPr>
          <w:spacing w:val="2"/>
          <w:kern w:val="0"/>
          <w:szCs w:val="28"/>
        </w:rPr>
        <w:t>27</w:t>
      </w:r>
      <w:r w:rsidRPr="00615A91">
        <w:rPr>
          <w:rFonts w:hint="eastAsia"/>
          <w:spacing w:val="2"/>
          <w:kern w:val="0"/>
          <w:szCs w:val="28"/>
        </w:rPr>
        <w:t>項需要優先處理。政府</w:t>
      </w:r>
      <w:r w:rsidRPr="00615A91">
        <w:rPr>
          <w:rFonts w:hint="eastAsia"/>
          <w:bCs/>
          <w:spacing w:val="2"/>
          <w:kern w:val="0"/>
          <w:szCs w:val="28"/>
        </w:rPr>
        <w:t>於</w:t>
      </w:r>
      <w:r w:rsidRPr="00615A91">
        <w:rPr>
          <w:bCs/>
          <w:spacing w:val="2"/>
          <w:kern w:val="0"/>
          <w:szCs w:val="28"/>
        </w:rPr>
        <w:t>2017</w:t>
      </w:r>
      <w:r w:rsidRPr="00615A91">
        <w:rPr>
          <w:rFonts w:hint="eastAsia"/>
          <w:bCs/>
          <w:spacing w:val="2"/>
          <w:kern w:val="0"/>
          <w:szCs w:val="28"/>
        </w:rPr>
        <w:t>年</w:t>
      </w:r>
      <w:r w:rsidRPr="00615A91">
        <w:rPr>
          <w:bCs/>
          <w:spacing w:val="2"/>
          <w:kern w:val="0"/>
          <w:szCs w:val="28"/>
        </w:rPr>
        <w:t>3</w:t>
      </w:r>
      <w:r w:rsidRPr="00615A91">
        <w:rPr>
          <w:rFonts w:hint="eastAsia"/>
          <w:bCs/>
          <w:spacing w:val="2"/>
          <w:kern w:val="0"/>
          <w:szCs w:val="28"/>
        </w:rPr>
        <w:t>月就其認為社會可達成共識</w:t>
      </w:r>
      <w:r w:rsidRPr="00615A91">
        <w:rPr>
          <w:rFonts w:hint="eastAsia"/>
          <w:bCs/>
          <w:kern w:val="0"/>
          <w:szCs w:val="28"/>
        </w:rPr>
        <w:t>的建議諮詢立法會政制事務委員會。委員會支持政府落實八項需要優先處理的建議（</w:t>
      </w:r>
      <w:r w:rsidRPr="00615A91">
        <w:rPr>
          <w:rFonts w:hint="eastAsia"/>
          <w:bCs/>
          <w:kern w:val="0"/>
          <w:szCs w:val="28"/>
          <w:lang w:eastAsia="zh-HK"/>
        </w:rPr>
        <w:t>見</w:t>
      </w:r>
      <w:r w:rsidRPr="00615A91">
        <w:rPr>
          <w:rFonts w:hint="eastAsia"/>
          <w:b/>
          <w:bCs/>
          <w:kern w:val="0"/>
          <w:szCs w:val="28"/>
          <w:lang w:eastAsia="zh-HK"/>
        </w:rPr>
        <w:t>附件</w:t>
      </w:r>
      <w:r w:rsidRPr="00615A91">
        <w:rPr>
          <w:rFonts w:hint="eastAsia"/>
          <w:b/>
          <w:bCs/>
          <w:kern w:val="0"/>
          <w:szCs w:val="28"/>
        </w:rPr>
        <w:t>2C</w:t>
      </w:r>
      <w:r w:rsidRPr="00615A91">
        <w:rPr>
          <w:rFonts w:hint="eastAsia"/>
          <w:bCs/>
          <w:kern w:val="0"/>
          <w:szCs w:val="28"/>
        </w:rPr>
        <w:t>）。</w:t>
      </w:r>
    </w:p>
    <w:p w:rsidR="006D2061" w:rsidRPr="002929D4" w:rsidRDefault="006D2061" w:rsidP="008375BB">
      <w:pPr>
        <w:tabs>
          <w:tab w:val="left" w:pos="1440"/>
        </w:tabs>
        <w:autoSpaceDE w:val="0"/>
        <w:autoSpaceDN w:val="0"/>
        <w:adjustRightInd w:val="0"/>
        <w:snapToGrid w:val="0"/>
        <w:spacing w:line="400" w:lineRule="atLeast"/>
        <w:jc w:val="both"/>
        <w:rPr>
          <w:kern w:val="0"/>
          <w:szCs w:val="28"/>
        </w:rPr>
      </w:pPr>
      <w:r w:rsidRPr="0093058D">
        <w:rPr>
          <w:kern w:val="0"/>
          <w:szCs w:val="28"/>
        </w:rPr>
        <w:lastRenderedPageBreak/>
        <w:t>2.</w:t>
      </w:r>
      <w:r>
        <w:rPr>
          <w:rFonts w:hint="eastAsia"/>
          <w:kern w:val="0"/>
          <w:szCs w:val="28"/>
        </w:rPr>
        <w:t>6</w:t>
      </w:r>
      <w:r w:rsidRPr="0093058D">
        <w:rPr>
          <w:kern w:val="0"/>
          <w:szCs w:val="28"/>
        </w:rPr>
        <w:tab/>
      </w:r>
      <w:r w:rsidRPr="0093058D">
        <w:rPr>
          <w:rFonts w:hint="eastAsia"/>
          <w:kern w:val="0"/>
          <w:szCs w:val="28"/>
        </w:rPr>
        <w:t>政府於</w:t>
      </w:r>
      <w:r w:rsidRPr="0093058D">
        <w:rPr>
          <w:rFonts w:hint="eastAsia"/>
          <w:kern w:val="0"/>
          <w:szCs w:val="28"/>
        </w:rPr>
        <w:t>2018</w:t>
      </w:r>
      <w:r w:rsidRPr="0093058D">
        <w:rPr>
          <w:rFonts w:hint="eastAsia"/>
          <w:kern w:val="0"/>
          <w:szCs w:val="28"/>
        </w:rPr>
        <w:t>年底向立法會提交《</w:t>
      </w:r>
      <w:r w:rsidRPr="0093058D">
        <w:rPr>
          <w:rFonts w:hint="eastAsia"/>
          <w:kern w:val="0"/>
          <w:szCs w:val="28"/>
        </w:rPr>
        <w:t>2018</w:t>
      </w:r>
      <w:r w:rsidRPr="0093058D">
        <w:rPr>
          <w:rFonts w:hint="eastAsia"/>
          <w:kern w:val="0"/>
          <w:szCs w:val="28"/>
        </w:rPr>
        <w:t>年歧視法例（雜項修訂）條例草案》，</w:t>
      </w:r>
      <w:r>
        <w:rPr>
          <w:rFonts w:hint="eastAsia"/>
          <w:kern w:val="0"/>
          <w:szCs w:val="28"/>
          <w:lang w:eastAsia="zh-HK"/>
        </w:rPr>
        <w:t>並</w:t>
      </w:r>
      <w:r w:rsidRPr="0093058D">
        <w:rPr>
          <w:rFonts w:hint="eastAsia"/>
          <w:kern w:val="0"/>
          <w:szCs w:val="28"/>
        </w:rPr>
        <w:t>正與平機會合作，為實施《條例草案》</w:t>
      </w:r>
      <w:r w:rsidRPr="0093058D">
        <w:rPr>
          <w:kern w:val="0"/>
          <w:szCs w:val="28"/>
        </w:rPr>
        <w:t>作</w:t>
      </w:r>
      <w:r w:rsidRPr="0093058D">
        <w:rPr>
          <w:rFonts w:hint="eastAsia"/>
          <w:kern w:val="0"/>
          <w:szCs w:val="28"/>
        </w:rPr>
        <w:t>準備。</w:t>
      </w:r>
    </w:p>
    <w:p w:rsidR="006D2061" w:rsidRDefault="006D2061" w:rsidP="008375BB">
      <w:pPr>
        <w:tabs>
          <w:tab w:val="left" w:pos="1440"/>
        </w:tabs>
        <w:autoSpaceDE w:val="0"/>
        <w:autoSpaceDN w:val="0"/>
        <w:adjustRightInd w:val="0"/>
        <w:snapToGrid w:val="0"/>
        <w:spacing w:line="400" w:lineRule="atLeast"/>
        <w:jc w:val="both"/>
        <w:rPr>
          <w:kern w:val="0"/>
          <w:szCs w:val="28"/>
        </w:rPr>
      </w:pPr>
    </w:p>
    <w:p w:rsidR="006D2061" w:rsidRDefault="006D2061" w:rsidP="008375BB">
      <w:pPr>
        <w:tabs>
          <w:tab w:val="left" w:pos="1440"/>
        </w:tabs>
        <w:autoSpaceDE w:val="0"/>
        <w:autoSpaceDN w:val="0"/>
        <w:adjustRightInd w:val="0"/>
        <w:snapToGrid w:val="0"/>
        <w:spacing w:line="400" w:lineRule="atLeast"/>
        <w:jc w:val="both"/>
        <w:rPr>
          <w:kern w:val="0"/>
          <w:szCs w:val="28"/>
        </w:rPr>
      </w:pPr>
      <w:r w:rsidRPr="00A32B45">
        <w:rPr>
          <w:rFonts w:hint="eastAsia"/>
          <w:b/>
          <w:szCs w:val="28"/>
        </w:rPr>
        <w:t>立法禁止種族歧視</w:t>
      </w:r>
    </w:p>
    <w:p w:rsidR="006D2061" w:rsidRDefault="006D2061" w:rsidP="008375BB">
      <w:pPr>
        <w:tabs>
          <w:tab w:val="left" w:pos="1440"/>
        </w:tabs>
        <w:autoSpaceDE w:val="0"/>
        <w:autoSpaceDN w:val="0"/>
        <w:adjustRightInd w:val="0"/>
        <w:snapToGrid w:val="0"/>
        <w:spacing w:line="400" w:lineRule="atLeast"/>
        <w:jc w:val="both"/>
        <w:rPr>
          <w:kern w:val="0"/>
          <w:szCs w:val="28"/>
        </w:rPr>
      </w:pPr>
    </w:p>
    <w:p w:rsidR="006D2061" w:rsidRPr="00515081" w:rsidRDefault="006D2061" w:rsidP="008375BB">
      <w:pPr>
        <w:tabs>
          <w:tab w:val="left" w:pos="1440"/>
        </w:tabs>
        <w:autoSpaceDE w:val="0"/>
        <w:autoSpaceDN w:val="0"/>
        <w:adjustRightInd w:val="0"/>
        <w:snapToGrid w:val="0"/>
        <w:spacing w:line="400" w:lineRule="atLeast"/>
        <w:jc w:val="both"/>
        <w:rPr>
          <w:kern w:val="0"/>
          <w:szCs w:val="28"/>
        </w:rPr>
      </w:pPr>
      <w:r>
        <w:rPr>
          <w:rFonts w:hint="eastAsia"/>
          <w:kern w:val="0"/>
          <w:szCs w:val="28"/>
        </w:rPr>
        <w:t>2.7</w:t>
      </w:r>
      <w:r>
        <w:rPr>
          <w:kern w:val="0"/>
          <w:szCs w:val="28"/>
        </w:rPr>
        <w:tab/>
      </w:r>
      <w:r w:rsidRPr="00515081">
        <w:rPr>
          <w:rFonts w:hint="eastAsia"/>
          <w:kern w:val="0"/>
          <w:szCs w:val="28"/>
        </w:rPr>
        <w:t>《種族歧視條例》在</w:t>
      </w:r>
      <w:r w:rsidRPr="00515081">
        <w:rPr>
          <w:kern w:val="0"/>
          <w:szCs w:val="28"/>
        </w:rPr>
        <w:t>2009</w:t>
      </w:r>
      <w:r w:rsidRPr="00515081">
        <w:rPr>
          <w:rFonts w:hint="eastAsia"/>
          <w:kern w:val="0"/>
          <w:szCs w:val="28"/>
        </w:rPr>
        <w:t>年全面實施</w:t>
      </w:r>
      <w:r>
        <w:rPr>
          <w:rFonts w:hint="eastAsia"/>
          <w:kern w:val="0"/>
          <w:szCs w:val="28"/>
        </w:rPr>
        <w:t>，</w:t>
      </w:r>
      <w:r w:rsidRPr="00515081">
        <w:rPr>
          <w:rFonts w:hint="eastAsia"/>
          <w:kern w:val="0"/>
          <w:szCs w:val="28"/>
        </w:rPr>
        <w:t>條例</w:t>
      </w:r>
      <w:r>
        <w:rPr>
          <w:rFonts w:hint="eastAsia"/>
          <w:kern w:val="0"/>
          <w:szCs w:val="28"/>
          <w:lang w:eastAsia="zh-HK"/>
        </w:rPr>
        <w:t>旨在</w:t>
      </w:r>
      <w:r w:rsidRPr="00515081">
        <w:rPr>
          <w:rFonts w:hint="eastAsia"/>
          <w:kern w:val="0"/>
          <w:szCs w:val="28"/>
        </w:rPr>
        <w:t>保障所有人不會基於種族而被歧視、騷擾及中傷</w:t>
      </w:r>
      <w:r>
        <w:rPr>
          <w:rFonts w:hint="eastAsia"/>
          <w:kern w:val="0"/>
          <w:szCs w:val="28"/>
        </w:rPr>
        <w:t>，</w:t>
      </w:r>
      <w:r>
        <w:rPr>
          <w:rFonts w:hint="eastAsia"/>
          <w:kern w:val="0"/>
          <w:szCs w:val="28"/>
          <w:lang w:eastAsia="zh-HK"/>
        </w:rPr>
        <w:t>詳見</w:t>
      </w:r>
      <w:r w:rsidRPr="004503F7">
        <w:rPr>
          <w:rFonts w:hint="eastAsia"/>
          <w:b/>
          <w:kern w:val="0"/>
          <w:szCs w:val="28"/>
          <w:lang w:eastAsia="zh-HK"/>
        </w:rPr>
        <w:t>附件</w:t>
      </w:r>
      <w:r w:rsidRPr="004503F7">
        <w:rPr>
          <w:rFonts w:hint="eastAsia"/>
          <w:b/>
          <w:kern w:val="0"/>
          <w:szCs w:val="28"/>
        </w:rPr>
        <w:t>2D</w:t>
      </w:r>
      <w:r w:rsidRPr="00515081">
        <w:rPr>
          <w:rFonts w:hint="eastAsia"/>
          <w:kern w:val="0"/>
          <w:szCs w:val="28"/>
        </w:rPr>
        <w:t>。</w:t>
      </w:r>
    </w:p>
    <w:p w:rsidR="006D2061" w:rsidRPr="00515081" w:rsidRDefault="006D2061" w:rsidP="008375BB">
      <w:pPr>
        <w:tabs>
          <w:tab w:val="left" w:pos="1440"/>
        </w:tabs>
        <w:autoSpaceDE w:val="0"/>
        <w:autoSpaceDN w:val="0"/>
        <w:adjustRightInd w:val="0"/>
        <w:snapToGrid w:val="0"/>
        <w:spacing w:line="400" w:lineRule="atLeast"/>
        <w:jc w:val="both"/>
        <w:rPr>
          <w:kern w:val="0"/>
          <w:szCs w:val="28"/>
        </w:rPr>
      </w:pPr>
    </w:p>
    <w:p w:rsidR="006D2061" w:rsidRDefault="006D2061" w:rsidP="008375BB">
      <w:pPr>
        <w:tabs>
          <w:tab w:val="left" w:pos="1440"/>
        </w:tabs>
        <w:autoSpaceDE w:val="0"/>
        <w:autoSpaceDN w:val="0"/>
        <w:adjustRightInd w:val="0"/>
        <w:snapToGrid w:val="0"/>
        <w:spacing w:line="400" w:lineRule="atLeast"/>
        <w:jc w:val="both"/>
        <w:rPr>
          <w:kern w:val="0"/>
          <w:szCs w:val="28"/>
        </w:rPr>
      </w:pPr>
      <w:r>
        <w:rPr>
          <w:kern w:val="0"/>
          <w:szCs w:val="28"/>
        </w:rPr>
        <w:t>2.</w:t>
      </w:r>
      <w:r>
        <w:rPr>
          <w:rFonts w:hint="eastAsia"/>
          <w:kern w:val="0"/>
          <w:szCs w:val="28"/>
        </w:rPr>
        <w:t>8</w:t>
      </w:r>
      <w:r w:rsidRPr="00515081">
        <w:rPr>
          <w:kern w:val="0"/>
          <w:szCs w:val="28"/>
        </w:rPr>
        <w:tab/>
      </w:r>
      <w:r w:rsidRPr="0093058D">
        <w:rPr>
          <w:rFonts w:hint="eastAsia"/>
          <w:kern w:val="0"/>
          <w:szCs w:val="28"/>
        </w:rPr>
        <w:t>如上文第</w:t>
      </w:r>
      <w:r>
        <w:rPr>
          <w:kern w:val="0"/>
          <w:szCs w:val="28"/>
        </w:rPr>
        <w:t>2.6</w:t>
      </w:r>
      <w:r w:rsidRPr="0093058D">
        <w:rPr>
          <w:rFonts w:hint="eastAsia"/>
          <w:kern w:val="0"/>
          <w:szCs w:val="28"/>
        </w:rPr>
        <w:t>段所述，</w:t>
      </w:r>
      <w:r w:rsidRPr="00B660FB">
        <w:rPr>
          <w:rFonts w:hint="eastAsia"/>
          <w:kern w:val="0"/>
          <w:szCs w:val="28"/>
        </w:rPr>
        <w:t>政府亦已提交《</w:t>
      </w:r>
      <w:r w:rsidRPr="00B660FB">
        <w:rPr>
          <w:rFonts w:hint="eastAsia"/>
          <w:kern w:val="0"/>
          <w:szCs w:val="28"/>
        </w:rPr>
        <w:t>2018</w:t>
      </w:r>
      <w:r w:rsidRPr="00B660FB">
        <w:rPr>
          <w:rFonts w:hint="eastAsia"/>
          <w:kern w:val="0"/>
          <w:szCs w:val="28"/>
        </w:rPr>
        <w:t>年歧視法例（雜項修訂）條例草案》以實施部分建議。《</w:t>
      </w:r>
      <w:r w:rsidRPr="00BA5EF3">
        <w:rPr>
          <w:rFonts w:hint="eastAsia"/>
          <w:kern w:val="0"/>
          <w:szCs w:val="28"/>
        </w:rPr>
        <w:t>條例</w:t>
      </w:r>
      <w:r w:rsidRPr="00B660FB">
        <w:rPr>
          <w:rFonts w:hint="eastAsia"/>
          <w:kern w:val="0"/>
          <w:szCs w:val="28"/>
        </w:rPr>
        <w:t>草案》</w:t>
      </w:r>
      <w:r w:rsidRPr="0093058D">
        <w:rPr>
          <w:rFonts w:hint="eastAsia"/>
          <w:kern w:val="0"/>
          <w:szCs w:val="28"/>
        </w:rPr>
        <w:t>優先處理的八項建議中，六</w:t>
      </w:r>
      <w:r w:rsidRPr="0093058D">
        <w:rPr>
          <w:rFonts w:hint="cs"/>
          <w:kern w:val="0"/>
          <w:szCs w:val="28"/>
        </w:rPr>
        <w:t>‍</w:t>
      </w:r>
      <w:r w:rsidRPr="0093058D">
        <w:rPr>
          <w:rFonts w:hint="eastAsia"/>
          <w:kern w:val="0"/>
          <w:szCs w:val="28"/>
        </w:rPr>
        <w:t>項涉及《種族歧視條例》。</w:t>
      </w:r>
    </w:p>
    <w:p w:rsidR="006D2061" w:rsidRDefault="006D2061" w:rsidP="008375BB">
      <w:pPr>
        <w:tabs>
          <w:tab w:val="left" w:pos="1440"/>
        </w:tabs>
        <w:autoSpaceDE w:val="0"/>
        <w:autoSpaceDN w:val="0"/>
        <w:adjustRightInd w:val="0"/>
        <w:snapToGrid w:val="0"/>
        <w:spacing w:line="400" w:lineRule="atLeast"/>
        <w:jc w:val="both"/>
        <w:rPr>
          <w:kern w:val="0"/>
          <w:szCs w:val="28"/>
        </w:rPr>
      </w:pPr>
    </w:p>
    <w:p w:rsidR="006D2061" w:rsidRDefault="006D2061" w:rsidP="008375BB">
      <w:pPr>
        <w:tabs>
          <w:tab w:val="left" w:pos="1440"/>
        </w:tabs>
        <w:autoSpaceDE w:val="0"/>
        <w:autoSpaceDN w:val="0"/>
        <w:adjustRightInd w:val="0"/>
        <w:snapToGrid w:val="0"/>
        <w:spacing w:line="400" w:lineRule="atLeast"/>
        <w:jc w:val="both"/>
        <w:rPr>
          <w:kern w:val="0"/>
          <w:szCs w:val="28"/>
          <w:lang w:eastAsia="zh-HK"/>
        </w:rPr>
      </w:pPr>
      <w:r w:rsidRPr="0079491C">
        <w:rPr>
          <w:rFonts w:hint="eastAsia"/>
          <w:kern w:val="0"/>
          <w:szCs w:val="28"/>
        </w:rPr>
        <w:t>2.</w:t>
      </w:r>
      <w:r w:rsidRPr="00714455">
        <w:rPr>
          <w:rFonts w:hint="eastAsia"/>
          <w:kern w:val="0"/>
          <w:szCs w:val="28"/>
        </w:rPr>
        <w:t>9</w:t>
      </w:r>
      <w:r w:rsidRPr="00714455">
        <w:rPr>
          <w:rFonts w:hint="eastAsia"/>
          <w:kern w:val="0"/>
          <w:szCs w:val="28"/>
        </w:rPr>
        <w:tab/>
      </w:r>
      <w:r w:rsidRPr="00714455">
        <w:rPr>
          <w:rFonts w:hint="eastAsia"/>
          <w:kern w:val="0"/>
          <w:szCs w:val="28"/>
          <w:lang w:eastAsia="zh-HK"/>
        </w:rPr>
        <w:t>委員會在上次審議結論</w:t>
      </w:r>
      <w:r w:rsidRPr="004503F7">
        <w:rPr>
          <w:rFonts w:hint="eastAsia"/>
          <w:kern w:val="0"/>
          <w:szCs w:val="28"/>
          <w:lang w:eastAsia="zh-HK"/>
        </w:rPr>
        <w:t>第</w:t>
      </w:r>
      <w:r w:rsidRPr="004503F7">
        <w:rPr>
          <w:rFonts w:hint="eastAsia"/>
          <w:kern w:val="0"/>
          <w:szCs w:val="28"/>
          <w:lang w:eastAsia="zh-HK"/>
        </w:rPr>
        <w:t>41</w:t>
      </w:r>
      <w:r w:rsidRPr="004503F7">
        <w:rPr>
          <w:rFonts w:hint="eastAsia"/>
          <w:kern w:val="0"/>
          <w:szCs w:val="28"/>
          <w:lang w:eastAsia="zh-HK"/>
        </w:rPr>
        <w:t>段</w:t>
      </w:r>
      <w:r w:rsidRPr="00714455">
        <w:rPr>
          <w:rFonts w:hint="eastAsia"/>
          <w:kern w:val="0"/>
          <w:szCs w:val="28"/>
          <w:lang w:eastAsia="zh-HK"/>
        </w:rPr>
        <w:t>中重</w:t>
      </w:r>
      <w:r w:rsidRPr="00714455">
        <w:rPr>
          <w:rFonts w:hint="eastAsia"/>
          <w:kern w:val="0"/>
          <w:szCs w:val="28"/>
        </w:rPr>
        <w:t>申</w:t>
      </w:r>
      <w:r w:rsidRPr="00714455">
        <w:rPr>
          <w:rFonts w:hint="eastAsia"/>
          <w:kern w:val="0"/>
          <w:szCs w:val="28"/>
          <w:lang w:eastAsia="zh-HK"/>
        </w:rPr>
        <w:t>消</w:t>
      </w:r>
      <w:r w:rsidRPr="00714455">
        <w:rPr>
          <w:rFonts w:hint="eastAsia"/>
          <w:kern w:val="0"/>
          <w:szCs w:val="28"/>
        </w:rPr>
        <w:t>除</w:t>
      </w:r>
      <w:r w:rsidRPr="00714455">
        <w:rPr>
          <w:rFonts w:hint="eastAsia"/>
          <w:kern w:val="0"/>
          <w:szCs w:val="28"/>
          <w:lang w:eastAsia="zh-HK"/>
        </w:rPr>
        <w:t>對內地新來港定居人士的歧</w:t>
      </w:r>
      <w:r w:rsidRPr="00714455">
        <w:rPr>
          <w:rFonts w:hint="eastAsia"/>
          <w:kern w:val="0"/>
          <w:szCs w:val="28"/>
        </w:rPr>
        <w:t>視</w:t>
      </w:r>
      <w:r w:rsidRPr="007809BE">
        <w:rPr>
          <w:rFonts w:hint="eastAsia"/>
          <w:kern w:val="0"/>
          <w:szCs w:val="28"/>
          <w:lang w:eastAsia="zh-HK"/>
        </w:rPr>
        <w:t>的建</w:t>
      </w:r>
      <w:r w:rsidRPr="007809BE">
        <w:rPr>
          <w:rFonts w:hint="eastAsia"/>
          <w:kern w:val="0"/>
          <w:szCs w:val="28"/>
        </w:rPr>
        <w:t>議</w:t>
      </w:r>
      <w:r w:rsidRPr="00E7654C">
        <w:rPr>
          <w:rFonts w:hint="eastAsia"/>
          <w:kern w:val="0"/>
          <w:szCs w:val="28"/>
        </w:rPr>
        <w:t>。</w:t>
      </w:r>
      <w:r w:rsidRPr="00E7654C">
        <w:rPr>
          <w:rFonts w:hint="eastAsia"/>
          <w:kern w:val="0"/>
          <w:szCs w:val="28"/>
          <w:lang w:eastAsia="zh-HK"/>
        </w:rPr>
        <w:t>事</w:t>
      </w:r>
      <w:r w:rsidRPr="0068547C">
        <w:rPr>
          <w:rFonts w:hint="eastAsia"/>
          <w:kern w:val="0"/>
          <w:szCs w:val="28"/>
        </w:rPr>
        <w:t>實</w:t>
      </w:r>
      <w:r w:rsidRPr="0068547C">
        <w:rPr>
          <w:rFonts w:hint="eastAsia"/>
          <w:kern w:val="0"/>
          <w:szCs w:val="28"/>
          <w:lang w:eastAsia="zh-HK"/>
        </w:rPr>
        <w:t>上</w:t>
      </w:r>
      <w:r w:rsidRPr="00593B39">
        <w:rPr>
          <w:rFonts w:hint="eastAsia"/>
          <w:kern w:val="0"/>
          <w:szCs w:val="28"/>
        </w:rPr>
        <w:t>，</w:t>
      </w:r>
      <w:r w:rsidRPr="004503F7">
        <w:rPr>
          <w:kern w:val="0"/>
          <w:szCs w:val="28"/>
        </w:rPr>
        <w:t>《種族歧視條例》</w:t>
      </w:r>
      <w:r w:rsidRPr="004503F7">
        <w:rPr>
          <w:rFonts w:hint="eastAsia"/>
          <w:kern w:val="0"/>
          <w:szCs w:val="28"/>
        </w:rPr>
        <w:t>適用於所有在港人</w:t>
      </w:r>
      <w:r w:rsidRPr="004503F7">
        <w:rPr>
          <w:rFonts w:hint="eastAsia"/>
          <w:kern w:val="0"/>
          <w:szCs w:val="28"/>
          <w:lang w:eastAsia="zh-HK"/>
        </w:rPr>
        <w:t>士</w:t>
      </w:r>
      <w:r w:rsidRPr="004503F7">
        <w:rPr>
          <w:rFonts w:hint="eastAsia"/>
          <w:kern w:val="0"/>
          <w:szCs w:val="28"/>
        </w:rPr>
        <w:t>，包括內地新來港定居人士，保障他們免受種族歧視。</w:t>
      </w:r>
      <w:r w:rsidRPr="00763C32">
        <w:rPr>
          <w:kern w:val="0"/>
          <w:szCs w:val="28"/>
          <w:lang w:eastAsia="zh-HK"/>
        </w:rPr>
        <w:t>這</w:t>
      </w:r>
      <w:r w:rsidRPr="00763C32">
        <w:rPr>
          <w:rFonts w:hint="eastAsia"/>
          <w:kern w:val="0"/>
          <w:szCs w:val="28"/>
          <w:lang w:eastAsia="zh-HK"/>
        </w:rPr>
        <w:t>羣</w:t>
      </w:r>
      <w:r w:rsidRPr="00763C32">
        <w:rPr>
          <w:kern w:val="0"/>
          <w:szCs w:val="28"/>
          <w:lang w:eastAsia="zh-HK"/>
        </w:rPr>
        <w:t>人士與香港大部分永久性居民屬同一人種。部分人在口音、方言</w:t>
      </w:r>
      <w:r w:rsidRPr="00763C32">
        <w:rPr>
          <w:rFonts w:hint="eastAsia"/>
          <w:kern w:val="0"/>
          <w:szCs w:val="28"/>
          <w:lang w:eastAsia="zh-HK"/>
        </w:rPr>
        <w:t>或</w:t>
      </w:r>
      <w:r w:rsidRPr="00763C32">
        <w:rPr>
          <w:kern w:val="0"/>
          <w:szCs w:val="28"/>
          <w:lang w:eastAsia="zh-HK"/>
        </w:rPr>
        <w:t>個人習慣有差異，</w:t>
      </w:r>
      <w:r>
        <w:rPr>
          <w:rFonts w:hint="eastAsia"/>
          <w:kern w:val="0"/>
          <w:szCs w:val="28"/>
          <w:lang w:eastAsia="zh-HK"/>
        </w:rPr>
        <w:t>卻</w:t>
      </w:r>
      <w:r w:rsidRPr="00763C32">
        <w:rPr>
          <w:kern w:val="0"/>
          <w:szCs w:val="28"/>
          <w:lang w:eastAsia="zh-HK"/>
        </w:rPr>
        <w:t>不是獨立種族</w:t>
      </w:r>
      <w:r w:rsidRPr="00763C32">
        <w:rPr>
          <w:rFonts w:hint="eastAsia"/>
          <w:kern w:val="0"/>
          <w:szCs w:val="28"/>
          <w:lang w:eastAsia="zh-HK"/>
        </w:rPr>
        <w:t>羣</w:t>
      </w:r>
      <w:r w:rsidRPr="00763C32">
        <w:rPr>
          <w:kern w:val="0"/>
          <w:szCs w:val="28"/>
          <w:lang w:eastAsia="zh-HK"/>
        </w:rPr>
        <w:t>體。不同決策局及部門會為新來港人士提供切合他們需要的服務，例如教育支援、就業輔導、社會福利和房屋等，協助他們盡快適應及融入社會。</w:t>
      </w:r>
    </w:p>
    <w:p w:rsidR="006D2061" w:rsidRDefault="006D2061" w:rsidP="008375BB">
      <w:pPr>
        <w:tabs>
          <w:tab w:val="left" w:pos="1440"/>
        </w:tabs>
        <w:autoSpaceDE w:val="0"/>
        <w:autoSpaceDN w:val="0"/>
        <w:adjustRightInd w:val="0"/>
        <w:snapToGrid w:val="0"/>
        <w:spacing w:line="400" w:lineRule="atLeast"/>
        <w:jc w:val="both"/>
        <w:rPr>
          <w:kern w:val="0"/>
          <w:szCs w:val="28"/>
          <w:lang w:eastAsia="zh-HK"/>
        </w:rPr>
      </w:pPr>
    </w:p>
    <w:p w:rsidR="006D2061" w:rsidRPr="00612CEA" w:rsidRDefault="006D2061" w:rsidP="008375BB">
      <w:pPr>
        <w:tabs>
          <w:tab w:val="left" w:pos="1440"/>
        </w:tabs>
        <w:adjustRightInd w:val="0"/>
        <w:snapToGrid w:val="0"/>
        <w:spacing w:line="400" w:lineRule="atLeast"/>
        <w:jc w:val="both"/>
        <w:rPr>
          <w:b/>
          <w:szCs w:val="28"/>
        </w:rPr>
      </w:pPr>
      <w:r w:rsidRPr="00612CEA">
        <w:rPr>
          <w:rFonts w:hint="eastAsia"/>
          <w:b/>
          <w:szCs w:val="28"/>
        </w:rPr>
        <w:t>性傾向</w:t>
      </w:r>
      <w:r>
        <w:rPr>
          <w:rFonts w:hint="eastAsia"/>
          <w:b/>
          <w:szCs w:val="28"/>
          <w:lang w:eastAsia="zh-HK"/>
        </w:rPr>
        <w:t>及性</w:t>
      </w:r>
      <w:r>
        <w:rPr>
          <w:rFonts w:hint="eastAsia"/>
          <w:b/>
          <w:szCs w:val="28"/>
        </w:rPr>
        <w:t>別</w:t>
      </w:r>
      <w:r>
        <w:rPr>
          <w:rFonts w:hint="eastAsia"/>
          <w:b/>
          <w:szCs w:val="28"/>
          <w:lang w:eastAsia="zh-HK"/>
        </w:rPr>
        <w:t>認</w:t>
      </w:r>
      <w:r>
        <w:rPr>
          <w:rFonts w:hint="eastAsia"/>
          <w:b/>
          <w:szCs w:val="28"/>
        </w:rPr>
        <w:t>同</w:t>
      </w:r>
      <w:r w:rsidRPr="00612CEA">
        <w:rPr>
          <w:rFonts w:hint="eastAsia"/>
          <w:b/>
          <w:szCs w:val="28"/>
        </w:rPr>
        <w:t>歧視</w:t>
      </w:r>
    </w:p>
    <w:p w:rsidR="006D2061" w:rsidRDefault="006D2061" w:rsidP="008375BB">
      <w:pPr>
        <w:tabs>
          <w:tab w:val="left" w:pos="1440"/>
        </w:tabs>
        <w:autoSpaceDE w:val="0"/>
        <w:autoSpaceDN w:val="0"/>
        <w:adjustRightInd w:val="0"/>
        <w:snapToGrid w:val="0"/>
        <w:spacing w:line="400" w:lineRule="atLeast"/>
        <w:jc w:val="both"/>
        <w:rPr>
          <w:kern w:val="0"/>
          <w:szCs w:val="28"/>
        </w:rPr>
      </w:pPr>
    </w:p>
    <w:p w:rsidR="006D2061" w:rsidRDefault="006D2061" w:rsidP="008375BB">
      <w:pPr>
        <w:tabs>
          <w:tab w:val="left" w:pos="1440"/>
        </w:tabs>
        <w:autoSpaceDE w:val="0"/>
        <w:autoSpaceDN w:val="0"/>
        <w:adjustRightInd w:val="0"/>
        <w:snapToGrid w:val="0"/>
        <w:spacing w:line="400" w:lineRule="atLeast"/>
        <w:jc w:val="both"/>
        <w:rPr>
          <w:kern w:val="0"/>
          <w:szCs w:val="28"/>
          <w:lang w:val="en-GB"/>
        </w:rPr>
      </w:pPr>
      <w:r w:rsidRPr="0079491C">
        <w:rPr>
          <w:rFonts w:hint="eastAsia"/>
          <w:kern w:val="0"/>
          <w:szCs w:val="28"/>
        </w:rPr>
        <w:t>2.</w:t>
      </w:r>
      <w:r w:rsidRPr="00714455">
        <w:rPr>
          <w:rFonts w:hint="eastAsia"/>
          <w:kern w:val="0"/>
          <w:szCs w:val="28"/>
        </w:rPr>
        <w:t>1</w:t>
      </w:r>
      <w:r>
        <w:rPr>
          <w:kern w:val="0"/>
          <w:szCs w:val="28"/>
        </w:rPr>
        <w:t>0</w:t>
      </w:r>
      <w:r w:rsidRPr="00714455">
        <w:rPr>
          <w:kern w:val="0"/>
          <w:szCs w:val="28"/>
        </w:rPr>
        <w:tab/>
      </w:r>
      <w:r w:rsidRPr="00714455">
        <w:rPr>
          <w:rFonts w:hint="eastAsia"/>
          <w:kern w:val="0"/>
          <w:szCs w:val="28"/>
        </w:rPr>
        <w:t>委員會在上次審議結論</w:t>
      </w:r>
      <w:r w:rsidRPr="004503F7">
        <w:rPr>
          <w:rFonts w:hint="eastAsia"/>
          <w:kern w:val="0"/>
          <w:szCs w:val="28"/>
        </w:rPr>
        <w:t>第</w:t>
      </w:r>
      <w:r w:rsidRPr="004503F7">
        <w:rPr>
          <w:rFonts w:hint="eastAsia"/>
          <w:kern w:val="0"/>
          <w:szCs w:val="28"/>
        </w:rPr>
        <w:t>41</w:t>
      </w:r>
      <w:r w:rsidRPr="004503F7">
        <w:rPr>
          <w:rFonts w:hint="eastAsia"/>
          <w:kern w:val="0"/>
          <w:szCs w:val="28"/>
        </w:rPr>
        <w:t>段</w:t>
      </w:r>
      <w:r w:rsidRPr="00714455">
        <w:rPr>
          <w:rFonts w:hint="eastAsia"/>
          <w:kern w:val="0"/>
          <w:szCs w:val="28"/>
        </w:rPr>
        <w:t>中促請香港特區確保男女</w:t>
      </w:r>
      <w:r w:rsidRPr="004A3EBF">
        <w:rPr>
          <w:rFonts w:hint="eastAsia"/>
          <w:kern w:val="0"/>
          <w:szCs w:val="28"/>
        </w:rPr>
        <w:t>同性戀者、雙性戀者和跨性別人士能充分享有其經濟、社會和文化權利而不受歧視。</w:t>
      </w:r>
      <w:r w:rsidRPr="004A3EBF">
        <w:rPr>
          <w:kern w:val="0"/>
          <w:szCs w:val="28"/>
          <w:lang w:val="en-GB"/>
        </w:rPr>
        <w:t>政府一直致力促進不同性傾向和跨性別人士的平等機會，以期在社會上建立共融、互相尊重、不歧視的文化和價值觀。</w:t>
      </w:r>
    </w:p>
    <w:p w:rsidR="006D2061" w:rsidRDefault="006D2061" w:rsidP="008375BB">
      <w:pPr>
        <w:tabs>
          <w:tab w:val="left" w:pos="1440"/>
        </w:tabs>
        <w:autoSpaceDE w:val="0"/>
        <w:autoSpaceDN w:val="0"/>
        <w:adjustRightInd w:val="0"/>
        <w:snapToGrid w:val="0"/>
        <w:spacing w:line="400" w:lineRule="atLeast"/>
        <w:jc w:val="both"/>
        <w:rPr>
          <w:kern w:val="0"/>
          <w:szCs w:val="28"/>
          <w:lang w:val="en-GB"/>
        </w:rPr>
      </w:pPr>
    </w:p>
    <w:p w:rsidR="006D2061" w:rsidRPr="00615A91" w:rsidRDefault="006D2061" w:rsidP="008375BB">
      <w:pPr>
        <w:tabs>
          <w:tab w:val="left" w:pos="1440"/>
        </w:tabs>
        <w:autoSpaceDE w:val="0"/>
        <w:autoSpaceDN w:val="0"/>
        <w:adjustRightInd w:val="0"/>
        <w:snapToGrid w:val="0"/>
        <w:spacing w:line="400" w:lineRule="atLeast"/>
        <w:jc w:val="both"/>
        <w:rPr>
          <w:kern w:val="0"/>
          <w:szCs w:val="28"/>
          <w:lang w:val="en-GB"/>
        </w:rPr>
      </w:pPr>
      <w:r>
        <w:rPr>
          <w:rFonts w:hint="eastAsia"/>
          <w:kern w:val="0"/>
          <w:szCs w:val="28"/>
          <w:lang w:val="en-GB"/>
        </w:rPr>
        <w:t>2.1</w:t>
      </w:r>
      <w:r>
        <w:rPr>
          <w:kern w:val="0"/>
          <w:szCs w:val="28"/>
          <w:lang w:val="en-GB"/>
        </w:rPr>
        <w:t>1</w:t>
      </w:r>
      <w:r>
        <w:rPr>
          <w:rFonts w:hint="eastAsia"/>
          <w:kern w:val="0"/>
          <w:szCs w:val="28"/>
          <w:lang w:val="en-GB"/>
        </w:rPr>
        <w:tab/>
      </w:r>
      <w:r w:rsidRPr="004A3EBF">
        <w:rPr>
          <w:kern w:val="0"/>
          <w:szCs w:val="28"/>
          <w:lang w:val="en-GB"/>
        </w:rPr>
        <w:t>2015</w:t>
      </w:r>
      <w:r w:rsidRPr="004A3EBF">
        <w:rPr>
          <w:kern w:val="0"/>
          <w:szCs w:val="28"/>
          <w:lang w:val="en-GB"/>
        </w:rPr>
        <w:t>年</w:t>
      </w:r>
      <w:r w:rsidRPr="004A3EBF">
        <w:rPr>
          <w:kern w:val="0"/>
          <w:szCs w:val="28"/>
          <w:lang w:val="en-GB"/>
        </w:rPr>
        <w:t>12</w:t>
      </w:r>
      <w:r w:rsidRPr="004A3EBF">
        <w:rPr>
          <w:kern w:val="0"/>
          <w:szCs w:val="28"/>
          <w:lang w:val="en-GB"/>
        </w:rPr>
        <w:t>月，由性小眾社羣、學界、商界及立法會非官方成員組成的消除歧視性小眾諮詢小組（諮詢小組）向政府提交報告，</w:t>
      </w:r>
      <w:r w:rsidRPr="004A3EBF">
        <w:rPr>
          <w:rFonts w:hint="eastAsia"/>
          <w:kern w:val="0"/>
          <w:szCs w:val="28"/>
          <w:lang w:val="en-GB"/>
        </w:rPr>
        <w:t>提出五方面的建議策略及措施</w:t>
      </w:r>
      <w:r w:rsidRPr="004A3EBF">
        <w:rPr>
          <w:kern w:val="0"/>
          <w:szCs w:val="28"/>
          <w:lang w:val="en-GB"/>
        </w:rPr>
        <w:t>，包括：</w:t>
      </w:r>
      <w:r w:rsidRPr="004A3EBF">
        <w:rPr>
          <w:kern w:val="0"/>
          <w:szCs w:val="28"/>
          <w:lang w:val="en-GB"/>
        </w:rPr>
        <w:t>(a)</w:t>
      </w:r>
      <w:r w:rsidRPr="004A3EBF">
        <w:rPr>
          <w:kern w:val="0"/>
          <w:szCs w:val="28"/>
          <w:lang w:val="en-GB"/>
        </w:rPr>
        <w:t>為與性小眾有較多直接互動的特定範疇人員，即醫護人員、社工、人力資源</w:t>
      </w:r>
      <w:r w:rsidRPr="004A3EBF">
        <w:rPr>
          <w:rFonts w:hint="eastAsia"/>
          <w:kern w:val="0"/>
          <w:szCs w:val="28"/>
          <w:lang w:val="en-GB"/>
        </w:rPr>
        <w:t>管理</w:t>
      </w:r>
      <w:r w:rsidRPr="004A3EBF">
        <w:rPr>
          <w:kern w:val="0"/>
          <w:szCs w:val="28"/>
          <w:lang w:val="en-GB"/>
        </w:rPr>
        <w:t>人員，以及教師</w:t>
      </w:r>
      <w:r w:rsidRPr="00615A91">
        <w:rPr>
          <w:spacing w:val="2"/>
          <w:kern w:val="0"/>
          <w:szCs w:val="28"/>
          <w:lang w:val="en-GB"/>
        </w:rPr>
        <w:t>編製培訓資源，提高他們對性小眾的認識和敏感度；</w:t>
      </w:r>
      <w:r w:rsidRPr="00615A91">
        <w:rPr>
          <w:spacing w:val="2"/>
          <w:kern w:val="0"/>
          <w:szCs w:val="28"/>
          <w:lang w:val="en-GB"/>
        </w:rPr>
        <w:t>(b)</w:t>
      </w:r>
      <w:r w:rsidRPr="00615A91">
        <w:rPr>
          <w:spacing w:val="2"/>
          <w:kern w:val="0"/>
          <w:szCs w:val="28"/>
          <w:lang w:val="en-GB"/>
        </w:rPr>
        <w:t>草擬不歧視性小眾約章，讓僱主；貨品、設施及服務提供者；業主／負責處置和</w:t>
      </w:r>
      <w:r w:rsidRPr="00615A91">
        <w:rPr>
          <w:kern w:val="0"/>
          <w:szCs w:val="28"/>
          <w:lang w:val="en-GB"/>
        </w:rPr>
        <w:t>管理房產的代理；以及學校自願採納；</w:t>
      </w:r>
      <w:r w:rsidRPr="00615A91">
        <w:rPr>
          <w:kern w:val="0"/>
          <w:szCs w:val="28"/>
          <w:lang w:val="en-GB"/>
        </w:rPr>
        <w:t>(c)</w:t>
      </w:r>
      <w:r w:rsidRPr="00615A91">
        <w:rPr>
          <w:kern w:val="0"/>
          <w:szCs w:val="28"/>
          <w:lang w:val="en-GB"/>
        </w:rPr>
        <w:t>加強推廣不歧視性小眾的公</w:t>
      </w:r>
      <w:r w:rsidRPr="00615A91">
        <w:rPr>
          <w:spacing w:val="2"/>
          <w:kern w:val="0"/>
          <w:szCs w:val="28"/>
          <w:lang w:val="en-GB"/>
        </w:rPr>
        <w:lastRenderedPageBreak/>
        <w:t>眾教育及宣傳；</w:t>
      </w:r>
      <w:r w:rsidRPr="00615A91">
        <w:rPr>
          <w:spacing w:val="2"/>
          <w:kern w:val="0"/>
          <w:szCs w:val="28"/>
          <w:lang w:val="en-GB"/>
        </w:rPr>
        <w:t>(d)</w:t>
      </w:r>
      <w:r w:rsidRPr="00615A91">
        <w:rPr>
          <w:spacing w:val="2"/>
          <w:kern w:val="0"/>
          <w:szCs w:val="28"/>
          <w:lang w:val="en-GB"/>
        </w:rPr>
        <w:t>檢討並加強有關支援服務；以及</w:t>
      </w:r>
      <w:r w:rsidRPr="00615A91">
        <w:rPr>
          <w:spacing w:val="2"/>
          <w:kern w:val="0"/>
          <w:szCs w:val="28"/>
          <w:lang w:val="en-GB"/>
        </w:rPr>
        <w:t>(e)</w:t>
      </w:r>
      <w:r w:rsidRPr="00615A91">
        <w:rPr>
          <w:spacing w:val="2"/>
          <w:kern w:val="0"/>
          <w:szCs w:val="28"/>
          <w:lang w:val="en-GB"/>
        </w:rPr>
        <w:t>進一步研究其他司法管轄區推行立法和非立法措施的經驗，以擬訂未來路向。</w:t>
      </w:r>
    </w:p>
    <w:p w:rsidR="006D2061" w:rsidRDefault="006D2061" w:rsidP="008375BB">
      <w:pPr>
        <w:tabs>
          <w:tab w:val="left" w:pos="1440"/>
        </w:tabs>
        <w:autoSpaceDE w:val="0"/>
        <w:autoSpaceDN w:val="0"/>
        <w:adjustRightInd w:val="0"/>
        <w:snapToGrid w:val="0"/>
        <w:spacing w:line="400" w:lineRule="atLeast"/>
        <w:jc w:val="both"/>
        <w:rPr>
          <w:kern w:val="0"/>
          <w:szCs w:val="28"/>
          <w:lang w:val="en-GB"/>
        </w:rPr>
      </w:pPr>
    </w:p>
    <w:p w:rsidR="006D2061" w:rsidRDefault="006D2061" w:rsidP="008375BB">
      <w:pPr>
        <w:tabs>
          <w:tab w:val="left" w:pos="1440"/>
        </w:tabs>
        <w:autoSpaceDE w:val="0"/>
        <w:autoSpaceDN w:val="0"/>
        <w:adjustRightInd w:val="0"/>
        <w:snapToGrid w:val="0"/>
        <w:spacing w:line="400" w:lineRule="atLeast"/>
        <w:jc w:val="both"/>
        <w:rPr>
          <w:kern w:val="0"/>
          <w:szCs w:val="28"/>
        </w:rPr>
      </w:pPr>
      <w:r>
        <w:rPr>
          <w:rFonts w:hint="eastAsia"/>
          <w:kern w:val="0"/>
          <w:szCs w:val="28"/>
          <w:lang w:val="en-GB"/>
        </w:rPr>
        <w:t>2.1</w:t>
      </w:r>
      <w:r>
        <w:rPr>
          <w:kern w:val="0"/>
          <w:szCs w:val="28"/>
          <w:lang w:val="en-GB"/>
        </w:rPr>
        <w:t>2</w:t>
      </w:r>
      <w:r>
        <w:rPr>
          <w:kern w:val="0"/>
          <w:szCs w:val="28"/>
          <w:lang w:val="en-GB"/>
        </w:rPr>
        <w:tab/>
      </w:r>
      <w:r w:rsidRPr="004A3EBF">
        <w:rPr>
          <w:kern w:val="0"/>
          <w:szCs w:val="28"/>
          <w:lang w:val="en-GB"/>
        </w:rPr>
        <w:t>政府積極跟進諮詢小組的建議</w:t>
      </w:r>
      <w:r>
        <w:rPr>
          <w:rFonts w:hint="eastAsia"/>
          <w:kern w:val="0"/>
          <w:szCs w:val="28"/>
          <w:lang w:val="en-GB"/>
        </w:rPr>
        <w:t>，</w:t>
      </w:r>
      <w:r>
        <w:rPr>
          <w:rFonts w:hint="eastAsia"/>
          <w:kern w:val="0"/>
          <w:szCs w:val="28"/>
          <w:lang w:val="en-GB" w:eastAsia="zh-HK"/>
        </w:rPr>
        <w:t>如</w:t>
      </w:r>
      <w:r w:rsidRPr="004A3EBF">
        <w:rPr>
          <w:rFonts w:hint="eastAsia"/>
          <w:kern w:val="0"/>
          <w:szCs w:val="28"/>
          <w:lang w:val="en-GB"/>
        </w:rPr>
        <w:t>透過</w:t>
      </w:r>
      <w:r w:rsidRPr="004A3EBF">
        <w:rPr>
          <w:kern w:val="0"/>
          <w:szCs w:val="28"/>
          <w:lang w:val="en-GB"/>
        </w:rPr>
        <w:t>在電視／電台、公</w:t>
      </w:r>
      <w:r w:rsidRPr="00095BC6">
        <w:rPr>
          <w:spacing w:val="2"/>
          <w:kern w:val="0"/>
          <w:szCs w:val="28"/>
          <w:lang w:val="en-GB"/>
        </w:rPr>
        <w:t>共交通網絡、各類政府處所、互聯網及其他媒體播放宣傳短片／聲帶，</w:t>
      </w:r>
      <w:r w:rsidRPr="004A3EBF">
        <w:rPr>
          <w:kern w:val="0"/>
          <w:szCs w:val="28"/>
          <w:lang w:val="en-GB"/>
        </w:rPr>
        <w:t>加強公眾教育及宣傳，傳遞對不同性傾向及跨性別人士「不歧視、</w:t>
      </w:r>
      <w:r w:rsidRPr="00095BC6">
        <w:rPr>
          <w:spacing w:val="2"/>
          <w:kern w:val="0"/>
          <w:szCs w:val="28"/>
          <w:lang w:val="en-GB"/>
        </w:rPr>
        <w:t>多包容」的信息</w:t>
      </w:r>
      <w:r w:rsidRPr="00095BC6">
        <w:rPr>
          <w:rFonts w:hint="eastAsia"/>
          <w:spacing w:val="2"/>
          <w:kern w:val="0"/>
          <w:szCs w:val="28"/>
          <w:lang w:val="en-GB"/>
        </w:rPr>
        <w:t>，</w:t>
      </w:r>
      <w:r w:rsidRPr="00095BC6">
        <w:rPr>
          <w:spacing w:val="2"/>
          <w:kern w:val="0"/>
          <w:szCs w:val="28"/>
          <w:lang w:val="en-GB"/>
        </w:rPr>
        <w:t>過去五年共撥款超過</w:t>
      </w:r>
      <w:r w:rsidRPr="00095BC6">
        <w:rPr>
          <w:spacing w:val="2"/>
          <w:kern w:val="0"/>
          <w:szCs w:val="28"/>
          <w:lang w:val="en-GB"/>
        </w:rPr>
        <w:t>1,300</w:t>
      </w:r>
      <w:r w:rsidRPr="00095BC6">
        <w:rPr>
          <w:spacing w:val="2"/>
          <w:kern w:val="0"/>
          <w:szCs w:val="28"/>
          <w:lang w:val="en-GB"/>
        </w:rPr>
        <w:t>萬元</w:t>
      </w:r>
      <w:r w:rsidRPr="00095BC6">
        <w:rPr>
          <w:rFonts w:hint="eastAsia"/>
          <w:spacing w:val="2"/>
          <w:kern w:val="0"/>
          <w:szCs w:val="28"/>
          <w:lang w:val="en-GB"/>
        </w:rPr>
        <w:t>（本報告所有金額以</w:t>
      </w:r>
      <w:r w:rsidRPr="00D157DF">
        <w:rPr>
          <w:rFonts w:hint="eastAsia"/>
          <w:kern w:val="0"/>
          <w:szCs w:val="28"/>
          <w:lang w:val="en-GB"/>
        </w:rPr>
        <w:t>港元為貨幣單位）</w:t>
      </w:r>
      <w:r w:rsidRPr="004A3EBF">
        <w:rPr>
          <w:kern w:val="0"/>
          <w:szCs w:val="28"/>
          <w:lang w:val="en-GB"/>
        </w:rPr>
        <w:t>於公眾教育及宣傳，及超過</w:t>
      </w:r>
      <w:r w:rsidRPr="004A3EBF">
        <w:rPr>
          <w:kern w:val="0"/>
          <w:szCs w:val="28"/>
          <w:lang w:val="en-GB"/>
        </w:rPr>
        <w:t>450</w:t>
      </w:r>
      <w:r w:rsidRPr="004A3EBF">
        <w:rPr>
          <w:kern w:val="0"/>
          <w:szCs w:val="28"/>
          <w:lang w:val="en-GB"/>
        </w:rPr>
        <w:t>萬元推行平等機會（性傾向）資助計劃，資助</w:t>
      </w:r>
      <w:r>
        <w:rPr>
          <w:rFonts w:hint="eastAsia"/>
          <w:kern w:val="0"/>
          <w:szCs w:val="28"/>
          <w:lang w:val="en-GB" w:eastAsia="zh-HK"/>
        </w:rPr>
        <w:t>相</w:t>
      </w:r>
      <w:r>
        <w:rPr>
          <w:rFonts w:hint="eastAsia"/>
          <w:kern w:val="0"/>
          <w:szCs w:val="28"/>
          <w:lang w:val="en-GB"/>
        </w:rPr>
        <w:t>關</w:t>
      </w:r>
      <w:r w:rsidRPr="004A3EBF">
        <w:rPr>
          <w:kern w:val="0"/>
          <w:szCs w:val="28"/>
          <w:lang w:val="en-GB"/>
        </w:rPr>
        <w:t>社區活動。我們亦積極向僱主推介《消除性傾向歧視僱傭實務守則》。</w:t>
      </w:r>
      <w:r w:rsidRPr="004A3EBF">
        <w:rPr>
          <w:rFonts w:hint="eastAsia"/>
          <w:kern w:val="0"/>
          <w:szCs w:val="28"/>
          <w:lang w:val="en-GB"/>
        </w:rPr>
        <w:t>至今</w:t>
      </w:r>
      <w:r w:rsidRPr="004A3EBF">
        <w:rPr>
          <w:kern w:val="0"/>
          <w:szCs w:val="28"/>
          <w:lang w:val="en-GB"/>
        </w:rPr>
        <w:t>有超過</w:t>
      </w:r>
      <w:r w:rsidRPr="004A3EBF">
        <w:rPr>
          <w:kern w:val="0"/>
          <w:szCs w:val="28"/>
          <w:lang w:val="en-GB"/>
        </w:rPr>
        <w:t>300</w:t>
      </w:r>
      <w:r w:rsidRPr="004A3EBF">
        <w:rPr>
          <w:kern w:val="0"/>
          <w:szCs w:val="28"/>
          <w:lang w:val="en-GB"/>
        </w:rPr>
        <w:t>間共僱用超過</w:t>
      </w:r>
      <w:r w:rsidRPr="004A3EBF">
        <w:rPr>
          <w:kern w:val="0"/>
          <w:szCs w:val="28"/>
          <w:lang w:val="en-GB"/>
        </w:rPr>
        <w:t>50</w:t>
      </w:r>
      <w:r>
        <w:rPr>
          <w:kern w:val="0"/>
          <w:szCs w:val="28"/>
          <w:lang w:val="en-GB"/>
        </w:rPr>
        <w:t>‍</w:t>
      </w:r>
      <w:r w:rsidRPr="004A3EBF">
        <w:rPr>
          <w:kern w:val="0"/>
          <w:szCs w:val="28"/>
          <w:lang w:val="en-GB"/>
        </w:rPr>
        <w:t>萬僱員的機構採納。</w:t>
      </w:r>
    </w:p>
    <w:p w:rsidR="006D2061" w:rsidRDefault="006D2061" w:rsidP="008375BB">
      <w:pPr>
        <w:tabs>
          <w:tab w:val="left" w:pos="1440"/>
        </w:tabs>
        <w:autoSpaceDE w:val="0"/>
        <w:autoSpaceDN w:val="0"/>
        <w:adjustRightInd w:val="0"/>
        <w:snapToGrid w:val="0"/>
        <w:spacing w:line="400" w:lineRule="atLeast"/>
        <w:jc w:val="both"/>
        <w:rPr>
          <w:kern w:val="0"/>
          <w:szCs w:val="28"/>
        </w:rPr>
      </w:pPr>
    </w:p>
    <w:p w:rsidR="006D2061" w:rsidRDefault="006D2061" w:rsidP="008375BB">
      <w:pPr>
        <w:tabs>
          <w:tab w:val="left" w:pos="1440"/>
        </w:tabs>
        <w:autoSpaceDE w:val="0"/>
        <w:autoSpaceDN w:val="0"/>
        <w:adjustRightInd w:val="0"/>
        <w:snapToGrid w:val="0"/>
        <w:spacing w:line="400" w:lineRule="atLeast"/>
        <w:jc w:val="both"/>
        <w:rPr>
          <w:kern w:val="0"/>
          <w:szCs w:val="28"/>
          <w:lang w:val="en-GB"/>
        </w:rPr>
      </w:pPr>
      <w:r>
        <w:rPr>
          <w:rFonts w:hint="eastAsia"/>
          <w:kern w:val="0"/>
          <w:szCs w:val="28"/>
        </w:rPr>
        <w:t>2.1</w:t>
      </w:r>
      <w:r>
        <w:rPr>
          <w:kern w:val="0"/>
          <w:szCs w:val="28"/>
        </w:rPr>
        <w:t>3</w:t>
      </w:r>
      <w:r>
        <w:rPr>
          <w:rFonts w:hint="eastAsia"/>
          <w:kern w:val="0"/>
          <w:szCs w:val="28"/>
        </w:rPr>
        <w:tab/>
      </w:r>
      <w:r w:rsidRPr="004A3EBF">
        <w:rPr>
          <w:kern w:val="0"/>
          <w:szCs w:val="28"/>
          <w:lang w:val="en-GB"/>
        </w:rPr>
        <w:t>對性小眾支援方面，政府</w:t>
      </w:r>
      <w:r>
        <w:rPr>
          <w:rFonts w:hint="eastAsia"/>
          <w:kern w:val="0"/>
          <w:szCs w:val="28"/>
          <w:lang w:val="en-GB" w:eastAsia="zh-HK"/>
        </w:rPr>
        <w:t>資助</w:t>
      </w:r>
      <w:r w:rsidRPr="004A3EBF">
        <w:rPr>
          <w:kern w:val="0"/>
          <w:szCs w:val="28"/>
          <w:lang w:val="en-GB"/>
        </w:rPr>
        <w:t>本地慈善團體於</w:t>
      </w:r>
      <w:r w:rsidRPr="004A3EBF">
        <w:rPr>
          <w:kern w:val="0"/>
          <w:szCs w:val="28"/>
          <w:lang w:val="en-GB"/>
        </w:rPr>
        <w:t>2018</w:t>
      </w:r>
      <w:r w:rsidRPr="004A3EBF">
        <w:rPr>
          <w:kern w:val="0"/>
          <w:szCs w:val="28"/>
          <w:lang w:val="en-GB"/>
        </w:rPr>
        <w:t>年</w:t>
      </w:r>
      <w:r w:rsidRPr="004A3EBF">
        <w:rPr>
          <w:kern w:val="0"/>
          <w:szCs w:val="28"/>
          <w:lang w:val="en-GB"/>
        </w:rPr>
        <w:t>1</w:t>
      </w:r>
      <w:r w:rsidRPr="004A3EBF">
        <w:rPr>
          <w:kern w:val="0"/>
          <w:szCs w:val="28"/>
          <w:lang w:val="en-GB"/>
        </w:rPr>
        <w:t>月開設</w:t>
      </w:r>
      <w:r w:rsidRPr="004A3EBF">
        <w:rPr>
          <w:kern w:val="0"/>
          <w:szCs w:val="28"/>
          <w:lang w:val="en-GB"/>
        </w:rPr>
        <w:t>24</w:t>
      </w:r>
      <w:r w:rsidRPr="004A3EBF">
        <w:rPr>
          <w:kern w:val="0"/>
          <w:szCs w:val="28"/>
          <w:lang w:val="en-GB"/>
        </w:rPr>
        <w:t>小時電話熱線提供即時支援、輔導和轉介服務。熱線自</w:t>
      </w:r>
      <w:r w:rsidRPr="004A3EBF">
        <w:rPr>
          <w:kern w:val="0"/>
          <w:szCs w:val="28"/>
          <w:lang w:val="en-GB"/>
        </w:rPr>
        <w:t>2018</w:t>
      </w:r>
      <w:r w:rsidRPr="004A3EBF">
        <w:rPr>
          <w:kern w:val="0"/>
          <w:szCs w:val="28"/>
          <w:lang w:val="en-GB"/>
        </w:rPr>
        <w:t>年</w:t>
      </w:r>
      <w:r w:rsidRPr="00095BC6">
        <w:rPr>
          <w:spacing w:val="2"/>
          <w:kern w:val="0"/>
          <w:szCs w:val="28"/>
          <w:lang w:val="en-GB"/>
        </w:rPr>
        <w:t>1</w:t>
      </w:r>
      <w:r w:rsidRPr="00095BC6">
        <w:rPr>
          <w:spacing w:val="2"/>
          <w:kern w:val="0"/>
          <w:szCs w:val="28"/>
          <w:lang w:val="en-GB"/>
        </w:rPr>
        <w:t>月起已接獲超過</w:t>
      </w:r>
      <w:r w:rsidRPr="00095BC6">
        <w:rPr>
          <w:spacing w:val="2"/>
          <w:kern w:val="0"/>
          <w:szCs w:val="28"/>
          <w:lang w:val="en-GB"/>
        </w:rPr>
        <w:t>2 400</w:t>
      </w:r>
      <w:r w:rsidRPr="00095BC6">
        <w:rPr>
          <w:spacing w:val="2"/>
          <w:kern w:val="0"/>
          <w:szCs w:val="28"/>
          <w:lang w:val="en-GB"/>
        </w:rPr>
        <w:t>個來電。我們在</w:t>
      </w:r>
      <w:r w:rsidRPr="00095BC6">
        <w:rPr>
          <w:spacing w:val="2"/>
          <w:kern w:val="0"/>
          <w:szCs w:val="28"/>
          <w:lang w:val="en-GB"/>
        </w:rPr>
        <w:t>2018</w:t>
      </w:r>
      <w:r w:rsidRPr="00095BC6">
        <w:rPr>
          <w:spacing w:val="2"/>
          <w:kern w:val="0"/>
          <w:szCs w:val="28"/>
          <w:lang w:val="en-GB"/>
        </w:rPr>
        <w:t>年</w:t>
      </w:r>
      <w:r w:rsidRPr="00095BC6">
        <w:rPr>
          <w:spacing w:val="2"/>
          <w:kern w:val="0"/>
          <w:szCs w:val="28"/>
          <w:lang w:val="en-GB"/>
        </w:rPr>
        <w:t>12</w:t>
      </w:r>
      <w:r w:rsidRPr="00095BC6">
        <w:rPr>
          <w:spacing w:val="2"/>
          <w:kern w:val="0"/>
          <w:szCs w:val="28"/>
          <w:lang w:val="en-GB"/>
        </w:rPr>
        <w:t>月推出針對醫護人員</w:t>
      </w:r>
      <w:r w:rsidRPr="004A3EBF">
        <w:rPr>
          <w:kern w:val="0"/>
          <w:szCs w:val="28"/>
          <w:lang w:val="en-GB"/>
        </w:rPr>
        <w:t>的培訓資源，提高他們對性小眾的認識和敏感度；</w:t>
      </w:r>
      <w:r w:rsidRPr="004A3EBF">
        <w:rPr>
          <w:rFonts w:hint="eastAsia"/>
          <w:kern w:val="0"/>
          <w:szCs w:val="28"/>
          <w:lang w:val="en-GB"/>
        </w:rPr>
        <w:t>為社工、人力資源管理人員及教師而制定的培訓資源會陸續推出</w:t>
      </w:r>
      <w:r w:rsidRPr="004A3EBF">
        <w:rPr>
          <w:kern w:val="0"/>
          <w:szCs w:val="28"/>
          <w:lang w:val="en-GB"/>
        </w:rPr>
        <w:t>。我們亦正制訂涵蓋不同範圍的不歧視性小眾約章，讓服務提供者自願採納。</w:t>
      </w:r>
    </w:p>
    <w:p w:rsidR="006D2061" w:rsidRDefault="006D2061" w:rsidP="008375BB">
      <w:pPr>
        <w:tabs>
          <w:tab w:val="left" w:pos="1440"/>
        </w:tabs>
        <w:autoSpaceDE w:val="0"/>
        <w:autoSpaceDN w:val="0"/>
        <w:adjustRightInd w:val="0"/>
        <w:snapToGrid w:val="0"/>
        <w:spacing w:line="400" w:lineRule="atLeast"/>
        <w:jc w:val="both"/>
        <w:rPr>
          <w:kern w:val="0"/>
          <w:szCs w:val="28"/>
          <w:lang w:val="en-GB"/>
        </w:rPr>
      </w:pPr>
    </w:p>
    <w:p w:rsidR="006D2061" w:rsidRDefault="006D2061" w:rsidP="008375BB">
      <w:pPr>
        <w:tabs>
          <w:tab w:val="left" w:pos="1440"/>
        </w:tabs>
        <w:autoSpaceDE w:val="0"/>
        <w:autoSpaceDN w:val="0"/>
        <w:adjustRightInd w:val="0"/>
        <w:snapToGrid w:val="0"/>
        <w:spacing w:line="400" w:lineRule="atLeast"/>
        <w:jc w:val="both"/>
        <w:rPr>
          <w:kern w:val="0"/>
          <w:szCs w:val="28"/>
        </w:rPr>
      </w:pPr>
      <w:r>
        <w:rPr>
          <w:rFonts w:hint="eastAsia"/>
          <w:kern w:val="0"/>
          <w:szCs w:val="28"/>
          <w:lang w:val="en-GB"/>
        </w:rPr>
        <w:t>2.1</w:t>
      </w:r>
      <w:r>
        <w:rPr>
          <w:kern w:val="0"/>
          <w:szCs w:val="28"/>
          <w:lang w:val="en-GB"/>
        </w:rPr>
        <w:t>4</w:t>
      </w:r>
      <w:r>
        <w:rPr>
          <w:rFonts w:hint="eastAsia"/>
          <w:kern w:val="0"/>
          <w:szCs w:val="28"/>
          <w:lang w:val="en-GB"/>
        </w:rPr>
        <w:tab/>
      </w:r>
      <w:r w:rsidRPr="004A3EBF">
        <w:rPr>
          <w:kern w:val="0"/>
          <w:szCs w:val="28"/>
          <w:lang w:val="en-GB"/>
        </w:rPr>
        <w:t>社會上對應否立法禁止性傾向及性別認同歧視意見分歧</w:t>
      </w:r>
      <w:r>
        <w:rPr>
          <w:rFonts w:hint="eastAsia"/>
          <w:kern w:val="0"/>
          <w:szCs w:val="28"/>
          <w:lang w:val="en-GB" w:eastAsia="zh-HK"/>
        </w:rPr>
        <w:t>重</w:t>
      </w:r>
      <w:r>
        <w:rPr>
          <w:rFonts w:hint="eastAsia"/>
          <w:kern w:val="0"/>
          <w:szCs w:val="28"/>
          <w:lang w:val="en-GB"/>
        </w:rPr>
        <w:t>大</w:t>
      </w:r>
      <w:r w:rsidRPr="004A3EBF">
        <w:rPr>
          <w:kern w:val="0"/>
          <w:szCs w:val="28"/>
          <w:lang w:val="en-GB"/>
        </w:rPr>
        <w:t>。一方面認為政府應立法保障性小眾享有平等機會，但另一方面強烈認為立法會</w:t>
      </w:r>
      <w:r>
        <w:rPr>
          <w:rFonts w:hint="eastAsia"/>
          <w:kern w:val="0"/>
          <w:szCs w:val="28"/>
          <w:lang w:val="en-GB" w:eastAsia="zh-HK"/>
        </w:rPr>
        <w:t>影</w:t>
      </w:r>
      <w:r>
        <w:rPr>
          <w:rFonts w:hint="eastAsia"/>
          <w:kern w:val="0"/>
          <w:szCs w:val="28"/>
          <w:lang w:val="en-GB"/>
        </w:rPr>
        <w:t>響</w:t>
      </w:r>
      <w:r w:rsidRPr="004A3EBF">
        <w:rPr>
          <w:kern w:val="0"/>
          <w:szCs w:val="28"/>
          <w:lang w:val="en-GB"/>
        </w:rPr>
        <w:t>對傳統家庭價值觀念及宗教信仰自由。</w:t>
      </w:r>
      <w:r>
        <w:rPr>
          <w:rFonts w:hint="eastAsia"/>
          <w:kern w:val="0"/>
          <w:szCs w:val="28"/>
          <w:lang w:val="en-GB" w:eastAsia="zh-HK"/>
        </w:rPr>
        <w:t>此</w:t>
      </w:r>
      <w:r w:rsidRPr="004A3EBF">
        <w:rPr>
          <w:kern w:val="0"/>
          <w:szCs w:val="28"/>
          <w:lang w:val="en-GB"/>
        </w:rPr>
        <w:t>議題複雜及具爭議性</w:t>
      </w:r>
      <w:bookmarkStart w:id="0" w:name="_Hlk7906937"/>
      <w:r w:rsidRPr="004A3EBF">
        <w:rPr>
          <w:kern w:val="0"/>
          <w:szCs w:val="28"/>
          <w:lang w:val="en-GB"/>
        </w:rPr>
        <w:t>，</w:t>
      </w:r>
      <w:bookmarkEnd w:id="0"/>
      <w:r w:rsidRPr="004A3EBF">
        <w:rPr>
          <w:kern w:val="0"/>
          <w:szCs w:val="28"/>
          <w:lang w:val="en-GB"/>
        </w:rPr>
        <w:t>政府正就其他司法管轄區</w:t>
      </w:r>
      <w:r>
        <w:rPr>
          <w:rFonts w:hint="eastAsia"/>
          <w:kern w:val="0"/>
          <w:szCs w:val="28"/>
          <w:lang w:val="en-GB" w:eastAsia="zh-HK"/>
        </w:rPr>
        <w:t>的</w:t>
      </w:r>
      <w:r w:rsidRPr="004A3EBF">
        <w:rPr>
          <w:kern w:val="0"/>
          <w:szCs w:val="28"/>
          <w:lang w:val="en-GB"/>
        </w:rPr>
        <w:t>立法和行政措施</w:t>
      </w:r>
      <w:r>
        <w:rPr>
          <w:rFonts w:hint="eastAsia"/>
          <w:kern w:val="0"/>
          <w:szCs w:val="28"/>
          <w:lang w:val="en-GB" w:eastAsia="zh-HK"/>
        </w:rPr>
        <w:t>及經</w:t>
      </w:r>
      <w:r>
        <w:rPr>
          <w:rFonts w:hint="eastAsia"/>
          <w:kern w:val="0"/>
          <w:szCs w:val="28"/>
          <w:lang w:val="en-GB"/>
        </w:rPr>
        <w:t>驗</w:t>
      </w:r>
      <w:r w:rsidRPr="004A3EBF">
        <w:rPr>
          <w:kern w:val="0"/>
          <w:szCs w:val="28"/>
          <w:lang w:val="en-GB"/>
        </w:rPr>
        <w:t>作進一步研究</w:t>
      </w:r>
      <w:r w:rsidRPr="006D649B">
        <w:rPr>
          <w:kern w:val="0"/>
          <w:szCs w:val="28"/>
          <w:lang w:val="en-GB"/>
        </w:rPr>
        <w:t>，</w:t>
      </w:r>
      <w:r>
        <w:rPr>
          <w:rFonts w:hint="eastAsia"/>
          <w:kern w:val="0"/>
          <w:szCs w:val="28"/>
          <w:lang w:val="en-GB" w:eastAsia="zh-HK"/>
        </w:rPr>
        <w:t>幫</w:t>
      </w:r>
      <w:r w:rsidRPr="004A3EBF">
        <w:rPr>
          <w:kern w:val="0"/>
          <w:szCs w:val="28"/>
          <w:lang w:val="en-GB"/>
        </w:rPr>
        <w:t>助社會就應否立法作深入討論。</w:t>
      </w:r>
    </w:p>
    <w:p w:rsidR="006D2061" w:rsidRPr="00905E49" w:rsidRDefault="006D2061" w:rsidP="008375BB">
      <w:pPr>
        <w:tabs>
          <w:tab w:val="left" w:pos="1440"/>
        </w:tabs>
        <w:autoSpaceDE w:val="0"/>
        <w:autoSpaceDN w:val="0"/>
        <w:adjustRightInd w:val="0"/>
        <w:snapToGrid w:val="0"/>
        <w:spacing w:line="400" w:lineRule="atLeast"/>
        <w:jc w:val="both"/>
        <w:rPr>
          <w:kern w:val="0"/>
          <w:szCs w:val="28"/>
        </w:rPr>
      </w:pPr>
    </w:p>
    <w:p w:rsidR="006D2061" w:rsidRPr="00B660FB" w:rsidRDefault="006D2061" w:rsidP="008375BB">
      <w:pPr>
        <w:tabs>
          <w:tab w:val="left" w:pos="1440"/>
        </w:tabs>
        <w:adjustRightInd w:val="0"/>
        <w:snapToGrid w:val="0"/>
        <w:spacing w:line="400" w:lineRule="atLeast"/>
        <w:ind w:right="26"/>
        <w:jc w:val="both"/>
        <w:rPr>
          <w:iCs/>
          <w:szCs w:val="26"/>
          <w:lang w:eastAsia="zh-HK"/>
        </w:rPr>
      </w:pPr>
      <w:r w:rsidRPr="00B660FB">
        <w:rPr>
          <w:rFonts w:hint="eastAsia"/>
          <w:iCs/>
          <w:szCs w:val="26"/>
        </w:rPr>
        <w:t>2.</w:t>
      </w:r>
      <w:r>
        <w:rPr>
          <w:iCs/>
          <w:szCs w:val="26"/>
        </w:rPr>
        <w:t>15</w:t>
      </w:r>
      <w:r>
        <w:rPr>
          <w:iCs/>
          <w:szCs w:val="26"/>
        </w:rPr>
        <w:tab/>
      </w:r>
      <w:r>
        <w:rPr>
          <w:rFonts w:hint="eastAsia"/>
          <w:iCs/>
          <w:szCs w:val="26"/>
          <w:lang w:eastAsia="zh-HK"/>
        </w:rPr>
        <w:t>有</w:t>
      </w:r>
      <w:r>
        <w:rPr>
          <w:rFonts w:hint="eastAsia"/>
          <w:iCs/>
          <w:szCs w:val="26"/>
        </w:rPr>
        <w:t>關</w:t>
      </w:r>
      <w:r>
        <w:rPr>
          <w:rFonts w:hint="eastAsia"/>
          <w:iCs/>
          <w:szCs w:val="26"/>
          <w:lang w:eastAsia="zh-HK"/>
        </w:rPr>
        <w:t>性</w:t>
      </w:r>
      <w:r>
        <w:rPr>
          <w:rFonts w:hint="eastAsia"/>
          <w:iCs/>
          <w:szCs w:val="26"/>
        </w:rPr>
        <w:t>別</w:t>
      </w:r>
      <w:r>
        <w:rPr>
          <w:rFonts w:hint="eastAsia"/>
          <w:iCs/>
          <w:szCs w:val="26"/>
          <w:lang w:eastAsia="zh-HK"/>
        </w:rPr>
        <w:t>承</w:t>
      </w:r>
      <w:r>
        <w:rPr>
          <w:rFonts w:hint="eastAsia"/>
          <w:iCs/>
          <w:szCs w:val="26"/>
        </w:rPr>
        <w:t>認</w:t>
      </w:r>
      <w:r>
        <w:rPr>
          <w:rFonts w:hint="eastAsia"/>
          <w:iCs/>
          <w:szCs w:val="26"/>
          <w:lang w:eastAsia="zh-HK"/>
        </w:rPr>
        <w:t>的議</w:t>
      </w:r>
      <w:r>
        <w:rPr>
          <w:rFonts w:hint="eastAsia"/>
          <w:iCs/>
          <w:szCs w:val="26"/>
        </w:rPr>
        <w:t>題，</w:t>
      </w:r>
      <w:r>
        <w:rPr>
          <w:rFonts w:hint="eastAsia"/>
          <w:iCs/>
          <w:szCs w:val="26"/>
          <w:lang w:eastAsia="zh-HK"/>
        </w:rPr>
        <w:t>請參閱</w:t>
      </w:r>
      <w:r w:rsidRPr="00B660FB">
        <w:rPr>
          <w:rFonts w:hint="eastAsia"/>
          <w:b/>
          <w:iCs/>
          <w:szCs w:val="26"/>
          <w:lang w:eastAsia="zh-HK"/>
        </w:rPr>
        <w:t>附件</w:t>
      </w:r>
      <w:r w:rsidRPr="00B660FB">
        <w:rPr>
          <w:rFonts w:hint="eastAsia"/>
          <w:b/>
          <w:iCs/>
          <w:szCs w:val="26"/>
          <w:lang w:eastAsia="zh-HK"/>
        </w:rPr>
        <w:t>2</w:t>
      </w:r>
      <w:r>
        <w:rPr>
          <w:b/>
          <w:iCs/>
          <w:szCs w:val="26"/>
          <w:lang w:eastAsia="zh-HK"/>
        </w:rPr>
        <w:t>E</w:t>
      </w:r>
      <w:r w:rsidRPr="00B660FB">
        <w:rPr>
          <w:rFonts w:hint="eastAsia"/>
          <w:b/>
          <w:iCs/>
          <w:szCs w:val="26"/>
        </w:rPr>
        <w:t>。</w:t>
      </w:r>
    </w:p>
    <w:p w:rsidR="006D2061" w:rsidRPr="00612CEA" w:rsidRDefault="006D2061" w:rsidP="008375BB">
      <w:pPr>
        <w:tabs>
          <w:tab w:val="left" w:pos="1440"/>
        </w:tabs>
        <w:adjustRightInd w:val="0"/>
        <w:snapToGrid w:val="0"/>
        <w:spacing w:line="400" w:lineRule="atLeast"/>
        <w:ind w:right="26"/>
        <w:jc w:val="both"/>
        <w:rPr>
          <w:szCs w:val="28"/>
        </w:rPr>
      </w:pPr>
    </w:p>
    <w:p w:rsidR="006D2061" w:rsidRPr="00612CEA" w:rsidRDefault="006D2061" w:rsidP="008375BB">
      <w:pPr>
        <w:tabs>
          <w:tab w:val="left" w:pos="1440"/>
        </w:tabs>
        <w:adjustRightInd w:val="0"/>
        <w:snapToGrid w:val="0"/>
        <w:spacing w:line="400" w:lineRule="atLeast"/>
        <w:ind w:right="26"/>
        <w:jc w:val="both"/>
        <w:rPr>
          <w:b/>
          <w:szCs w:val="28"/>
        </w:rPr>
      </w:pPr>
      <w:r w:rsidRPr="0079491C">
        <w:rPr>
          <w:rFonts w:hint="eastAsia"/>
          <w:b/>
          <w:szCs w:val="28"/>
        </w:rPr>
        <w:t>消除就業方面的年齡歧視</w:t>
      </w:r>
    </w:p>
    <w:p w:rsidR="006D2061" w:rsidRPr="00612CEA" w:rsidRDefault="006D2061" w:rsidP="008375BB">
      <w:pPr>
        <w:tabs>
          <w:tab w:val="left" w:pos="1440"/>
        </w:tabs>
        <w:adjustRightInd w:val="0"/>
        <w:snapToGrid w:val="0"/>
        <w:spacing w:line="400" w:lineRule="atLeast"/>
        <w:ind w:right="26"/>
        <w:jc w:val="both"/>
        <w:rPr>
          <w:b/>
          <w:szCs w:val="28"/>
        </w:rPr>
      </w:pPr>
    </w:p>
    <w:p w:rsidR="006D2061" w:rsidRPr="00612CEA" w:rsidRDefault="006D2061" w:rsidP="008375BB">
      <w:pPr>
        <w:tabs>
          <w:tab w:val="left" w:pos="1440"/>
        </w:tabs>
        <w:adjustRightInd w:val="0"/>
        <w:snapToGrid w:val="0"/>
        <w:spacing w:line="400" w:lineRule="atLeast"/>
        <w:ind w:right="26"/>
        <w:jc w:val="both"/>
        <w:rPr>
          <w:snapToGrid w:val="0"/>
          <w:szCs w:val="28"/>
          <w:lang w:val="en-GB"/>
        </w:rPr>
      </w:pPr>
      <w:r w:rsidRPr="00612CEA">
        <w:rPr>
          <w:rFonts w:hint="eastAsia"/>
          <w:kern w:val="0"/>
          <w:szCs w:val="28"/>
        </w:rPr>
        <w:t>2.</w:t>
      </w:r>
      <w:r>
        <w:rPr>
          <w:rFonts w:hint="eastAsia"/>
          <w:kern w:val="0"/>
          <w:szCs w:val="28"/>
        </w:rPr>
        <w:t>1</w:t>
      </w:r>
      <w:r>
        <w:rPr>
          <w:kern w:val="0"/>
          <w:szCs w:val="28"/>
        </w:rPr>
        <w:t>6</w:t>
      </w:r>
      <w:r w:rsidRPr="00612CEA">
        <w:rPr>
          <w:kern w:val="0"/>
          <w:szCs w:val="28"/>
        </w:rPr>
        <w:tab/>
      </w:r>
      <w:r w:rsidRPr="00095BC6">
        <w:rPr>
          <w:rFonts w:hint="eastAsia"/>
          <w:spacing w:val="2"/>
          <w:kern w:val="0"/>
          <w:szCs w:val="28"/>
        </w:rPr>
        <w:t>政府鼓勵僱主在招聘時依「不論年齡，唯才是用」的原則，按劃一甄選準則去評估應徵者或僱員的工作能力。勞工處</w:t>
      </w:r>
      <w:r w:rsidRPr="00095BC6">
        <w:rPr>
          <w:rFonts w:hint="eastAsia"/>
          <w:spacing w:val="2"/>
          <w:kern w:val="0"/>
          <w:szCs w:val="28"/>
          <w:lang w:eastAsia="zh-HK"/>
        </w:rPr>
        <w:t>的</w:t>
      </w:r>
      <w:r w:rsidRPr="00095BC6">
        <w:rPr>
          <w:rFonts w:hint="eastAsia"/>
          <w:spacing w:val="2"/>
          <w:kern w:val="0"/>
          <w:szCs w:val="28"/>
        </w:rPr>
        <w:t>《僱傭實</w:t>
      </w:r>
      <w:r w:rsidRPr="004A3EBF">
        <w:rPr>
          <w:rFonts w:hint="eastAsia"/>
          <w:kern w:val="0"/>
          <w:szCs w:val="28"/>
        </w:rPr>
        <w:t>務指引－消除就業方面的年齡歧視》，就消除招聘和在工作場所中的年齡歧視提供完善處事方法。政府透過各種措施，宣傳就業平等及加強公眾對消除就業方面年齡歧視的認識和重視，包括在電子媒體</w:t>
      </w:r>
      <w:r w:rsidRPr="004A3EBF">
        <w:rPr>
          <w:rFonts w:hint="eastAsia"/>
          <w:kern w:val="0"/>
          <w:szCs w:val="28"/>
        </w:rPr>
        <w:lastRenderedPageBreak/>
        <w:t>播放宣傳短片和聲帶，及向市民及僱主派發實務指引和小冊子等。</w:t>
      </w:r>
    </w:p>
    <w:p w:rsidR="006D2061" w:rsidRPr="00612CEA" w:rsidRDefault="006D2061" w:rsidP="008375BB">
      <w:pPr>
        <w:tabs>
          <w:tab w:val="left" w:pos="1440"/>
        </w:tabs>
        <w:snapToGrid w:val="0"/>
        <w:spacing w:line="400" w:lineRule="atLeast"/>
        <w:jc w:val="both"/>
        <w:rPr>
          <w:b/>
          <w:szCs w:val="28"/>
        </w:rPr>
      </w:pPr>
    </w:p>
    <w:p w:rsidR="006D2061" w:rsidRDefault="006D2061" w:rsidP="008375BB">
      <w:pPr>
        <w:tabs>
          <w:tab w:val="left" w:pos="1440"/>
        </w:tabs>
        <w:snapToGrid w:val="0"/>
        <w:spacing w:line="400" w:lineRule="atLeast"/>
        <w:jc w:val="both"/>
        <w:rPr>
          <w:b/>
          <w:kern w:val="0"/>
          <w:szCs w:val="28"/>
        </w:rPr>
      </w:pPr>
      <w:r w:rsidRPr="004A3EBF">
        <w:rPr>
          <w:rFonts w:hint="eastAsia"/>
          <w:b/>
          <w:kern w:val="0"/>
          <w:szCs w:val="28"/>
        </w:rPr>
        <w:t>保護殘疾人士</w:t>
      </w:r>
    </w:p>
    <w:p w:rsidR="006D2061" w:rsidRDefault="006D2061" w:rsidP="008375BB">
      <w:pPr>
        <w:tabs>
          <w:tab w:val="left" w:pos="1440"/>
        </w:tabs>
        <w:snapToGrid w:val="0"/>
        <w:spacing w:line="400" w:lineRule="atLeast"/>
        <w:jc w:val="both"/>
        <w:rPr>
          <w:b/>
          <w:kern w:val="0"/>
          <w:szCs w:val="28"/>
        </w:rPr>
      </w:pPr>
    </w:p>
    <w:p w:rsidR="006D2061" w:rsidRDefault="006D2061" w:rsidP="008375BB">
      <w:pPr>
        <w:tabs>
          <w:tab w:val="left" w:pos="1440"/>
        </w:tabs>
        <w:snapToGrid w:val="0"/>
        <w:spacing w:line="400" w:lineRule="atLeast"/>
        <w:jc w:val="both"/>
        <w:rPr>
          <w:kern w:val="0"/>
          <w:szCs w:val="28"/>
        </w:rPr>
      </w:pPr>
      <w:r w:rsidRPr="004A3EBF">
        <w:rPr>
          <w:rFonts w:hint="eastAsia"/>
          <w:kern w:val="0"/>
          <w:szCs w:val="28"/>
        </w:rPr>
        <w:t>2.</w:t>
      </w:r>
      <w:r>
        <w:rPr>
          <w:rFonts w:hint="eastAsia"/>
          <w:kern w:val="0"/>
          <w:szCs w:val="28"/>
        </w:rPr>
        <w:t>1</w:t>
      </w:r>
      <w:r>
        <w:rPr>
          <w:kern w:val="0"/>
          <w:szCs w:val="28"/>
        </w:rPr>
        <w:t>7</w:t>
      </w:r>
      <w:r w:rsidRPr="004A3EBF">
        <w:rPr>
          <w:kern w:val="0"/>
          <w:szCs w:val="28"/>
        </w:rPr>
        <w:tab/>
      </w:r>
      <w:r w:rsidRPr="00CB276B">
        <w:rPr>
          <w:kern w:val="0"/>
          <w:szCs w:val="28"/>
        </w:rPr>
        <w:t>政府舉辦各種公眾教育和宣傳計劃，以提高市民對殘疾人士在</w:t>
      </w:r>
      <w:r w:rsidRPr="00CB276B">
        <w:rPr>
          <w:rFonts w:hint="eastAsia"/>
          <w:kern w:val="0"/>
          <w:szCs w:val="28"/>
        </w:rPr>
        <w:t>聯合國</w:t>
      </w:r>
      <w:r w:rsidRPr="00CB276B">
        <w:rPr>
          <w:kern w:val="0"/>
          <w:szCs w:val="28"/>
        </w:rPr>
        <w:t>《</w:t>
      </w:r>
      <w:r w:rsidRPr="00CB276B">
        <w:rPr>
          <w:rFonts w:hint="eastAsia"/>
          <w:kern w:val="0"/>
          <w:szCs w:val="28"/>
        </w:rPr>
        <w:t>殘疾人權利</w:t>
      </w:r>
      <w:r w:rsidRPr="00CB276B">
        <w:rPr>
          <w:kern w:val="0"/>
          <w:szCs w:val="28"/>
        </w:rPr>
        <w:t>公約》</w:t>
      </w:r>
      <w:r w:rsidRPr="004A3EBF">
        <w:rPr>
          <w:rFonts w:hint="eastAsia"/>
          <w:iCs/>
          <w:szCs w:val="26"/>
        </w:rPr>
        <w:t>（</w:t>
      </w:r>
      <w:r w:rsidRPr="00CB276B">
        <w:rPr>
          <w:kern w:val="0"/>
          <w:szCs w:val="28"/>
        </w:rPr>
        <w:t>《</w:t>
      </w:r>
      <w:r w:rsidRPr="00CB276B">
        <w:rPr>
          <w:rFonts w:hint="eastAsia"/>
          <w:kern w:val="0"/>
          <w:szCs w:val="28"/>
        </w:rPr>
        <w:t>殘疾人</w:t>
      </w:r>
      <w:r w:rsidRPr="00CB276B">
        <w:rPr>
          <w:kern w:val="0"/>
          <w:szCs w:val="28"/>
        </w:rPr>
        <w:t>公約》</w:t>
      </w:r>
      <w:r w:rsidRPr="004A3EBF">
        <w:rPr>
          <w:rFonts w:hint="eastAsia"/>
          <w:iCs/>
          <w:szCs w:val="26"/>
        </w:rPr>
        <w:t>）</w:t>
      </w:r>
      <w:r w:rsidRPr="00CB276B">
        <w:rPr>
          <w:kern w:val="0"/>
          <w:szCs w:val="28"/>
        </w:rPr>
        <w:t>下的權利及享有平等機會的關注</w:t>
      </w:r>
      <w:r w:rsidRPr="00CB276B">
        <w:rPr>
          <w:rFonts w:hint="eastAsia"/>
          <w:kern w:val="0"/>
          <w:szCs w:val="28"/>
        </w:rPr>
        <w:t>。</w:t>
      </w:r>
    </w:p>
    <w:p w:rsidR="006D2061" w:rsidRDefault="006D2061" w:rsidP="008375BB">
      <w:pPr>
        <w:tabs>
          <w:tab w:val="left" w:pos="1440"/>
        </w:tabs>
        <w:snapToGrid w:val="0"/>
        <w:spacing w:line="400" w:lineRule="atLeast"/>
        <w:jc w:val="both"/>
        <w:rPr>
          <w:kern w:val="0"/>
          <w:szCs w:val="28"/>
        </w:rPr>
      </w:pPr>
    </w:p>
    <w:p w:rsidR="006D2061" w:rsidRDefault="006D2061" w:rsidP="008375BB">
      <w:pPr>
        <w:tabs>
          <w:tab w:val="left" w:pos="1440"/>
        </w:tabs>
        <w:snapToGrid w:val="0"/>
        <w:spacing w:line="400" w:lineRule="atLeast"/>
        <w:jc w:val="both"/>
        <w:rPr>
          <w:kern w:val="0"/>
          <w:szCs w:val="28"/>
        </w:rPr>
      </w:pPr>
      <w:r>
        <w:rPr>
          <w:rFonts w:hint="eastAsia"/>
          <w:kern w:val="0"/>
          <w:szCs w:val="28"/>
        </w:rPr>
        <w:t>2.1</w:t>
      </w:r>
      <w:r>
        <w:rPr>
          <w:kern w:val="0"/>
          <w:szCs w:val="28"/>
        </w:rPr>
        <w:t>8</w:t>
      </w:r>
      <w:r>
        <w:rPr>
          <w:kern w:val="0"/>
          <w:szCs w:val="28"/>
        </w:rPr>
        <w:tab/>
      </w:r>
      <w:r w:rsidRPr="00CB276B">
        <w:rPr>
          <w:rFonts w:hint="eastAsia"/>
          <w:kern w:val="0"/>
          <w:szCs w:val="28"/>
        </w:rPr>
        <w:t>由</w:t>
      </w:r>
      <w:r w:rsidRPr="00CB276B">
        <w:rPr>
          <w:kern w:val="0"/>
          <w:szCs w:val="28"/>
        </w:rPr>
        <w:t>2012-13</w:t>
      </w:r>
      <w:r w:rsidRPr="00CB276B">
        <w:rPr>
          <w:rFonts w:hint="eastAsia"/>
          <w:kern w:val="0"/>
          <w:szCs w:val="28"/>
        </w:rPr>
        <w:t>年度起，勞工及福利局</w:t>
      </w:r>
      <w:r w:rsidRPr="004A3EBF">
        <w:rPr>
          <w:rFonts w:hint="eastAsia"/>
          <w:iCs/>
          <w:szCs w:val="26"/>
        </w:rPr>
        <w:t>（</w:t>
      </w:r>
      <w:r w:rsidRPr="00CB276B">
        <w:rPr>
          <w:rFonts w:hint="eastAsia"/>
          <w:kern w:val="0"/>
          <w:szCs w:val="28"/>
        </w:rPr>
        <w:t>勞福局</w:t>
      </w:r>
      <w:r w:rsidRPr="004A3EBF">
        <w:rPr>
          <w:rFonts w:hint="eastAsia"/>
          <w:iCs/>
          <w:szCs w:val="26"/>
        </w:rPr>
        <w:t>）</w:t>
      </w:r>
      <w:r w:rsidRPr="00CB276B">
        <w:rPr>
          <w:rFonts w:hint="eastAsia"/>
          <w:kern w:val="0"/>
          <w:szCs w:val="28"/>
        </w:rPr>
        <w:t>的公眾教育活動撥款由每年</w:t>
      </w:r>
      <w:r w:rsidRPr="00CB276B">
        <w:rPr>
          <w:rFonts w:hint="eastAsia"/>
          <w:kern w:val="0"/>
          <w:szCs w:val="28"/>
        </w:rPr>
        <w:t>1,200</w:t>
      </w:r>
      <w:r w:rsidRPr="00CB276B">
        <w:rPr>
          <w:rFonts w:hint="eastAsia"/>
          <w:kern w:val="0"/>
          <w:szCs w:val="28"/>
        </w:rPr>
        <w:t>萬元增加至</w:t>
      </w:r>
      <w:r w:rsidRPr="00CB276B">
        <w:rPr>
          <w:kern w:val="0"/>
          <w:szCs w:val="28"/>
        </w:rPr>
        <w:t>1,350</w:t>
      </w:r>
      <w:r w:rsidRPr="00CB276B">
        <w:rPr>
          <w:rFonts w:hint="eastAsia"/>
          <w:kern w:val="0"/>
          <w:szCs w:val="28"/>
        </w:rPr>
        <w:t>萬元。除籌辦全港性大型宣傳活動，</w:t>
      </w:r>
      <w:r w:rsidRPr="00CB276B">
        <w:rPr>
          <w:kern w:val="0"/>
          <w:szCs w:val="28"/>
        </w:rPr>
        <w:t>亦資助非政府機構和區議會</w:t>
      </w:r>
      <w:r w:rsidRPr="00CB276B">
        <w:rPr>
          <w:rFonts w:hint="eastAsia"/>
          <w:kern w:val="0"/>
          <w:szCs w:val="28"/>
        </w:rPr>
        <w:t>舉辦公眾教育活動以推廣《</w:t>
      </w:r>
      <w:r w:rsidRPr="005F5070">
        <w:rPr>
          <w:rFonts w:hint="eastAsia"/>
          <w:kern w:val="0"/>
          <w:szCs w:val="28"/>
        </w:rPr>
        <w:t>殘疾人</w:t>
      </w:r>
      <w:r w:rsidRPr="00CB276B">
        <w:rPr>
          <w:rFonts w:hint="eastAsia"/>
          <w:kern w:val="0"/>
          <w:szCs w:val="28"/>
        </w:rPr>
        <w:t>公約》，包括建設共融社會、提高青年意識，及推廣手語等。</w:t>
      </w:r>
      <w:r w:rsidRPr="00B660FB">
        <w:rPr>
          <w:rFonts w:hint="eastAsia"/>
          <w:kern w:val="0"/>
          <w:szCs w:val="28"/>
          <w:lang w:eastAsia="zh-HK"/>
        </w:rPr>
        <w:t>政</w:t>
      </w:r>
      <w:r w:rsidRPr="00B660FB">
        <w:rPr>
          <w:rFonts w:hint="eastAsia"/>
          <w:kern w:val="0"/>
          <w:szCs w:val="28"/>
        </w:rPr>
        <w:t>府</w:t>
      </w:r>
      <w:r>
        <w:rPr>
          <w:rFonts w:hint="eastAsia"/>
          <w:kern w:val="0"/>
          <w:szCs w:val="28"/>
        </w:rPr>
        <w:t>在</w:t>
      </w:r>
      <w:r w:rsidRPr="00940A2A">
        <w:rPr>
          <w:rFonts w:hint="eastAsia"/>
          <w:kern w:val="0"/>
          <w:szCs w:val="28"/>
        </w:rPr>
        <w:t>促進殘疾人士融入社會</w:t>
      </w:r>
      <w:r>
        <w:rPr>
          <w:rFonts w:hint="eastAsia"/>
          <w:kern w:val="0"/>
          <w:szCs w:val="28"/>
        </w:rPr>
        <w:t>及</w:t>
      </w:r>
      <w:r w:rsidRPr="00B660FB">
        <w:rPr>
          <w:rFonts w:hint="eastAsia"/>
          <w:kern w:val="0"/>
          <w:szCs w:val="28"/>
          <w:lang w:eastAsia="zh-HK"/>
        </w:rPr>
        <w:t>提供就業支援</w:t>
      </w:r>
      <w:r>
        <w:rPr>
          <w:rFonts w:hint="eastAsia"/>
          <w:kern w:val="0"/>
          <w:szCs w:val="28"/>
        </w:rPr>
        <w:t>方面的工作</w:t>
      </w:r>
      <w:r w:rsidRPr="00B660FB">
        <w:rPr>
          <w:rFonts w:hint="eastAsia"/>
          <w:kern w:val="0"/>
          <w:szCs w:val="28"/>
          <w:lang w:eastAsia="zh-HK"/>
        </w:rPr>
        <w:t>詳見</w:t>
      </w:r>
      <w:r w:rsidRPr="00B660FB">
        <w:rPr>
          <w:rFonts w:hint="eastAsia"/>
          <w:b/>
          <w:kern w:val="0"/>
          <w:szCs w:val="28"/>
          <w:lang w:eastAsia="zh-HK"/>
        </w:rPr>
        <w:t>附件</w:t>
      </w:r>
      <w:r w:rsidRPr="00B660FB">
        <w:rPr>
          <w:rFonts w:hint="eastAsia"/>
          <w:b/>
          <w:kern w:val="0"/>
          <w:szCs w:val="28"/>
          <w:lang w:eastAsia="zh-HK"/>
        </w:rPr>
        <w:t>2</w:t>
      </w:r>
      <w:r>
        <w:rPr>
          <w:b/>
          <w:kern w:val="0"/>
          <w:szCs w:val="28"/>
          <w:lang w:eastAsia="zh-HK"/>
        </w:rPr>
        <w:t>F</w:t>
      </w:r>
      <w:r w:rsidRPr="00B660FB">
        <w:rPr>
          <w:rFonts w:hint="eastAsia"/>
          <w:kern w:val="0"/>
          <w:szCs w:val="28"/>
        </w:rPr>
        <w:t>。</w:t>
      </w:r>
    </w:p>
    <w:p w:rsidR="006D2061" w:rsidRDefault="006D2061" w:rsidP="008375BB">
      <w:pPr>
        <w:tabs>
          <w:tab w:val="left" w:pos="1440"/>
        </w:tabs>
        <w:snapToGrid w:val="0"/>
        <w:spacing w:line="400" w:lineRule="atLeast"/>
        <w:jc w:val="both"/>
        <w:rPr>
          <w:kern w:val="0"/>
          <w:szCs w:val="28"/>
        </w:rPr>
      </w:pPr>
    </w:p>
    <w:p w:rsidR="006D2061" w:rsidRDefault="006D2061" w:rsidP="008375BB">
      <w:pPr>
        <w:tabs>
          <w:tab w:val="left" w:pos="1440"/>
        </w:tabs>
        <w:snapToGrid w:val="0"/>
        <w:spacing w:line="400" w:lineRule="atLeast"/>
        <w:jc w:val="both"/>
        <w:rPr>
          <w:b/>
          <w:kern w:val="0"/>
          <w:szCs w:val="28"/>
        </w:rPr>
      </w:pPr>
      <w:r w:rsidRPr="00CB276B">
        <w:rPr>
          <w:b/>
          <w:kern w:val="0"/>
          <w:szCs w:val="28"/>
        </w:rPr>
        <w:t>免遣返聲請</w:t>
      </w:r>
    </w:p>
    <w:p w:rsidR="006D2061" w:rsidRDefault="006D2061" w:rsidP="008375BB">
      <w:pPr>
        <w:tabs>
          <w:tab w:val="left" w:pos="1440"/>
        </w:tabs>
        <w:snapToGrid w:val="0"/>
        <w:spacing w:line="400" w:lineRule="atLeast"/>
        <w:jc w:val="both"/>
        <w:rPr>
          <w:b/>
          <w:kern w:val="0"/>
          <w:szCs w:val="28"/>
        </w:rPr>
      </w:pPr>
    </w:p>
    <w:p w:rsidR="006D2061" w:rsidRDefault="006D2061" w:rsidP="008375BB">
      <w:pPr>
        <w:tabs>
          <w:tab w:val="left" w:pos="1440"/>
        </w:tabs>
        <w:snapToGrid w:val="0"/>
        <w:spacing w:line="400" w:lineRule="atLeast"/>
        <w:jc w:val="both"/>
        <w:rPr>
          <w:bCs/>
          <w:kern w:val="0"/>
          <w:szCs w:val="28"/>
        </w:rPr>
      </w:pPr>
      <w:r w:rsidRPr="00CB276B">
        <w:rPr>
          <w:rFonts w:hint="eastAsia"/>
          <w:kern w:val="0"/>
          <w:szCs w:val="28"/>
        </w:rPr>
        <w:t>2.</w:t>
      </w:r>
      <w:r>
        <w:rPr>
          <w:kern w:val="0"/>
          <w:szCs w:val="28"/>
        </w:rPr>
        <w:t>19</w:t>
      </w:r>
      <w:r w:rsidRPr="00CB276B">
        <w:rPr>
          <w:kern w:val="0"/>
          <w:szCs w:val="28"/>
        </w:rPr>
        <w:tab/>
      </w:r>
      <w:r w:rsidRPr="00095BC6">
        <w:rPr>
          <w:rFonts w:hint="eastAsia"/>
          <w:spacing w:val="2"/>
          <w:kern w:val="0"/>
          <w:szCs w:val="28"/>
        </w:rPr>
        <w:t>委員會在上次審議結論第</w:t>
      </w:r>
      <w:r w:rsidRPr="00095BC6">
        <w:rPr>
          <w:rFonts w:hint="eastAsia"/>
          <w:spacing w:val="2"/>
          <w:kern w:val="0"/>
          <w:szCs w:val="28"/>
        </w:rPr>
        <w:t>42</w:t>
      </w:r>
      <w:r w:rsidRPr="00095BC6">
        <w:rPr>
          <w:rFonts w:hint="eastAsia"/>
          <w:spacing w:val="2"/>
          <w:kern w:val="0"/>
          <w:szCs w:val="28"/>
        </w:rPr>
        <w:t>段中</w:t>
      </w:r>
      <w:r w:rsidRPr="00095BC6">
        <w:rPr>
          <w:rFonts w:hint="eastAsia"/>
          <w:spacing w:val="2"/>
          <w:kern w:val="0"/>
          <w:szCs w:val="28"/>
          <w:lang w:eastAsia="zh-HK"/>
        </w:rPr>
        <w:t>關</w:t>
      </w:r>
      <w:r w:rsidRPr="00095BC6">
        <w:rPr>
          <w:rFonts w:hint="eastAsia"/>
          <w:spacing w:val="2"/>
          <w:kern w:val="0"/>
          <w:szCs w:val="28"/>
        </w:rPr>
        <w:t>注</w:t>
      </w:r>
      <w:r w:rsidRPr="00095BC6">
        <w:rPr>
          <w:rFonts w:hint="eastAsia"/>
          <w:spacing w:val="2"/>
          <w:kern w:val="0"/>
          <w:szCs w:val="28"/>
          <w:lang w:eastAsia="zh-HK"/>
        </w:rPr>
        <w:t>難民及尋</w:t>
      </w:r>
      <w:r w:rsidRPr="00095BC6">
        <w:rPr>
          <w:rFonts w:hint="eastAsia"/>
          <w:spacing w:val="2"/>
          <w:kern w:val="0"/>
          <w:szCs w:val="28"/>
        </w:rPr>
        <w:t>求</w:t>
      </w:r>
      <w:r w:rsidRPr="00095BC6">
        <w:rPr>
          <w:rFonts w:hint="eastAsia"/>
          <w:spacing w:val="2"/>
          <w:kern w:val="0"/>
          <w:szCs w:val="28"/>
          <w:lang w:eastAsia="zh-HK"/>
        </w:rPr>
        <w:t>庇</w:t>
      </w:r>
      <w:r w:rsidRPr="00095BC6">
        <w:rPr>
          <w:rFonts w:hint="eastAsia"/>
          <w:spacing w:val="2"/>
          <w:kern w:val="0"/>
          <w:szCs w:val="28"/>
        </w:rPr>
        <w:t>護</w:t>
      </w:r>
      <w:r w:rsidRPr="00095BC6">
        <w:rPr>
          <w:rFonts w:hint="eastAsia"/>
          <w:spacing w:val="2"/>
          <w:kern w:val="0"/>
          <w:szCs w:val="28"/>
          <w:lang w:eastAsia="zh-HK"/>
        </w:rPr>
        <w:t>者</w:t>
      </w:r>
      <w:r w:rsidRPr="00095BC6">
        <w:rPr>
          <w:rFonts w:hint="eastAsia"/>
          <w:spacing w:val="2"/>
          <w:kern w:val="0"/>
          <w:szCs w:val="28"/>
        </w:rPr>
        <w:t>。</w:t>
      </w:r>
      <w:r w:rsidRPr="00314294">
        <w:rPr>
          <w:rFonts w:hint="eastAsia"/>
          <w:kern w:val="0"/>
          <w:szCs w:val="28"/>
        </w:rPr>
        <w:t>委員會</w:t>
      </w:r>
      <w:r>
        <w:rPr>
          <w:rFonts w:hint="eastAsia"/>
          <w:kern w:val="0"/>
          <w:szCs w:val="28"/>
          <w:lang w:eastAsia="zh-HK"/>
        </w:rPr>
        <w:t>應留</w:t>
      </w:r>
      <w:r w:rsidRPr="001F61AB">
        <w:rPr>
          <w:rFonts w:hint="eastAsia"/>
          <w:kern w:val="0"/>
          <w:szCs w:val="28"/>
        </w:rPr>
        <w:t>意</w:t>
      </w:r>
      <w:r w:rsidRPr="00314294">
        <w:rPr>
          <w:bCs/>
          <w:kern w:val="0"/>
          <w:szCs w:val="28"/>
        </w:rPr>
        <w:t>香港地少人多，海岸線長，</w:t>
      </w:r>
      <w:r>
        <w:rPr>
          <w:rFonts w:hint="eastAsia"/>
          <w:bCs/>
          <w:kern w:val="0"/>
          <w:szCs w:val="28"/>
          <w:lang w:eastAsia="zh-HK"/>
        </w:rPr>
        <w:t>並</w:t>
      </w:r>
      <w:r w:rsidRPr="00314294">
        <w:rPr>
          <w:bCs/>
          <w:kern w:val="0"/>
          <w:szCs w:val="28"/>
        </w:rPr>
        <w:t>維持寬鬆的簽證政策吸引大量旅客來港，並為區內交通樞紐。</w:t>
      </w:r>
      <w:r>
        <w:rPr>
          <w:rFonts w:hint="eastAsia"/>
          <w:bCs/>
          <w:kern w:val="0"/>
          <w:szCs w:val="28"/>
          <w:lang w:eastAsia="zh-HK"/>
        </w:rPr>
        <w:t>這令</w:t>
      </w:r>
      <w:r w:rsidRPr="00314294">
        <w:rPr>
          <w:bCs/>
          <w:kern w:val="0"/>
          <w:szCs w:val="28"/>
        </w:rPr>
        <w:t>香港</w:t>
      </w:r>
      <w:r w:rsidRPr="00314294">
        <w:rPr>
          <w:rFonts w:hint="eastAsia"/>
          <w:bCs/>
          <w:kern w:val="0"/>
          <w:szCs w:val="28"/>
        </w:rPr>
        <w:t>尤其</w:t>
      </w:r>
      <w:r w:rsidRPr="00314294">
        <w:rPr>
          <w:bCs/>
          <w:kern w:val="0"/>
          <w:szCs w:val="28"/>
        </w:rPr>
        <w:t>難以承受非法入境者所帶來的負面影響。</w:t>
      </w:r>
      <w:r>
        <w:rPr>
          <w:rFonts w:hint="eastAsia"/>
          <w:bCs/>
          <w:kern w:val="0"/>
          <w:szCs w:val="28"/>
          <w:lang w:eastAsia="zh-HK"/>
        </w:rPr>
        <w:t>因</w:t>
      </w:r>
      <w:r w:rsidRPr="00314294">
        <w:rPr>
          <w:bCs/>
          <w:kern w:val="0"/>
          <w:szCs w:val="28"/>
        </w:rPr>
        <w:t>此聯合國《</w:t>
      </w:r>
      <w:r w:rsidRPr="00314294">
        <w:rPr>
          <w:bCs/>
          <w:kern w:val="0"/>
          <w:szCs w:val="28"/>
        </w:rPr>
        <w:t>1951</w:t>
      </w:r>
      <w:r w:rsidRPr="00314294">
        <w:rPr>
          <w:bCs/>
          <w:kern w:val="0"/>
          <w:szCs w:val="28"/>
        </w:rPr>
        <w:t>年關於難民地位的公約》及其</w:t>
      </w:r>
      <w:r w:rsidRPr="00314294">
        <w:rPr>
          <w:bCs/>
          <w:kern w:val="0"/>
          <w:szCs w:val="28"/>
        </w:rPr>
        <w:t>1967</w:t>
      </w:r>
      <w:r w:rsidRPr="00314294">
        <w:rPr>
          <w:bCs/>
          <w:kern w:val="0"/>
          <w:szCs w:val="28"/>
        </w:rPr>
        <w:t>年議定書從未適用於香港；在香港尋求免遣返保護的非法入境者不會被視為「尋求庇護者」或「難民」。政府一貫採取堅定政策，不會決定或確認任何人為難民。</w:t>
      </w:r>
    </w:p>
    <w:p w:rsidR="006D2061" w:rsidRDefault="006D2061" w:rsidP="008375BB">
      <w:pPr>
        <w:tabs>
          <w:tab w:val="left" w:pos="1440"/>
        </w:tabs>
        <w:snapToGrid w:val="0"/>
        <w:spacing w:line="400" w:lineRule="atLeast"/>
        <w:jc w:val="both"/>
        <w:rPr>
          <w:bCs/>
          <w:kern w:val="0"/>
          <w:szCs w:val="28"/>
        </w:rPr>
      </w:pPr>
    </w:p>
    <w:p w:rsidR="006D2061" w:rsidRDefault="006D2061" w:rsidP="008375BB">
      <w:pPr>
        <w:tabs>
          <w:tab w:val="left" w:pos="1440"/>
        </w:tabs>
        <w:snapToGrid w:val="0"/>
        <w:spacing w:line="400" w:lineRule="atLeast"/>
        <w:jc w:val="both"/>
        <w:rPr>
          <w:bCs/>
          <w:kern w:val="0"/>
          <w:szCs w:val="28"/>
        </w:rPr>
      </w:pPr>
      <w:r w:rsidRPr="0079491C">
        <w:rPr>
          <w:rFonts w:hint="eastAsia"/>
          <w:bCs/>
          <w:kern w:val="0"/>
          <w:szCs w:val="28"/>
        </w:rPr>
        <w:t>2.</w:t>
      </w:r>
      <w:r w:rsidRPr="00714455">
        <w:rPr>
          <w:bCs/>
          <w:kern w:val="0"/>
          <w:szCs w:val="28"/>
        </w:rPr>
        <w:t>2</w:t>
      </w:r>
      <w:r>
        <w:rPr>
          <w:bCs/>
          <w:kern w:val="0"/>
          <w:szCs w:val="28"/>
        </w:rPr>
        <w:t>0</w:t>
      </w:r>
      <w:r w:rsidRPr="004503F7">
        <w:rPr>
          <w:bCs/>
          <w:kern w:val="0"/>
          <w:szCs w:val="28"/>
        </w:rPr>
        <w:tab/>
      </w:r>
      <w:r w:rsidRPr="004503F7">
        <w:rPr>
          <w:bCs/>
          <w:kern w:val="0"/>
          <w:szCs w:val="28"/>
        </w:rPr>
        <w:t>政府自</w:t>
      </w:r>
      <w:r w:rsidRPr="004503F7">
        <w:rPr>
          <w:bCs/>
          <w:kern w:val="0"/>
          <w:szCs w:val="28"/>
        </w:rPr>
        <w:t>2014</w:t>
      </w:r>
      <w:r w:rsidRPr="004503F7">
        <w:rPr>
          <w:bCs/>
          <w:kern w:val="0"/>
          <w:szCs w:val="28"/>
        </w:rPr>
        <w:t>年</w:t>
      </w:r>
      <w:r w:rsidRPr="004503F7">
        <w:rPr>
          <w:bCs/>
          <w:kern w:val="0"/>
          <w:szCs w:val="28"/>
        </w:rPr>
        <w:t>3</w:t>
      </w:r>
      <w:r w:rsidRPr="004503F7">
        <w:rPr>
          <w:bCs/>
          <w:kern w:val="0"/>
          <w:szCs w:val="28"/>
        </w:rPr>
        <w:t>月實施統一審核機制審核免遣返聲請</w:t>
      </w:r>
      <w:r w:rsidR="00095BC6">
        <w:rPr>
          <w:rFonts w:hint="eastAsia"/>
          <w:bCs/>
          <w:kern w:val="0"/>
          <w:szCs w:val="28"/>
          <w:lang w:eastAsia="zh-HK"/>
        </w:rPr>
        <w:t>：</w:t>
      </w:r>
      <w:r w:rsidRPr="00314294">
        <w:rPr>
          <w:bCs/>
          <w:kern w:val="0"/>
          <w:szCs w:val="28"/>
        </w:rPr>
        <w:t>須被或可被遣離香港至另一國家的人（如逾期逗留、非法入境者等）可根據適用的理由，包括面對酷刑、不人道處遇、或迫害等風險，提出免遣返聲請。</w:t>
      </w:r>
    </w:p>
    <w:p w:rsidR="006D2061" w:rsidRPr="00511CEE" w:rsidRDefault="006D2061" w:rsidP="008375BB">
      <w:pPr>
        <w:tabs>
          <w:tab w:val="left" w:pos="1440"/>
        </w:tabs>
        <w:snapToGrid w:val="0"/>
        <w:spacing w:line="400" w:lineRule="atLeast"/>
        <w:jc w:val="both"/>
        <w:rPr>
          <w:bCs/>
          <w:kern w:val="0"/>
          <w:szCs w:val="28"/>
        </w:rPr>
      </w:pPr>
    </w:p>
    <w:p w:rsidR="006D2061" w:rsidRPr="00314294" w:rsidRDefault="006D2061" w:rsidP="008375BB">
      <w:pPr>
        <w:tabs>
          <w:tab w:val="left" w:pos="1440"/>
        </w:tabs>
        <w:snapToGrid w:val="0"/>
        <w:spacing w:line="400" w:lineRule="atLeast"/>
        <w:jc w:val="both"/>
        <w:rPr>
          <w:bCs/>
          <w:kern w:val="0"/>
          <w:szCs w:val="28"/>
        </w:rPr>
      </w:pPr>
      <w:r>
        <w:rPr>
          <w:rFonts w:hint="eastAsia"/>
          <w:bCs/>
          <w:kern w:val="0"/>
          <w:szCs w:val="28"/>
        </w:rPr>
        <w:t>2.</w:t>
      </w:r>
      <w:r>
        <w:rPr>
          <w:bCs/>
          <w:kern w:val="0"/>
          <w:szCs w:val="28"/>
        </w:rPr>
        <w:t>21</w:t>
      </w:r>
      <w:r>
        <w:rPr>
          <w:rFonts w:hint="eastAsia"/>
          <w:bCs/>
          <w:kern w:val="0"/>
          <w:szCs w:val="28"/>
        </w:rPr>
        <w:tab/>
      </w:r>
      <w:r w:rsidRPr="006940BF">
        <w:rPr>
          <w:rFonts w:hint="eastAsia"/>
          <w:bCs/>
          <w:spacing w:val="-2"/>
          <w:kern w:val="0"/>
          <w:szCs w:val="28"/>
        </w:rPr>
        <w:t>香港終審法院於</w:t>
      </w:r>
      <w:r w:rsidRPr="006940BF">
        <w:rPr>
          <w:rFonts w:hint="eastAsia"/>
          <w:bCs/>
          <w:spacing w:val="-2"/>
          <w:kern w:val="0"/>
          <w:szCs w:val="28"/>
        </w:rPr>
        <w:t>2004</w:t>
      </w:r>
      <w:r w:rsidRPr="006940BF">
        <w:rPr>
          <w:rFonts w:hint="eastAsia"/>
          <w:bCs/>
          <w:spacing w:val="-2"/>
          <w:kern w:val="0"/>
          <w:szCs w:val="28"/>
        </w:rPr>
        <w:t>年及</w:t>
      </w:r>
      <w:r w:rsidRPr="006940BF">
        <w:rPr>
          <w:rFonts w:hint="eastAsia"/>
          <w:bCs/>
          <w:spacing w:val="-2"/>
          <w:kern w:val="0"/>
          <w:szCs w:val="28"/>
        </w:rPr>
        <w:t>2012</w:t>
      </w:r>
      <w:r w:rsidRPr="006940BF">
        <w:rPr>
          <w:rFonts w:hint="eastAsia"/>
          <w:bCs/>
          <w:spacing w:val="-2"/>
          <w:kern w:val="0"/>
          <w:szCs w:val="28"/>
        </w:rPr>
        <w:t>年裁定，必須以高度公平標準處理以酷刑和殘忍、不人道或有辱人格的待遇或處罰等理由提</w:t>
      </w:r>
      <w:r w:rsidRPr="00314294">
        <w:rPr>
          <w:rFonts w:hint="eastAsia"/>
          <w:bCs/>
          <w:kern w:val="0"/>
          <w:szCs w:val="28"/>
        </w:rPr>
        <w:t>出的免遣返聲請。統一審核機制的程序合乎有關標準。由填寫聲請表格至出席審核會面向個案主任詳細闡述其聲請，聲請人在整個審核程序中可獲合理機會及專業協助，包括公費支付的法律支援及由合資格人</w:t>
      </w:r>
      <w:r w:rsidRPr="00314294">
        <w:rPr>
          <w:rFonts w:hint="eastAsia"/>
          <w:bCs/>
          <w:kern w:val="0"/>
          <w:szCs w:val="28"/>
        </w:rPr>
        <w:lastRenderedPageBreak/>
        <w:t>士提供的傳譯／翻譯服務，藉以</w:t>
      </w:r>
      <w:r>
        <w:rPr>
          <w:rFonts w:hint="eastAsia"/>
          <w:bCs/>
          <w:kern w:val="0"/>
          <w:szCs w:val="28"/>
          <w:lang w:eastAsia="zh-HK"/>
        </w:rPr>
        <w:t>述</w:t>
      </w:r>
      <w:r w:rsidRPr="00314294">
        <w:rPr>
          <w:rFonts w:hint="eastAsia"/>
          <w:bCs/>
          <w:kern w:val="0"/>
          <w:szCs w:val="28"/>
        </w:rPr>
        <w:t>明其聲請個案。若聲請人宣稱與聲請相關的身體或精神狀況存在爭議，可獲安排進行醫療檢驗。入境事務處（入境處）完成審核聲請個案後，會書面通知聲請人</w:t>
      </w:r>
      <w:r>
        <w:rPr>
          <w:rFonts w:hint="eastAsia"/>
          <w:bCs/>
          <w:kern w:val="0"/>
          <w:szCs w:val="28"/>
          <w:lang w:eastAsia="zh-HK"/>
        </w:rPr>
        <w:t>其</w:t>
      </w:r>
      <w:r w:rsidRPr="00314294">
        <w:rPr>
          <w:rFonts w:hint="eastAsia"/>
          <w:bCs/>
          <w:kern w:val="0"/>
          <w:szCs w:val="28"/>
        </w:rPr>
        <w:t>決定及詳細理由。不服入境處決定的聲請人，可向法定及獨立運作</w:t>
      </w:r>
      <w:r w:rsidRPr="0079491C">
        <w:rPr>
          <w:rFonts w:hint="eastAsia"/>
          <w:bCs/>
          <w:kern w:val="0"/>
          <w:szCs w:val="28"/>
        </w:rPr>
        <w:t>、</w:t>
      </w:r>
      <w:r w:rsidRPr="00714455">
        <w:rPr>
          <w:rFonts w:hint="eastAsia"/>
          <w:bCs/>
          <w:kern w:val="0"/>
          <w:szCs w:val="28"/>
        </w:rPr>
        <w:t>且成員包括前法官或前裁判官，及在其他司法管轄區具</w:t>
      </w:r>
      <w:r w:rsidRPr="007809BE">
        <w:rPr>
          <w:rFonts w:hint="eastAsia"/>
          <w:bCs/>
          <w:kern w:val="0"/>
          <w:szCs w:val="28"/>
        </w:rPr>
        <w:t>備相關經驗的人士的酷刑聲請上訴委員會</w:t>
      </w:r>
      <w:r w:rsidRPr="00E7654C">
        <w:rPr>
          <w:rFonts w:hint="eastAsia"/>
          <w:bCs/>
          <w:kern w:val="0"/>
          <w:szCs w:val="28"/>
        </w:rPr>
        <w:t>提出上訴。</w:t>
      </w:r>
    </w:p>
    <w:p w:rsidR="006D2061" w:rsidRPr="00314294" w:rsidRDefault="006D2061" w:rsidP="008375BB">
      <w:pPr>
        <w:tabs>
          <w:tab w:val="left" w:pos="1440"/>
        </w:tabs>
        <w:snapToGrid w:val="0"/>
        <w:spacing w:line="400" w:lineRule="atLeast"/>
        <w:jc w:val="both"/>
        <w:rPr>
          <w:bCs/>
          <w:kern w:val="0"/>
          <w:szCs w:val="28"/>
        </w:rPr>
      </w:pPr>
    </w:p>
    <w:p w:rsidR="006D2061" w:rsidRPr="00314294" w:rsidRDefault="006D2061" w:rsidP="008375BB">
      <w:pPr>
        <w:tabs>
          <w:tab w:val="left" w:pos="1440"/>
        </w:tabs>
        <w:snapToGrid w:val="0"/>
        <w:spacing w:line="400" w:lineRule="atLeast"/>
        <w:jc w:val="both"/>
        <w:rPr>
          <w:bCs/>
          <w:kern w:val="0"/>
          <w:szCs w:val="28"/>
        </w:rPr>
      </w:pPr>
      <w:r>
        <w:rPr>
          <w:bCs/>
          <w:kern w:val="0"/>
          <w:szCs w:val="28"/>
        </w:rPr>
        <w:t>2.22</w:t>
      </w:r>
      <w:r w:rsidRPr="00314294">
        <w:rPr>
          <w:rFonts w:hint="eastAsia"/>
          <w:bCs/>
          <w:kern w:val="0"/>
          <w:szCs w:val="28"/>
        </w:rPr>
        <w:tab/>
      </w:r>
      <w:r w:rsidRPr="00314294">
        <w:rPr>
          <w:rFonts w:hint="eastAsia"/>
          <w:bCs/>
          <w:kern w:val="0"/>
          <w:szCs w:val="28"/>
        </w:rPr>
        <w:t>免遣返聲請是否確立，完全視乎個案的事實和理據。根據聲請人提供的理據、事實和所有有關資料，入境處或上訴委員會如有充分理由相信聲請人將會遭受酷刑</w:t>
      </w:r>
      <w:r>
        <w:rPr>
          <w:rFonts w:hint="eastAsia"/>
          <w:bCs/>
          <w:kern w:val="0"/>
          <w:szCs w:val="28"/>
        </w:rPr>
        <w:t>，</w:t>
      </w:r>
      <w:r w:rsidRPr="00B93441">
        <w:rPr>
          <w:rFonts w:hint="eastAsia"/>
          <w:bCs/>
          <w:szCs w:val="28"/>
        </w:rPr>
        <w:t>及在香港人權法案下</w:t>
      </w:r>
      <w:r w:rsidRPr="00314294">
        <w:rPr>
          <w:rFonts w:hint="eastAsia"/>
          <w:bCs/>
          <w:kern w:val="0"/>
          <w:szCs w:val="28"/>
        </w:rPr>
        <w:t>絕對及不容減免的權利受到損害（例如不人道處遇或被剝奪生存的權利）、或迫害等風險，會確立該聲請，否則聲請會被拒絕。若聲請被拒，聲請人會被遣返回原居國家。</w:t>
      </w:r>
    </w:p>
    <w:p w:rsidR="006D2061" w:rsidRDefault="006D2061" w:rsidP="008375BB">
      <w:pPr>
        <w:tabs>
          <w:tab w:val="left" w:pos="1440"/>
        </w:tabs>
        <w:snapToGrid w:val="0"/>
        <w:spacing w:line="400" w:lineRule="atLeast"/>
        <w:jc w:val="both"/>
        <w:rPr>
          <w:bCs/>
          <w:kern w:val="0"/>
          <w:szCs w:val="28"/>
        </w:rPr>
      </w:pPr>
    </w:p>
    <w:p w:rsidR="006D2061" w:rsidRPr="00B660FB" w:rsidRDefault="006D2061" w:rsidP="008375BB">
      <w:pPr>
        <w:tabs>
          <w:tab w:val="left" w:pos="1440"/>
        </w:tabs>
        <w:snapToGrid w:val="0"/>
        <w:spacing w:line="400" w:lineRule="atLeast"/>
        <w:jc w:val="both"/>
        <w:rPr>
          <w:bCs/>
          <w:kern w:val="0"/>
          <w:szCs w:val="28"/>
        </w:rPr>
      </w:pPr>
      <w:r w:rsidRPr="00B660FB">
        <w:rPr>
          <w:rFonts w:hint="eastAsia"/>
          <w:bCs/>
          <w:kern w:val="0"/>
          <w:szCs w:val="28"/>
        </w:rPr>
        <w:t>2.</w:t>
      </w:r>
      <w:r>
        <w:rPr>
          <w:bCs/>
          <w:kern w:val="0"/>
          <w:szCs w:val="28"/>
        </w:rPr>
        <w:t>23</w:t>
      </w:r>
      <w:r w:rsidRPr="00B660FB">
        <w:rPr>
          <w:rFonts w:hint="eastAsia"/>
          <w:bCs/>
          <w:kern w:val="0"/>
          <w:szCs w:val="28"/>
        </w:rPr>
        <w:tab/>
      </w:r>
      <w:r w:rsidRPr="00B660FB">
        <w:rPr>
          <w:rFonts w:hint="eastAsia"/>
          <w:bCs/>
          <w:kern w:val="0"/>
          <w:szCs w:val="28"/>
        </w:rPr>
        <w:t>政府於</w:t>
      </w:r>
      <w:r w:rsidRPr="00B660FB">
        <w:rPr>
          <w:rFonts w:hint="eastAsia"/>
          <w:bCs/>
          <w:kern w:val="0"/>
          <w:szCs w:val="28"/>
        </w:rPr>
        <w:t>2016</w:t>
      </w:r>
      <w:r w:rsidRPr="00B660FB">
        <w:rPr>
          <w:rFonts w:hint="eastAsia"/>
          <w:bCs/>
          <w:kern w:val="0"/>
          <w:szCs w:val="28"/>
        </w:rPr>
        <w:t>年初</w:t>
      </w:r>
      <w:r>
        <w:rPr>
          <w:rFonts w:hint="eastAsia"/>
          <w:bCs/>
          <w:kern w:val="0"/>
          <w:szCs w:val="28"/>
          <w:lang w:eastAsia="zh-HK"/>
        </w:rPr>
        <w:t>全面檢</w:t>
      </w:r>
      <w:r>
        <w:rPr>
          <w:rFonts w:hint="eastAsia"/>
          <w:bCs/>
          <w:kern w:val="0"/>
          <w:szCs w:val="28"/>
        </w:rPr>
        <w:t>討</w:t>
      </w:r>
      <w:r w:rsidRPr="00B660FB">
        <w:rPr>
          <w:rFonts w:hint="eastAsia"/>
          <w:bCs/>
          <w:kern w:val="0"/>
          <w:szCs w:val="28"/>
        </w:rPr>
        <w:t>處理免遣返聲請的策略</w:t>
      </w:r>
      <w:r>
        <w:rPr>
          <w:rFonts w:hint="eastAsia"/>
          <w:bCs/>
          <w:kern w:val="0"/>
          <w:szCs w:val="28"/>
        </w:rPr>
        <w:t>，</w:t>
      </w:r>
      <w:r>
        <w:rPr>
          <w:rFonts w:hint="eastAsia"/>
          <w:bCs/>
          <w:kern w:val="0"/>
          <w:szCs w:val="28"/>
          <w:lang w:eastAsia="zh-HK"/>
        </w:rPr>
        <w:t>詳見</w:t>
      </w:r>
      <w:r w:rsidRPr="00B660FB">
        <w:rPr>
          <w:rFonts w:hint="eastAsia"/>
          <w:b/>
          <w:bCs/>
          <w:kern w:val="0"/>
          <w:szCs w:val="28"/>
          <w:lang w:eastAsia="zh-HK"/>
        </w:rPr>
        <w:t>附件</w:t>
      </w:r>
      <w:r w:rsidRPr="00B660FB">
        <w:rPr>
          <w:rFonts w:hint="eastAsia"/>
          <w:b/>
          <w:bCs/>
          <w:kern w:val="0"/>
          <w:szCs w:val="28"/>
        </w:rPr>
        <w:t>2</w:t>
      </w:r>
      <w:r>
        <w:rPr>
          <w:b/>
          <w:bCs/>
          <w:kern w:val="0"/>
          <w:szCs w:val="28"/>
        </w:rPr>
        <w:t>G</w:t>
      </w:r>
      <w:r>
        <w:rPr>
          <w:rFonts w:hint="eastAsia"/>
          <w:bCs/>
          <w:kern w:val="0"/>
          <w:szCs w:val="28"/>
        </w:rPr>
        <w:t>。</w:t>
      </w:r>
      <w:r>
        <w:rPr>
          <w:rFonts w:hint="eastAsia"/>
          <w:bCs/>
          <w:kern w:val="0"/>
          <w:szCs w:val="28"/>
          <w:lang w:eastAsia="zh-HK"/>
        </w:rPr>
        <w:t>有</w:t>
      </w:r>
      <w:r>
        <w:rPr>
          <w:rFonts w:hint="eastAsia"/>
          <w:bCs/>
          <w:kern w:val="0"/>
          <w:szCs w:val="28"/>
        </w:rPr>
        <w:t>關</w:t>
      </w:r>
      <w:r>
        <w:rPr>
          <w:rFonts w:hint="eastAsia"/>
          <w:bCs/>
          <w:kern w:val="0"/>
          <w:szCs w:val="28"/>
          <w:lang w:eastAsia="zh-HK"/>
        </w:rPr>
        <w:t>在港工作許可和政</w:t>
      </w:r>
      <w:r>
        <w:rPr>
          <w:rFonts w:hint="eastAsia"/>
          <w:bCs/>
          <w:kern w:val="0"/>
          <w:szCs w:val="28"/>
        </w:rPr>
        <w:t>府</w:t>
      </w:r>
      <w:r>
        <w:rPr>
          <w:rFonts w:hint="eastAsia"/>
          <w:bCs/>
          <w:kern w:val="0"/>
          <w:szCs w:val="28"/>
          <w:lang w:eastAsia="zh-HK"/>
        </w:rPr>
        <w:t>給</w:t>
      </w:r>
      <w:r>
        <w:rPr>
          <w:rFonts w:hint="eastAsia"/>
          <w:bCs/>
          <w:kern w:val="0"/>
          <w:szCs w:val="28"/>
        </w:rPr>
        <w:t>予</w:t>
      </w:r>
      <w:r>
        <w:rPr>
          <w:rFonts w:hint="eastAsia"/>
          <w:bCs/>
          <w:kern w:val="0"/>
          <w:szCs w:val="28"/>
          <w:lang w:eastAsia="zh-HK"/>
        </w:rPr>
        <w:t>的人道援</w:t>
      </w:r>
      <w:r>
        <w:rPr>
          <w:rFonts w:hint="eastAsia"/>
          <w:bCs/>
          <w:kern w:val="0"/>
          <w:szCs w:val="28"/>
        </w:rPr>
        <w:t>助</w:t>
      </w:r>
      <w:r>
        <w:rPr>
          <w:rFonts w:hint="eastAsia"/>
          <w:bCs/>
          <w:kern w:val="0"/>
          <w:szCs w:val="28"/>
          <w:lang w:eastAsia="zh-HK"/>
        </w:rPr>
        <w:t>見</w:t>
      </w:r>
      <w:r w:rsidRPr="004503F7">
        <w:rPr>
          <w:rFonts w:hint="eastAsia"/>
          <w:b/>
          <w:bCs/>
          <w:kern w:val="0"/>
          <w:szCs w:val="28"/>
          <w:lang w:eastAsia="zh-HK"/>
        </w:rPr>
        <w:t>附</w:t>
      </w:r>
      <w:r>
        <w:rPr>
          <w:b/>
          <w:bCs/>
          <w:kern w:val="0"/>
          <w:szCs w:val="28"/>
          <w:lang w:eastAsia="zh-HK"/>
        </w:rPr>
        <w:t>‍</w:t>
      </w:r>
      <w:r w:rsidRPr="004503F7">
        <w:rPr>
          <w:rFonts w:hint="eastAsia"/>
          <w:b/>
          <w:bCs/>
          <w:kern w:val="0"/>
          <w:szCs w:val="28"/>
          <w:lang w:eastAsia="zh-HK"/>
        </w:rPr>
        <w:t>件</w:t>
      </w:r>
      <w:r>
        <w:rPr>
          <w:b/>
          <w:bCs/>
          <w:kern w:val="0"/>
          <w:szCs w:val="28"/>
          <w:lang w:eastAsia="zh-HK"/>
        </w:rPr>
        <w:t>‍</w:t>
      </w:r>
      <w:r w:rsidRPr="004503F7">
        <w:rPr>
          <w:rFonts w:hint="eastAsia"/>
          <w:b/>
          <w:bCs/>
          <w:kern w:val="0"/>
          <w:szCs w:val="28"/>
        </w:rPr>
        <w:t>2H</w:t>
      </w:r>
      <w:r>
        <w:rPr>
          <w:rFonts w:hint="eastAsia"/>
          <w:bCs/>
          <w:kern w:val="0"/>
          <w:szCs w:val="28"/>
        </w:rPr>
        <w:t>。</w:t>
      </w:r>
    </w:p>
    <w:p w:rsidR="006D2061" w:rsidRDefault="006D2061" w:rsidP="008375BB">
      <w:pPr>
        <w:tabs>
          <w:tab w:val="left" w:pos="1440"/>
        </w:tabs>
        <w:snapToGrid w:val="0"/>
        <w:spacing w:line="400" w:lineRule="atLeast"/>
        <w:jc w:val="both"/>
        <w:rPr>
          <w:bCs/>
          <w:kern w:val="0"/>
          <w:szCs w:val="28"/>
          <w:u w:val="single"/>
        </w:rPr>
      </w:pPr>
    </w:p>
    <w:p w:rsidR="006D2061" w:rsidRDefault="006D2061" w:rsidP="008375BB">
      <w:pPr>
        <w:tabs>
          <w:tab w:val="left" w:pos="1440"/>
        </w:tabs>
        <w:adjustRightInd w:val="0"/>
        <w:snapToGrid w:val="0"/>
        <w:spacing w:line="400" w:lineRule="atLeast"/>
        <w:jc w:val="both"/>
        <w:rPr>
          <w:b/>
          <w:szCs w:val="28"/>
        </w:rPr>
      </w:pPr>
      <w:r w:rsidRPr="00612CEA">
        <w:rPr>
          <w:rFonts w:hint="eastAsia"/>
          <w:b/>
          <w:szCs w:val="28"/>
        </w:rPr>
        <w:t>人權機構</w:t>
      </w:r>
      <w:r w:rsidRPr="00612CEA">
        <w:rPr>
          <w:b/>
          <w:szCs w:val="28"/>
        </w:rPr>
        <w:t xml:space="preserve"> </w:t>
      </w:r>
    </w:p>
    <w:p w:rsidR="006D2061" w:rsidRDefault="006D2061" w:rsidP="008375BB">
      <w:pPr>
        <w:tabs>
          <w:tab w:val="left" w:pos="1440"/>
        </w:tabs>
        <w:adjustRightInd w:val="0"/>
        <w:snapToGrid w:val="0"/>
        <w:spacing w:line="400" w:lineRule="atLeast"/>
        <w:jc w:val="both"/>
        <w:rPr>
          <w:b/>
          <w:szCs w:val="28"/>
        </w:rPr>
      </w:pPr>
    </w:p>
    <w:p w:rsidR="006D2061" w:rsidRPr="00612CEA" w:rsidRDefault="006D2061" w:rsidP="008375BB">
      <w:pPr>
        <w:tabs>
          <w:tab w:val="left" w:pos="1440"/>
        </w:tabs>
        <w:adjustRightInd w:val="0"/>
        <w:snapToGrid w:val="0"/>
        <w:spacing w:line="400" w:lineRule="atLeast"/>
        <w:jc w:val="both"/>
        <w:rPr>
          <w:szCs w:val="28"/>
        </w:rPr>
      </w:pPr>
      <w:r w:rsidRPr="00314294">
        <w:rPr>
          <w:rFonts w:hint="eastAsia"/>
          <w:szCs w:val="28"/>
        </w:rPr>
        <w:t>2.</w:t>
      </w:r>
      <w:r>
        <w:rPr>
          <w:szCs w:val="28"/>
        </w:rPr>
        <w:t>24</w:t>
      </w:r>
      <w:r>
        <w:rPr>
          <w:szCs w:val="28"/>
        </w:rPr>
        <w:tab/>
      </w:r>
      <w:r w:rsidRPr="00314294">
        <w:rPr>
          <w:rFonts w:hint="eastAsia"/>
          <w:szCs w:val="28"/>
        </w:rPr>
        <w:t>委員會在上次審議結論</w:t>
      </w:r>
      <w:r w:rsidRPr="004503F7">
        <w:rPr>
          <w:rFonts w:hint="eastAsia"/>
          <w:szCs w:val="28"/>
        </w:rPr>
        <w:t>第</w:t>
      </w:r>
      <w:r w:rsidRPr="004503F7">
        <w:rPr>
          <w:rFonts w:hint="eastAsia"/>
          <w:szCs w:val="28"/>
        </w:rPr>
        <w:t>4</w:t>
      </w:r>
      <w:r w:rsidRPr="004503F7">
        <w:rPr>
          <w:szCs w:val="28"/>
        </w:rPr>
        <w:t>0</w:t>
      </w:r>
      <w:r w:rsidRPr="004503F7">
        <w:rPr>
          <w:rFonts w:hint="eastAsia"/>
          <w:szCs w:val="28"/>
        </w:rPr>
        <w:t>段</w:t>
      </w:r>
      <w:r w:rsidRPr="00314294">
        <w:rPr>
          <w:rFonts w:hint="eastAsia"/>
          <w:szCs w:val="28"/>
        </w:rPr>
        <w:t>中</w:t>
      </w:r>
      <w:r w:rsidRPr="00612CEA">
        <w:rPr>
          <w:rFonts w:hint="eastAsia"/>
          <w:szCs w:val="28"/>
        </w:rPr>
        <w:t>重申</w:t>
      </w:r>
      <w:r w:rsidRPr="006919F2">
        <w:rPr>
          <w:rFonts w:hint="eastAsia"/>
          <w:szCs w:val="28"/>
        </w:rPr>
        <w:t>有關成立獨立人權機構的建議，部分本地評論</w:t>
      </w:r>
      <w:r>
        <w:rPr>
          <w:rFonts w:hint="eastAsia"/>
          <w:szCs w:val="28"/>
          <w:lang w:eastAsia="zh-HK"/>
        </w:rPr>
        <w:t>者</w:t>
      </w:r>
      <w:r w:rsidRPr="006919F2">
        <w:rPr>
          <w:rFonts w:hint="eastAsia"/>
          <w:szCs w:val="28"/>
        </w:rPr>
        <w:t>支持。</w:t>
      </w:r>
    </w:p>
    <w:p w:rsidR="006D2061" w:rsidRPr="00612CEA" w:rsidRDefault="006D2061" w:rsidP="008375BB">
      <w:pPr>
        <w:tabs>
          <w:tab w:val="left" w:pos="1440"/>
        </w:tabs>
        <w:autoSpaceDE w:val="0"/>
        <w:autoSpaceDN w:val="0"/>
        <w:adjustRightInd w:val="0"/>
        <w:snapToGrid w:val="0"/>
        <w:spacing w:line="400" w:lineRule="atLeast"/>
        <w:jc w:val="both"/>
        <w:rPr>
          <w:szCs w:val="28"/>
        </w:rPr>
      </w:pPr>
    </w:p>
    <w:p w:rsidR="006D2061" w:rsidRDefault="006D2061" w:rsidP="008375BB">
      <w:pPr>
        <w:tabs>
          <w:tab w:val="left" w:pos="1440"/>
        </w:tabs>
        <w:autoSpaceDE w:val="0"/>
        <w:autoSpaceDN w:val="0"/>
        <w:adjustRightInd w:val="0"/>
        <w:snapToGrid w:val="0"/>
        <w:spacing w:line="400" w:lineRule="atLeast"/>
        <w:jc w:val="both"/>
        <w:rPr>
          <w:szCs w:val="28"/>
        </w:rPr>
      </w:pPr>
      <w:r w:rsidRPr="00612CEA">
        <w:rPr>
          <w:szCs w:val="28"/>
        </w:rPr>
        <w:t>2.</w:t>
      </w:r>
      <w:r>
        <w:rPr>
          <w:szCs w:val="28"/>
        </w:rPr>
        <w:t>25</w:t>
      </w:r>
      <w:r w:rsidRPr="00612CEA">
        <w:rPr>
          <w:szCs w:val="28"/>
        </w:rPr>
        <w:tab/>
      </w:r>
      <w:bookmarkStart w:id="1" w:name="_Hlk523063927"/>
      <w:r w:rsidRPr="006919F2">
        <w:rPr>
          <w:szCs w:val="28"/>
        </w:rPr>
        <w:t>人權在香港受到《基本法》、《香港人權法案條例》及其他相關條例充分保障，並建基於法治和司法獨立。在現行的體制下有多個法定機構協助推廣和保障各種權益，包括平機會</w:t>
      </w:r>
      <w:r w:rsidRPr="006919F2">
        <w:rPr>
          <w:rFonts w:hint="eastAsia"/>
          <w:szCs w:val="28"/>
        </w:rPr>
        <w:t>、個人資料私隱專員公署、申訴專員公署及法律援助服務。</w:t>
      </w:r>
      <w:r w:rsidRPr="006919F2">
        <w:rPr>
          <w:szCs w:val="28"/>
        </w:rPr>
        <w:t>政府在推廣和保障人權方面的表現，透過定期向聯合國提交報告而受到公眾</w:t>
      </w:r>
      <w:r>
        <w:rPr>
          <w:rFonts w:hint="eastAsia"/>
          <w:szCs w:val="28"/>
          <w:lang w:eastAsia="zh-HK"/>
        </w:rPr>
        <w:t>、</w:t>
      </w:r>
      <w:r w:rsidRPr="006919F2">
        <w:rPr>
          <w:szCs w:val="28"/>
        </w:rPr>
        <w:t>立法會、傳媒及非政府</w:t>
      </w:r>
      <w:r w:rsidRPr="006919F2">
        <w:rPr>
          <w:rFonts w:hint="eastAsia"/>
          <w:szCs w:val="28"/>
        </w:rPr>
        <w:t>機構</w:t>
      </w:r>
      <w:r w:rsidRPr="006919F2">
        <w:rPr>
          <w:szCs w:val="28"/>
        </w:rPr>
        <w:t>的監察。</w:t>
      </w:r>
    </w:p>
    <w:p w:rsidR="006D2061" w:rsidRDefault="006D2061" w:rsidP="008375BB">
      <w:pPr>
        <w:tabs>
          <w:tab w:val="left" w:pos="1440"/>
        </w:tabs>
        <w:autoSpaceDE w:val="0"/>
        <w:autoSpaceDN w:val="0"/>
        <w:adjustRightInd w:val="0"/>
        <w:snapToGrid w:val="0"/>
        <w:spacing w:line="400" w:lineRule="atLeast"/>
        <w:jc w:val="both"/>
        <w:rPr>
          <w:szCs w:val="28"/>
        </w:rPr>
      </w:pPr>
    </w:p>
    <w:p w:rsidR="006D2061" w:rsidRDefault="006D2061" w:rsidP="008375BB">
      <w:pPr>
        <w:tabs>
          <w:tab w:val="left" w:pos="1440"/>
        </w:tabs>
        <w:autoSpaceDE w:val="0"/>
        <w:autoSpaceDN w:val="0"/>
        <w:adjustRightInd w:val="0"/>
        <w:snapToGrid w:val="0"/>
        <w:spacing w:line="400" w:lineRule="atLeast"/>
        <w:jc w:val="both"/>
        <w:rPr>
          <w:szCs w:val="28"/>
        </w:rPr>
      </w:pPr>
      <w:r>
        <w:rPr>
          <w:szCs w:val="28"/>
        </w:rPr>
        <w:t>2.26</w:t>
      </w:r>
      <w:r>
        <w:rPr>
          <w:szCs w:val="28"/>
        </w:rPr>
        <w:tab/>
      </w:r>
      <w:r w:rsidRPr="006919F2">
        <w:rPr>
          <w:szCs w:val="28"/>
        </w:rPr>
        <w:t>政府認為現有機制行之有效，</w:t>
      </w:r>
      <w:r>
        <w:rPr>
          <w:rFonts w:hint="eastAsia"/>
          <w:szCs w:val="28"/>
          <w:lang w:eastAsia="zh-HK"/>
        </w:rPr>
        <w:t>毋須</w:t>
      </w:r>
      <w:r w:rsidRPr="006919F2">
        <w:rPr>
          <w:szCs w:val="28"/>
        </w:rPr>
        <w:t>另設法定人權機構，重複現有機制</w:t>
      </w:r>
      <w:r w:rsidRPr="006919F2">
        <w:rPr>
          <w:rFonts w:hint="eastAsia"/>
          <w:szCs w:val="28"/>
        </w:rPr>
        <w:t>的功能</w:t>
      </w:r>
      <w:r w:rsidRPr="006919F2">
        <w:rPr>
          <w:szCs w:val="28"/>
        </w:rPr>
        <w:t>。</w:t>
      </w:r>
      <w:bookmarkEnd w:id="1"/>
    </w:p>
    <w:p w:rsidR="006D2061" w:rsidRPr="00827D8C" w:rsidRDefault="006D2061" w:rsidP="008375BB">
      <w:pPr>
        <w:tabs>
          <w:tab w:val="left" w:pos="1440"/>
        </w:tabs>
        <w:autoSpaceDE w:val="0"/>
        <w:autoSpaceDN w:val="0"/>
        <w:adjustRightInd w:val="0"/>
        <w:snapToGrid w:val="0"/>
        <w:spacing w:line="400" w:lineRule="atLeast"/>
        <w:jc w:val="both"/>
        <w:rPr>
          <w:szCs w:val="28"/>
          <w:lang w:val="en-GB"/>
        </w:rPr>
      </w:pPr>
    </w:p>
    <w:p w:rsidR="006940BF" w:rsidRPr="006940BF" w:rsidRDefault="006940BF">
      <w:pPr>
        <w:widowControl/>
        <w:rPr>
          <w:b/>
          <w:szCs w:val="28"/>
        </w:rPr>
      </w:pPr>
      <w:r w:rsidRPr="006940BF">
        <w:rPr>
          <w:b/>
          <w:szCs w:val="28"/>
        </w:rPr>
        <w:br w:type="page"/>
      </w:r>
    </w:p>
    <w:p w:rsidR="006D2061" w:rsidRPr="00D546E9" w:rsidRDefault="006D2061" w:rsidP="008375BB">
      <w:pPr>
        <w:tabs>
          <w:tab w:val="left" w:pos="1440"/>
        </w:tabs>
        <w:snapToGrid w:val="0"/>
        <w:spacing w:line="400" w:lineRule="atLeast"/>
        <w:jc w:val="both"/>
        <w:rPr>
          <w:b/>
          <w:szCs w:val="28"/>
          <w:u w:val="single"/>
        </w:rPr>
      </w:pPr>
      <w:r w:rsidRPr="00D546E9">
        <w:rPr>
          <w:b/>
          <w:szCs w:val="28"/>
          <w:u w:val="single"/>
        </w:rPr>
        <w:lastRenderedPageBreak/>
        <w:t>第三條</w:t>
      </w:r>
      <w:r w:rsidRPr="00D546E9">
        <w:rPr>
          <w:rFonts w:hint="eastAsia"/>
          <w:b/>
          <w:szCs w:val="28"/>
          <w:u w:val="single"/>
        </w:rPr>
        <w:t>：</w:t>
      </w:r>
      <w:r w:rsidRPr="00D546E9">
        <w:rPr>
          <w:b/>
          <w:szCs w:val="28"/>
          <w:u w:val="single"/>
        </w:rPr>
        <w:t>男女享有平等權利</w:t>
      </w:r>
    </w:p>
    <w:p w:rsidR="006D2061" w:rsidRPr="00D546E9" w:rsidRDefault="006D2061" w:rsidP="008375BB">
      <w:pPr>
        <w:tabs>
          <w:tab w:val="left" w:pos="1440"/>
        </w:tabs>
        <w:snapToGrid w:val="0"/>
        <w:spacing w:line="400" w:lineRule="atLeast"/>
        <w:jc w:val="both"/>
        <w:rPr>
          <w:b/>
          <w:szCs w:val="28"/>
        </w:rPr>
      </w:pPr>
    </w:p>
    <w:p w:rsidR="006D2061" w:rsidRPr="00D546E9" w:rsidRDefault="006D2061" w:rsidP="008375BB">
      <w:pPr>
        <w:tabs>
          <w:tab w:val="left" w:pos="1440"/>
        </w:tabs>
        <w:snapToGrid w:val="0"/>
        <w:spacing w:line="400" w:lineRule="atLeast"/>
        <w:jc w:val="both"/>
        <w:rPr>
          <w:b/>
          <w:szCs w:val="28"/>
        </w:rPr>
      </w:pPr>
      <w:r w:rsidRPr="00D546E9">
        <w:rPr>
          <w:b/>
          <w:szCs w:val="28"/>
        </w:rPr>
        <w:t>《消除對婦女一切形式歧視公約》及婦女事務委員會</w:t>
      </w:r>
    </w:p>
    <w:p w:rsidR="006D2061" w:rsidRPr="00D546E9" w:rsidRDefault="006D2061" w:rsidP="008375BB">
      <w:pPr>
        <w:tabs>
          <w:tab w:val="left" w:pos="1440"/>
        </w:tabs>
        <w:snapToGrid w:val="0"/>
        <w:spacing w:line="400" w:lineRule="atLeast"/>
        <w:jc w:val="both"/>
        <w:rPr>
          <w:b/>
          <w:szCs w:val="28"/>
        </w:rPr>
      </w:pPr>
    </w:p>
    <w:p w:rsidR="006D2061" w:rsidRPr="00D546E9" w:rsidRDefault="006D2061" w:rsidP="008375BB">
      <w:pPr>
        <w:tabs>
          <w:tab w:val="left" w:pos="1440"/>
        </w:tabs>
        <w:snapToGrid w:val="0"/>
        <w:spacing w:line="400" w:lineRule="atLeast"/>
        <w:jc w:val="both"/>
        <w:rPr>
          <w:szCs w:val="28"/>
        </w:rPr>
      </w:pPr>
      <w:r w:rsidRPr="00D546E9">
        <w:rPr>
          <w:szCs w:val="28"/>
        </w:rPr>
        <w:t>3.1</w:t>
      </w:r>
      <w:r w:rsidRPr="00D546E9">
        <w:rPr>
          <w:szCs w:val="28"/>
        </w:rPr>
        <w:tab/>
      </w:r>
      <w:r w:rsidRPr="00D56835">
        <w:rPr>
          <w:rFonts w:hint="eastAsia"/>
          <w:szCs w:val="28"/>
        </w:rPr>
        <w:t>我們為本報告定稿時，同時已準備香港特區根據《消除對婦女一切形式歧視公約》提交的第四次報告。</w:t>
      </w:r>
      <w:r>
        <w:rPr>
          <w:rFonts w:hint="eastAsia"/>
          <w:szCs w:val="28"/>
          <w:lang w:eastAsia="zh-HK"/>
        </w:rPr>
        <w:t>此</w:t>
      </w:r>
      <w:r w:rsidRPr="00D56835">
        <w:rPr>
          <w:rFonts w:hint="eastAsia"/>
          <w:szCs w:val="28"/>
        </w:rPr>
        <w:t>報告將納入在國家根據該公約提交的報告內。</w:t>
      </w:r>
    </w:p>
    <w:p w:rsidR="006D2061" w:rsidRPr="00D546E9" w:rsidRDefault="006D2061" w:rsidP="008375BB">
      <w:pPr>
        <w:tabs>
          <w:tab w:val="left" w:pos="1440"/>
        </w:tabs>
        <w:snapToGrid w:val="0"/>
        <w:spacing w:line="400" w:lineRule="atLeast"/>
        <w:jc w:val="both"/>
        <w:rPr>
          <w:szCs w:val="28"/>
        </w:rPr>
      </w:pPr>
    </w:p>
    <w:p w:rsidR="006D2061" w:rsidRPr="00D546E9" w:rsidRDefault="006D2061" w:rsidP="008375BB">
      <w:pPr>
        <w:tabs>
          <w:tab w:val="left" w:pos="1440"/>
        </w:tabs>
        <w:snapToGrid w:val="0"/>
        <w:spacing w:line="400" w:lineRule="atLeast"/>
        <w:jc w:val="both"/>
        <w:rPr>
          <w:szCs w:val="28"/>
          <w:lang w:val="en-GB"/>
        </w:rPr>
      </w:pPr>
      <w:r w:rsidRPr="00D546E9">
        <w:rPr>
          <w:szCs w:val="28"/>
        </w:rPr>
        <w:t>3.2</w:t>
      </w:r>
      <w:r w:rsidRPr="00D546E9">
        <w:rPr>
          <w:szCs w:val="28"/>
        </w:rPr>
        <w:tab/>
      </w:r>
      <w:r w:rsidRPr="00D56835">
        <w:rPr>
          <w:rFonts w:hint="eastAsia"/>
          <w:szCs w:val="28"/>
        </w:rPr>
        <w:t>自上次報告以來，</w:t>
      </w:r>
      <w:r w:rsidRPr="00073B52">
        <w:rPr>
          <w:rFonts w:hint="eastAsia"/>
          <w:szCs w:val="28"/>
        </w:rPr>
        <w:t>婦女事務委員會</w:t>
      </w:r>
      <w:r>
        <w:rPr>
          <w:rFonts w:hint="eastAsia"/>
          <w:szCs w:val="28"/>
        </w:rPr>
        <w:t>（</w:t>
      </w:r>
      <w:r w:rsidRPr="00DE0D20">
        <w:rPr>
          <w:rFonts w:hint="eastAsia"/>
          <w:szCs w:val="28"/>
        </w:rPr>
        <w:t>婦委會</w:t>
      </w:r>
      <w:r>
        <w:rPr>
          <w:rFonts w:hint="eastAsia"/>
          <w:szCs w:val="28"/>
        </w:rPr>
        <w:t>）</w:t>
      </w:r>
      <w:r w:rsidRPr="00D56835">
        <w:rPr>
          <w:rFonts w:hint="eastAsia"/>
          <w:szCs w:val="28"/>
        </w:rPr>
        <w:t>已加強推動婦女發展、婦女參與公共事務和性別主流化的工作。婦委會在</w:t>
      </w:r>
      <w:r w:rsidRPr="00D56835">
        <w:rPr>
          <w:rFonts w:hint="eastAsia"/>
          <w:szCs w:val="28"/>
        </w:rPr>
        <w:t>2018</w:t>
      </w:r>
      <w:r w:rsidRPr="00D56835">
        <w:rPr>
          <w:rFonts w:hint="eastAsia"/>
          <w:szCs w:val="28"/>
        </w:rPr>
        <w:t>年重組架構及檢視工作優次，以將工作和資源集中在相關範疇。婦委會的工作撮要載於</w:t>
      </w:r>
      <w:r w:rsidRPr="00D56835">
        <w:rPr>
          <w:rFonts w:hint="eastAsia"/>
          <w:b/>
          <w:szCs w:val="28"/>
        </w:rPr>
        <w:t>附件</w:t>
      </w:r>
      <w:r w:rsidRPr="00D56835">
        <w:rPr>
          <w:rFonts w:hint="eastAsia"/>
          <w:b/>
          <w:szCs w:val="28"/>
        </w:rPr>
        <w:t>3A</w:t>
      </w:r>
      <w:r w:rsidRPr="00D56835">
        <w:rPr>
          <w:rFonts w:hint="eastAsia"/>
          <w:szCs w:val="28"/>
        </w:rPr>
        <w:t>。</w:t>
      </w:r>
    </w:p>
    <w:p w:rsidR="006D2061" w:rsidRPr="00D546E9" w:rsidRDefault="006D2061" w:rsidP="008375BB">
      <w:pPr>
        <w:tabs>
          <w:tab w:val="left" w:pos="1440"/>
        </w:tabs>
        <w:snapToGrid w:val="0"/>
        <w:spacing w:line="400" w:lineRule="atLeast"/>
        <w:jc w:val="both"/>
        <w:rPr>
          <w:szCs w:val="28"/>
          <w:lang w:val="en-GB"/>
        </w:rPr>
      </w:pPr>
    </w:p>
    <w:p w:rsidR="006D2061" w:rsidRPr="00D546E9" w:rsidRDefault="006D2061" w:rsidP="008375BB">
      <w:pPr>
        <w:tabs>
          <w:tab w:val="left" w:pos="1440"/>
        </w:tabs>
        <w:snapToGrid w:val="0"/>
        <w:spacing w:line="400" w:lineRule="atLeast"/>
        <w:jc w:val="both"/>
        <w:rPr>
          <w:szCs w:val="28"/>
        </w:rPr>
      </w:pPr>
      <w:r w:rsidRPr="00D546E9">
        <w:rPr>
          <w:szCs w:val="28"/>
        </w:rPr>
        <w:t>3.3</w:t>
      </w:r>
      <w:r w:rsidRPr="00D546E9">
        <w:rPr>
          <w:szCs w:val="28"/>
        </w:rPr>
        <w:tab/>
      </w:r>
      <w:r w:rsidRPr="00D56835">
        <w:rPr>
          <w:rFonts w:hint="eastAsia"/>
          <w:szCs w:val="28"/>
        </w:rPr>
        <w:t>婦委會的</w:t>
      </w:r>
      <w:r>
        <w:rPr>
          <w:rFonts w:hint="eastAsia"/>
          <w:szCs w:val="28"/>
          <w:lang w:eastAsia="zh-HK"/>
        </w:rPr>
        <w:t>資</w:t>
      </w:r>
      <w:r>
        <w:rPr>
          <w:rFonts w:hint="eastAsia"/>
          <w:szCs w:val="28"/>
        </w:rPr>
        <w:t>源</w:t>
      </w:r>
      <w:r w:rsidRPr="00D56835">
        <w:rPr>
          <w:rFonts w:hint="eastAsia"/>
          <w:szCs w:val="28"/>
        </w:rPr>
        <w:t>由政府提供，並由勞福局支援</w:t>
      </w:r>
      <w:r>
        <w:rPr>
          <w:rFonts w:hint="eastAsia"/>
          <w:szCs w:val="28"/>
          <w:lang w:eastAsia="zh-HK"/>
        </w:rPr>
        <w:t>工</w:t>
      </w:r>
      <w:r>
        <w:rPr>
          <w:rFonts w:hint="eastAsia"/>
          <w:szCs w:val="28"/>
        </w:rPr>
        <w:t>作</w:t>
      </w:r>
      <w:r w:rsidRPr="00D56835">
        <w:rPr>
          <w:rFonts w:hint="eastAsia"/>
          <w:szCs w:val="28"/>
        </w:rPr>
        <w:t>。勞福局在這方面的實際開支由</w:t>
      </w:r>
      <w:r w:rsidRPr="00D56835">
        <w:rPr>
          <w:rFonts w:hint="eastAsia"/>
          <w:szCs w:val="28"/>
        </w:rPr>
        <w:t>2011-12</w:t>
      </w:r>
      <w:r w:rsidRPr="00D56835">
        <w:rPr>
          <w:rFonts w:hint="eastAsia"/>
          <w:szCs w:val="28"/>
        </w:rPr>
        <w:t>年度的</w:t>
      </w:r>
      <w:r w:rsidRPr="00D56835">
        <w:rPr>
          <w:rFonts w:hint="eastAsia"/>
          <w:szCs w:val="28"/>
        </w:rPr>
        <w:t>2,480</w:t>
      </w:r>
      <w:r w:rsidRPr="00D56835">
        <w:rPr>
          <w:rFonts w:hint="eastAsia"/>
          <w:szCs w:val="28"/>
        </w:rPr>
        <w:t>萬元增加約</w:t>
      </w:r>
      <w:r w:rsidRPr="00D56835">
        <w:rPr>
          <w:rFonts w:hint="eastAsia"/>
          <w:szCs w:val="28"/>
        </w:rPr>
        <w:t>27.4</w:t>
      </w:r>
      <w:r>
        <w:rPr>
          <w:rFonts w:hint="eastAsia"/>
          <w:szCs w:val="28"/>
        </w:rPr>
        <w:t>%</w:t>
      </w:r>
      <w:r w:rsidRPr="00D56835">
        <w:rPr>
          <w:rFonts w:hint="eastAsia"/>
          <w:szCs w:val="28"/>
        </w:rPr>
        <w:t>至</w:t>
      </w:r>
      <w:r>
        <w:rPr>
          <w:rFonts w:hint="eastAsia"/>
          <w:szCs w:val="28"/>
        </w:rPr>
        <w:t>2017</w:t>
      </w:r>
      <w:r w:rsidRPr="00D56835">
        <w:rPr>
          <w:rFonts w:hint="eastAsia"/>
          <w:szCs w:val="28"/>
        </w:rPr>
        <w:t>-18</w:t>
      </w:r>
      <w:r w:rsidRPr="00D56835">
        <w:rPr>
          <w:rFonts w:hint="eastAsia"/>
          <w:szCs w:val="28"/>
        </w:rPr>
        <w:t>年度的約</w:t>
      </w:r>
      <w:r w:rsidRPr="00D56835">
        <w:rPr>
          <w:rFonts w:hint="eastAsia"/>
          <w:szCs w:val="28"/>
        </w:rPr>
        <w:t>3,160</w:t>
      </w:r>
      <w:r w:rsidRPr="00D56835">
        <w:rPr>
          <w:rFonts w:hint="eastAsia"/>
          <w:szCs w:val="28"/>
        </w:rPr>
        <w:t>萬元。</w:t>
      </w:r>
    </w:p>
    <w:p w:rsidR="006D2061" w:rsidRDefault="006D2061" w:rsidP="008375BB">
      <w:pPr>
        <w:tabs>
          <w:tab w:val="left" w:pos="1440"/>
        </w:tabs>
        <w:autoSpaceDE w:val="0"/>
        <w:autoSpaceDN w:val="0"/>
        <w:adjustRightInd w:val="0"/>
        <w:snapToGrid w:val="0"/>
        <w:spacing w:line="400" w:lineRule="atLeast"/>
        <w:jc w:val="both"/>
        <w:rPr>
          <w:rFonts w:cs="SimSun"/>
          <w:kern w:val="0"/>
          <w:szCs w:val="26"/>
        </w:rPr>
      </w:pPr>
    </w:p>
    <w:p w:rsidR="006D2061" w:rsidRDefault="006D2061" w:rsidP="008375BB">
      <w:pPr>
        <w:tabs>
          <w:tab w:val="left" w:pos="1440"/>
        </w:tabs>
        <w:autoSpaceDE w:val="0"/>
        <w:autoSpaceDN w:val="0"/>
        <w:adjustRightInd w:val="0"/>
        <w:snapToGrid w:val="0"/>
        <w:spacing w:line="400" w:lineRule="atLeast"/>
        <w:jc w:val="both"/>
        <w:rPr>
          <w:b/>
          <w:szCs w:val="28"/>
        </w:rPr>
      </w:pPr>
      <w:r w:rsidRPr="00D56835">
        <w:rPr>
          <w:rFonts w:hint="eastAsia"/>
          <w:b/>
          <w:szCs w:val="28"/>
        </w:rPr>
        <w:t>性別歧視及性騷擾的法律保障</w:t>
      </w:r>
    </w:p>
    <w:p w:rsidR="006D2061" w:rsidRPr="00D546E9" w:rsidRDefault="006D2061" w:rsidP="008375BB">
      <w:pPr>
        <w:tabs>
          <w:tab w:val="left" w:pos="1440"/>
        </w:tabs>
        <w:autoSpaceDE w:val="0"/>
        <w:autoSpaceDN w:val="0"/>
        <w:adjustRightInd w:val="0"/>
        <w:snapToGrid w:val="0"/>
        <w:spacing w:line="400" w:lineRule="atLeast"/>
        <w:jc w:val="both"/>
        <w:rPr>
          <w:rFonts w:cs="SimSun"/>
          <w:kern w:val="0"/>
          <w:szCs w:val="26"/>
        </w:rPr>
      </w:pPr>
    </w:p>
    <w:p w:rsidR="006D2061" w:rsidRDefault="006D2061" w:rsidP="008375BB">
      <w:pPr>
        <w:tabs>
          <w:tab w:val="left" w:pos="1440"/>
        </w:tabs>
        <w:autoSpaceDE w:val="0"/>
        <w:autoSpaceDN w:val="0"/>
        <w:adjustRightInd w:val="0"/>
        <w:snapToGrid w:val="0"/>
        <w:spacing w:line="400" w:lineRule="atLeast"/>
        <w:jc w:val="both"/>
        <w:rPr>
          <w:rFonts w:cs="SimSun"/>
          <w:kern w:val="0"/>
          <w:szCs w:val="26"/>
        </w:rPr>
      </w:pPr>
      <w:r>
        <w:rPr>
          <w:rFonts w:cs="SimSun" w:hint="eastAsia"/>
          <w:kern w:val="0"/>
          <w:szCs w:val="26"/>
        </w:rPr>
        <w:t>3.4</w:t>
      </w:r>
      <w:r>
        <w:rPr>
          <w:rFonts w:cs="SimSun"/>
          <w:kern w:val="0"/>
          <w:szCs w:val="26"/>
        </w:rPr>
        <w:tab/>
      </w:r>
      <w:r w:rsidRPr="00D56835">
        <w:rPr>
          <w:rFonts w:cs="SimSun" w:hint="eastAsia"/>
          <w:kern w:val="0"/>
          <w:szCs w:val="26"/>
        </w:rPr>
        <w:t>政府在</w:t>
      </w:r>
      <w:r w:rsidRPr="00D56835">
        <w:rPr>
          <w:rFonts w:cs="SimSun" w:hint="eastAsia"/>
          <w:kern w:val="0"/>
          <w:szCs w:val="26"/>
        </w:rPr>
        <w:t>2014</w:t>
      </w:r>
      <w:r w:rsidRPr="00D56835">
        <w:rPr>
          <w:rFonts w:cs="SimSun" w:hint="eastAsia"/>
          <w:kern w:val="0"/>
          <w:szCs w:val="26"/>
        </w:rPr>
        <w:t>年擴闊了</w:t>
      </w:r>
      <w:bookmarkStart w:id="2" w:name="_Hlk4950826"/>
      <w:r w:rsidRPr="00D56835">
        <w:rPr>
          <w:rFonts w:cs="SimSun" w:hint="eastAsia"/>
          <w:kern w:val="0"/>
          <w:szCs w:val="26"/>
        </w:rPr>
        <w:t>《性別歧視條例》</w:t>
      </w:r>
      <w:bookmarkEnd w:id="2"/>
      <w:r w:rsidRPr="00D56835">
        <w:rPr>
          <w:rFonts w:cs="SimSun" w:hint="eastAsia"/>
          <w:kern w:val="0"/>
          <w:szCs w:val="26"/>
        </w:rPr>
        <w:t>的保障及適用的地域範圍，把顧客向提供或可能提供貨品、設施或服務的人士作出性騷擾，定為違法。相關條文亦延伸至保障在香港註冊的船舶和飛機於香港境外發生的騷擾個案。</w:t>
      </w:r>
      <w:r>
        <w:rPr>
          <w:rFonts w:cs="SimSun" w:hint="eastAsia"/>
          <w:kern w:val="0"/>
          <w:szCs w:val="26"/>
          <w:lang w:eastAsia="zh-HK"/>
        </w:rPr>
        <w:t>此</w:t>
      </w:r>
      <w:r w:rsidRPr="00D56835">
        <w:rPr>
          <w:rFonts w:cs="SimSun" w:hint="eastAsia"/>
          <w:kern w:val="0"/>
          <w:szCs w:val="26"/>
        </w:rPr>
        <w:t>修訂為香港服務業人士提供保障，包括超過</w:t>
      </w:r>
      <w:r w:rsidRPr="00D56835">
        <w:rPr>
          <w:rFonts w:cs="SimSun" w:hint="eastAsia"/>
          <w:kern w:val="0"/>
          <w:szCs w:val="26"/>
        </w:rPr>
        <w:t>45</w:t>
      </w:r>
      <w:r>
        <w:rPr>
          <w:rFonts w:cs="SimSun"/>
          <w:kern w:val="0"/>
          <w:szCs w:val="26"/>
        </w:rPr>
        <w:t> </w:t>
      </w:r>
      <w:r w:rsidRPr="00D56835">
        <w:rPr>
          <w:rFonts w:cs="SimSun" w:hint="eastAsia"/>
          <w:kern w:val="0"/>
          <w:szCs w:val="26"/>
        </w:rPr>
        <w:t>000</w:t>
      </w:r>
      <w:r w:rsidRPr="00D56835">
        <w:rPr>
          <w:rFonts w:cs="SimSun" w:hint="eastAsia"/>
          <w:kern w:val="0"/>
          <w:szCs w:val="26"/>
        </w:rPr>
        <w:t>名護士、</w:t>
      </w:r>
      <w:r w:rsidRPr="00D56835">
        <w:rPr>
          <w:rFonts w:cs="SimSun" w:hint="eastAsia"/>
          <w:kern w:val="0"/>
          <w:szCs w:val="26"/>
        </w:rPr>
        <w:t>12</w:t>
      </w:r>
      <w:r>
        <w:rPr>
          <w:rFonts w:cs="SimSun"/>
          <w:kern w:val="0"/>
          <w:szCs w:val="26"/>
        </w:rPr>
        <w:t> </w:t>
      </w:r>
      <w:r w:rsidRPr="00D56835">
        <w:rPr>
          <w:rFonts w:cs="SimSun" w:hint="eastAsia"/>
          <w:kern w:val="0"/>
          <w:szCs w:val="26"/>
        </w:rPr>
        <w:t>000</w:t>
      </w:r>
      <w:r w:rsidRPr="00D56835">
        <w:rPr>
          <w:rFonts w:cs="SimSun" w:hint="eastAsia"/>
          <w:kern w:val="0"/>
          <w:szCs w:val="26"/>
        </w:rPr>
        <w:t>名空中服務員、</w:t>
      </w:r>
      <w:r w:rsidRPr="00D56835">
        <w:rPr>
          <w:rFonts w:cs="SimSun" w:hint="eastAsia"/>
          <w:kern w:val="0"/>
          <w:szCs w:val="26"/>
        </w:rPr>
        <w:t>23</w:t>
      </w:r>
      <w:r w:rsidRPr="00D56835">
        <w:rPr>
          <w:rFonts w:cs="SimSun" w:hint="eastAsia"/>
          <w:kern w:val="0"/>
          <w:szCs w:val="26"/>
        </w:rPr>
        <w:t>萬名餐飲服務員工及</w:t>
      </w:r>
      <w:r w:rsidRPr="00D56835">
        <w:rPr>
          <w:rFonts w:cs="SimSun" w:hint="eastAsia"/>
          <w:kern w:val="0"/>
          <w:szCs w:val="26"/>
        </w:rPr>
        <w:t>26</w:t>
      </w:r>
      <w:r w:rsidRPr="00D56835">
        <w:rPr>
          <w:rFonts w:cs="SimSun" w:hint="eastAsia"/>
          <w:kern w:val="0"/>
          <w:szCs w:val="26"/>
        </w:rPr>
        <w:t>萬名零售業員工。</w:t>
      </w:r>
    </w:p>
    <w:p w:rsidR="006D2061" w:rsidRDefault="006D2061" w:rsidP="008375BB">
      <w:pPr>
        <w:tabs>
          <w:tab w:val="left" w:pos="1440"/>
        </w:tabs>
        <w:autoSpaceDE w:val="0"/>
        <w:autoSpaceDN w:val="0"/>
        <w:adjustRightInd w:val="0"/>
        <w:snapToGrid w:val="0"/>
        <w:spacing w:line="400" w:lineRule="atLeast"/>
        <w:jc w:val="both"/>
        <w:rPr>
          <w:rFonts w:cs="SimSun"/>
          <w:kern w:val="0"/>
          <w:szCs w:val="26"/>
        </w:rPr>
      </w:pPr>
    </w:p>
    <w:p w:rsidR="006D2061" w:rsidRPr="007476B6" w:rsidRDefault="006D2061" w:rsidP="008375BB">
      <w:pPr>
        <w:tabs>
          <w:tab w:val="left" w:pos="1440"/>
        </w:tabs>
        <w:autoSpaceDE w:val="0"/>
        <w:autoSpaceDN w:val="0"/>
        <w:adjustRightInd w:val="0"/>
        <w:snapToGrid w:val="0"/>
        <w:spacing w:line="400" w:lineRule="atLeast"/>
        <w:jc w:val="both"/>
        <w:rPr>
          <w:rFonts w:cs="SimSun"/>
          <w:kern w:val="0"/>
          <w:szCs w:val="26"/>
        </w:rPr>
      </w:pPr>
      <w:r>
        <w:rPr>
          <w:rFonts w:cs="SimSun" w:hint="eastAsia"/>
          <w:kern w:val="0"/>
          <w:szCs w:val="26"/>
        </w:rPr>
        <w:t>3.5</w:t>
      </w:r>
      <w:r>
        <w:rPr>
          <w:rFonts w:cs="SimSun"/>
          <w:kern w:val="0"/>
          <w:szCs w:val="26"/>
        </w:rPr>
        <w:tab/>
      </w:r>
      <w:r w:rsidRPr="007476B6">
        <w:rPr>
          <w:rFonts w:cs="SimSun" w:hint="eastAsia"/>
          <w:kern w:val="0"/>
          <w:szCs w:val="26"/>
        </w:rPr>
        <w:t>政府在</w:t>
      </w:r>
      <w:r w:rsidRPr="007476B6">
        <w:rPr>
          <w:rFonts w:cs="SimSun" w:hint="eastAsia"/>
          <w:kern w:val="0"/>
          <w:szCs w:val="26"/>
        </w:rPr>
        <w:t>2018</w:t>
      </w:r>
      <w:r w:rsidRPr="007476B6">
        <w:rPr>
          <w:rFonts w:cs="SimSun" w:hint="eastAsia"/>
          <w:kern w:val="0"/>
          <w:szCs w:val="26"/>
        </w:rPr>
        <w:t>年提交</w:t>
      </w:r>
      <w:r>
        <w:rPr>
          <w:rFonts w:cs="SimSun" w:hint="eastAsia"/>
          <w:kern w:val="0"/>
          <w:szCs w:val="26"/>
          <w:lang w:eastAsia="zh-HK"/>
        </w:rPr>
        <w:t>的</w:t>
      </w:r>
      <w:r w:rsidRPr="007476B6">
        <w:rPr>
          <w:rFonts w:cs="SimSun" w:hint="eastAsia"/>
          <w:kern w:val="0"/>
          <w:szCs w:val="26"/>
        </w:rPr>
        <w:t>《</w:t>
      </w:r>
      <w:r w:rsidRPr="007476B6">
        <w:rPr>
          <w:rFonts w:cs="SimSun" w:hint="eastAsia"/>
          <w:kern w:val="0"/>
          <w:szCs w:val="26"/>
        </w:rPr>
        <w:t>2018</w:t>
      </w:r>
      <w:r w:rsidRPr="007476B6">
        <w:rPr>
          <w:rFonts w:cs="SimSun" w:hint="eastAsia"/>
          <w:kern w:val="0"/>
          <w:szCs w:val="26"/>
        </w:rPr>
        <w:t>年歧視法例（雜項修訂）</w:t>
      </w:r>
      <w:bookmarkStart w:id="3" w:name="_Hlk4951576"/>
      <w:r w:rsidRPr="007476B6">
        <w:rPr>
          <w:rFonts w:cs="SimSun" w:hint="eastAsia"/>
          <w:kern w:val="0"/>
          <w:szCs w:val="26"/>
        </w:rPr>
        <w:t>條例草案</w:t>
      </w:r>
      <w:bookmarkEnd w:id="3"/>
      <w:r w:rsidRPr="007476B6">
        <w:rPr>
          <w:rFonts w:cs="SimSun" w:hint="eastAsia"/>
          <w:kern w:val="0"/>
          <w:szCs w:val="26"/>
        </w:rPr>
        <w:t>》明文禁止對餵哺母乳的女性的歧視，及擴闊在共同工作間被性騷擾的法律保障。</w:t>
      </w:r>
    </w:p>
    <w:p w:rsidR="006D2061" w:rsidRDefault="006D2061" w:rsidP="008375BB">
      <w:pPr>
        <w:tabs>
          <w:tab w:val="left" w:pos="1440"/>
        </w:tabs>
        <w:autoSpaceDE w:val="0"/>
        <w:autoSpaceDN w:val="0"/>
        <w:adjustRightInd w:val="0"/>
        <w:snapToGrid w:val="0"/>
        <w:spacing w:line="400" w:lineRule="atLeast"/>
        <w:jc w:val="both"/>
        <w:rPr>
          <w:b/>
          <w:szCs w:val="28"/>
        </w:rPr>
      </w:pPr>
    </w:p>
    <w:p w:rsidR="006D2061" w:rsidRDefault="006D2061" w:rsidP="008375BB">
      <w:pPr>
        <w:tabs>
          <w:tab w:val="left" w:pos="1440"/>
        </w:tabs>
        <w:autoSpaceDE w:val="0"/>
        <w:autoSpaceDN w:val="0"/>
        <w:adjustRightInd w:val="0"/>
        <w:snapToGrid w:val="0"/>
        <w:spacing w:line="400" w:lineRule="atLeast"/>
        <w:jc w:val="both"/>
        <w:rPr>
          <w:szCs w:val="28"/>
        </w:rPr>
      </w:pPr>
      <w:r w:rsidRPr="001219E2">
        <w:rPr>
          <w:rFonts w:hint="eastAsia"/>
          <w:b/>
          <w:szCs w:val="28"/>
          <w:lang w:val="en-GB"/>
        </w:rPr>
        <w:t>香港年金計劃</w:t>
      </w:r>
    </w:p>
    <w:p w:rsidR="006D2061" w:rsidRDefault="006D2061" w:rsidP="008375BB">
      <w:pPr>
        <w:tabs>
          <w:tab w:val="left" w:pos="1440"/>
        </w:tabs>
        <w:autoSpaceDE w:val="0"/>
        <w:autoSpaceDN w:val="0"/>
        <w:adjustRightInd w:val="0"/>
        <w:snapToGrid w:val="0"/>
        <w:spacing w:line="400" w:lineRule="atLeast"/>
        <w:jc w:val="both"/>
        <w:rPr>
          <w:szCs w:val="28"/>
        </w:rPr>
      </w:pPr>
    </w:p>
    <w:p w:rsidR="006D2061" w:rsidRDefault="006D2061" w:rsidP="008375BB">
      <w:pPr>
        <w:tabs>
          <w:tab w:val="left" w:pos="1440"/>
        </w:tabs>
        <w:autoSpaceDE w:val="0"/>
        <w:autoSpaceDN w:val="0"/>
        <w:adjustRightInd w:val="0"/>
        <w:snapToGrid w:val="0"/>
        <w:spacing w:line="400" w:lineRule="atLeast"/>
        <w:jc w:val="both"/>
        <w:rPr>
          <w:szCs w:val="28"/>
          <w:lang w:val="en-GB"/>
        </w:rPr>
      </w:pPr>
      <w:r>
        <w:rPr>
          <w:rFonts w:hint="eastAsia"/>
          <w:szCs w:val="28"/>
        </w:rPr>
        <w:t>3.6</w:t>
      </w:r>
      <w:r>
        <w:rPr>
          <w:szCs w:val="28"/>
        </w:rPr>
        <w:tab/>
      </w:r>
      <w:r w:rsidRPr="001219E2">
        <w:rPr>
          <w:rFonts w:hint="eastAsia"/>
          <w:szCs w:val="28"/>
          <w:lang w:val="en-GB"/>
        </w:rPr>
        <w:t>香港年金計劃屬長期保險產品，投保人交付一筆保費後，可每月領取固定年金金額，直至終老。香港年金有限公司（年金公司）</w:t>
      </w:r>
      <w:r w:rsidRPr="001219E2">
        <w:rPr>
          <w:rFonts w:hint="eastAsia"/>
          <w:szCs w:val="28"/>
          <w:lang w:val="en-GB"/>
        </w:rPr>
        <w:lastRenderedPageBreak/>
        <w:t>根據客觀的預期壽命統計數據去釐定不同類別投保人的每月年金金額，才是公平的做法。</w:t>
      </w:r>
    </w:p>
    <w:p w:rsidR="006D2061" w:rsidRDefault="006D2061" w:rsidP="008375BB">
      <w:pPr>
        <w:tabs>
          <w:tab w:val="left" w:pos="1440"/>
        </w:tabs>
        <w:autoSpaceDE w:val="0"/>
        <w:autoSpaceDN w:val="0"/>
        <w:adjustRightInd w:val="0"/>
        <w:snapToGrid w:val="0"/>
        <w:spacing w:line="400" w:lineRule="atLeast"/>
        <w:jc w:val="both"/>
        <w:rPr>
          <w:szCs w:val="28"/>
          <w:lang w:val="en-GB"/>
        </w:rPr>
      </w:pPr>
    </w:p>
    <w:p w:rsidR="006D2061" w:rsidRPr="00DE627C" w:rsidRDefault="006D2061" w:rsidP="008B5A17">
      <w:pPr>
        <w:tabs>
          <w:tab w:val="left" w:pos="1440"/>
        </w:tabs>
        <w:overflowPunct w:val="0"/>
        <w:autoSpaceDE w:val="0"/>
        <w:autoSpaceDN w:val="0"/>
        <w:adjustRightInd w:val="0"/>
        <w:snapToGrid w:val="0"/>
        <w:spacing w:line="400" w:lineRule="atLeast"/>
        <w:jc w:val="both"/>
        <w:rPr>
          <w:szCs w:val="28"/>
        </w:rPr>
      </w:pPr>
      <w:r>
        <w:rPr>
          <w:rFonts w:hint="eastAsia"/>
          <w:szCs w:val="28"/>
        </w:rPr>
        <w:t>3.7</w:t>
      </w:r>
      <w:r>
        <w:rPr>
          <w:szCs w:val="28"/>
        </w:rPr>
        <w:tab/>
      </w:r>
      <w:r w:rsidRPr="001219E2">
        <w:rPr>
          <w:rFonts w:hint="eastAsia"/>
          <w:szCs w:val="28"/>
        </w:rPr>
        <w:t>有評論</w:t>
      </w:r>
      <w:r w:rsidRPr="00EF162C">
        <w:rPr>
          <w:rFonts w:hint="eastAsia"/>
          <w:szCs w:val="28"/>
        </w:rPr>
        <w:t>者</w:t>
      </w:r>
      <w:r w:rsidRPr="001219E2">
        <w:rPr>
          <w:rFonts w:hint="eastAsia"/>
          <w:szCs w:val="28"/>
        </w:rPr>
        <w:t>關注</w:t>
      </w:r>
      <w:r w:rsidRPr="00305EDF">
        <w:rPr>
          <w:rFonts w:hint="eastAsia"/>
          <w:szCs w:val="28"/>
        </w:rPr>
        <w:t>男女因預期壽命差異而獲得不同的投資回報</w:t>
      </w:r>
      <w:r>
        <w:rPr>
          <w:rFonts w:hint="eastAsia"/>
          <w:szCs w:val="28"/>
          <w:lang w:eastAsia="zh-HK"/>
        </w:rPr>
        <w:t>與</w:t>
      </w:r>
      <w:r w:rsidRPr="00305EDF">
        <w:rPr>
          <w:rFonts w:hint="eastAsia"/>
          <w:szCs w:val="28"/>
        </w:rPr>
        <w:t>性別平等</w:t>
      </w:r>
      <w:r>
        <w:rPr>
          <w:rFonts w:hint="eastAsia"/>
          <w:szCs w:val="28"/>
          <w:lang w:eastAsia="zh-HK"/>
        </w:rPr>
        <w:t>不一致</w:t>
      </w:r>
      <w:r>
        <w:rPr>
          <w:rFonts w:hint="eastAsia"/>
          <w:szCs w:val="28"/>
        </w:rPr>
        <w:t>。</w:t>
      </w:r>
      <w:r w:rsidRPr="001219E2">
        <w:rPr>
          <w:rFonts w:hint="eastAsia"/>
          <w:szCs w:val="28"/>
        </w:rPr>
        <w:t>一般而言，投保人的預期壽命愈長，其保證每月年金金額會愈少。男性的預期壽命較女性為短，因此男性投保人可獲得之保證每月年金金額較女性投保人為高。</w:t>
      </w:r>
      <w:r>
        <w:rPr>
          <w:rFonts w:hint="eastAsia"/>
          <w:szCs w:val="28"/>
          <w:lang w:eastAsia="zh-HK"/>
        </w:rPr>
        <w:t>但</w:t>
      </w:r>
      <w:r w:rsidRPr="001219E2">
        <w:rPr>
          <w:rFonts w:hint="eastAsia"/>
          <w:szCs w:val="28"/>
        </w:rPr>
        <w:t>由於女性的預期壽命較男性長，女性投保人在計劃下的預期回報率其實與男性投保人一致，並沒有不公平</w:t>
      </w:r>
      <w:r>
        <w:rPr>
          <w:rFonts w:hint="eastAsia"/>
          <w:szCs w:val="28"/>
          <w:lang w:eastAsia="zh-HK"/>
        </w:rPr>
        <w:t>之處</w:t>
      </w:r>
      <w:r w:rsidRPr="001219E2">
        <w:rPr>
          <w:rFonts w:hint="eastAsia"/>
          <w:szCs w:val="28"/>
        </w:rPr>
        <w:t>。</w:t>
      </w:r>
    </w:p>
    <w:p w:rsidR="006D2061" w:rsidRPr="00DE627C" w:rsidRDefault="006D2061" w:rsidP="008375BB">
      <w:pPr>
        <w:tabs>
          <w:tab w:val="left" w:pos="1440"/>
        </w:tabs>
        <w:autoSpaceDE w:val="0"/>
        <w:autoSpaceDN w:val="0"/>
        <w:adjustRightInd w:val="0"/>
        <w:snapToGrid w:val="0"/>
        <w:spacing w:line="400" w:lineRule="atLeast"/>
        <w:jc w:val="both"/>
        <w:rPr>
          <w:szCs w:val="28"/>
        </w:rPr>
      </w:pPr>
    </w:p>
    <w:p w:rsidR="006D2061" w:rsidRDefault="006D2061" w:rsidP="008375BB">
      <w:pPr>
        <w:tabs>
          <w:tab w:val="left" w:pos="1440"/>
        </w:tabs>
        <w:autoSpaceDE w:val="0"/>
        <w:autoSpaceDN w:val="0"/>
        <w:adjustRightInd w:val="0"/>
        <w:snapToGrid w:val="0"/>
        <w:spacing w:line="400" w:lineRule="atLeast"/>
        <w:jc w:val="both"/>
        <w:rPr>
          <w:szCs w:val="28"/>
        </w:rPr>
      </w:pPr>
      <w:r w:rsidRPr="004268BB">
        <w:rPr>
          <w:rFonts w:hint="eastAsia"/>
          <w:szCs w:val="28"/>
        </w:rPr>
        <w:t>3.8</w:t>
      </w:r>
      <w:r w:rsidRPr="004268BB">
        <w:rPr>
          <w:szCs w:val="28"/>
        </w:rPr>
        <w:tab/>
      </w:r>
      <w:r w:rsidRPr="00DE627C">
        <w:rPr>
          <w:rFonts w:hint="eastAsia"/>
          <w:szCs w:val="28"/>
          <w:lang w:val="en-GB"/>
        </w:rPr>
        <w:t>年金公司對投保人可獲得的每月年金水平的估算，乃</w:t>
      </w:r>
      <w:r>
        <w:rPr>
          <w:rFonts w:hint="eastAsia"/>
          <w:szCs w:val="28"/>
          <w:lang w:val="en-GB" w:eastAsia="zh-HK"/>
        </w:rPr>
        <w:t>基</w:t>
      </w:r>
      <w:r>
        <w:rPr>
          <w:rFonts w:hint="eastAsia"/>
          <w:szCs w:val="28"/>
          <w:lang w:val="en-GB"/>
        </w:rPr>
        <w:t>於</w:t>
      </w:r>
      <w:r w:rsidRPr="00DE627C">
        <w:rPr>
          <w:rFonts w:hint="eastAsia"/>
          <w:szCs w:val="28"/>
          <w:lang w:val="en-GB"/>
        </w:rPr>
        <w:t>客觀統計數據，包括男女預期壽命數據，</w:t>
      </w:r>
      <w:r>
        <w:rPr>
          <w:rFonts w:hint="eastAsia"/>
          <w:szCs w:val="28"/>
          <w:lang w:val="en-GB" w:eastAsia="zh-HK"/>
        </w:rPr>
        <w:t>經</w:t>
      </w:r>
      <w:r w:rsidRPr="00DE627C">
        <w:rPr>
          <w:rFonts w:hint="eastAsia"/>
          <w:szCs w:val="28"/>
          <w:lang w:val="en-GB"/>
        </w:rPr>
        <w:t>精算分析後得出。有關分析純粹以審慎商業原則及有效管控風險為依歸，絕不涉</w:t>
      </w:r>
      <w:r>
        <w:rPr>
          <w:rFonts w:hint="eastAsia"/>
          <w:szCs w:val="28"/>
          <w:lang w:val="en-GB" w:eastAsia="zh-HK"/>
        </w:rPr>
        <w:t>及性</w:t>
      </w:r>
      <w:r>
        <w:rPr>
          <w:rFonts w:hint="eastAsia"/>
          <w:szCs w:val="28"/>
          <w:lang w:val="en-GB"/>
        </w:rPr>
        <w:t>別</w:t>
      </w:r>
      <w:r w:rsidRPr="00DE627C">
        <w:rPr>
          <w:rFonts w:hint="eastAsia"/>
          <w:szCs w:val="28"/>
        </w:rPr>
        <w:t>歧視</w:t>
      </w:r>
      <w:r w:rsidRPr="00DE627C">
        <w:rPr>
          <w:rFonts w:hint="eastAsia"/>
          <w:szCs w:val="28"/>
          <w:lang w:val="en-GB"/>
        </w:rPr>
        <w:t>。</w:t>
      </w:r>
      <w:r w:rsidRPr="000D5654">
        <w:rPr>
          <w:rFonts w:hint="eastAsia"/>
          <w:szCs w:val="28"/>
          <w:lang w:val="en-GB"/>
        </w:rPr>
        <w:t>年金公司</w:t>
      </w:r>
      <w:r w:rsidRPr="00DE627C">
        <w:rPr>
          <w:rFonts w:hint="eastAsia"/>
          <w:szCs w:val="28"/>
          <w:lang w:val="en-GB"/>
        </w:rPr>
        <w:t>會不斷監察香港人口特徵（包括男女預期壽命）的變化，在有需要時</w:t>
      </w:r>
      <w:r>
        <w:rPr>
          <w:rFonts w:hint="eastAsia"/>
          <w:szCs w:val="28"/>
          <w:lang w:val="en-GB" w:eastAsia="zh-HK"/>
        </w:rPr>
        <w:t>適</w:t>
      </w:r>
      <w:r>
        <w:rPr>
          <w:rFonts w:hint="eastAsia"/>
          <w:szCs w:val="28"/>
          <w:lang w:val="en-GB"/>
        </w:rPr>
        <w:t>切</w:t>
      </w:r>
      <w:r w:rsidRPr="00DE627C">
        <w:rPr>
          <w:rFonts w:hint="eastAsia"/>
          <w:szCs w:val="28"/>
          <w:lang w:val="en-GB"/>
        </w:rPr>
        <w:t>調整。</w:t>
      </w:r>
    </w:p>
    <w:p w:rsidR="006D2061" w:rsidRDefault="006D2061" w:rsidP="008375BB">
      <w:pPr>
        <w:tabs>
          <w:tab w:val="left" w:pos="1440"/>
        </w:tabs>
        <w:autoSpaceDE w:val="0"/>
        <w:autoSpaceDN w:val="0"/>
        <w:adjustRightInd w:val="0"/>
        <w:snapToGrid w:val="0"/>
        <w:spacing w:line="400" w:lineRule="atLeast"/>
        <w:jc w:val="both"/>
        <w:rPr>
          <w:szCs w:val="28"/>
        </w:rPr>
      </w:pPr>
    </w:p>
    <w:p w:rsidR="006D2061" w:rsidRDefault="006D2061" w:rsidP="008375BB">
      <w:pPr>
        <w:tabs>
          <w:tab w:val="left" w:pos="1440"/>
        </w:tabs>
        <w:autoSpaceDE w:val="0"/>
        <w:autoSpaceDN w:val="0"/>
        <w:adjustRightInd w:val="0"/>
        <w:snapToGrid w:val="0"/>
        <w:spacing w:line="400" w:lineRule="atLeast"/>
        <w:jc w:val="both"/>
        <w:rPr>
          <w:szCs w:val="28"/>
          <w:lang w:val="en-GB"/>
        </w:rPr>
      </w:pPr>
      <w:r>
        <w:rPr>
          <w:rFonts w:hint="eastAsia"/>
          <w:szCs w:val="28"/>
        </w:rPr>
        <w:t>3.9</w:t>
      </w:r>
      <w:r>
        <w:rPr>
          <w:szCs w:val="28"/>
        </w:rPr>
        <w:tab/>
      </w:r>
      <w:r w:rsidRPr="00DE627C">
        <w:rPr>
          <w:rFonts w:hint="eastAsia"/>
          <w:szCs w:val="28"/>
          <w:lang w:val="en-GB"/>
        </w:rPr>
        <w:t>《性別歧視條例》指明保險業務若經參考合理的數據作出風險評估後而給予不同人士不同待遇並不屬違例。</w:t>
      </w:r>
      <w:r>
        <w:rPr>
          <w:rFonts w:hint="eastAsia"/>
          <w:szCs w:val="28"/>
          <w:lang w:val="en-GB" w:eastAsia="zh-HK"/>
        </w:rPr>
        <w:t>由於</w:t>
      </w:r>
      <w:r w:rsidRPr="00DE627C">
        <w:rPr>
          <w:rFonts w:hint="eastAsia"/>
          <w:szCs w:val="28"/>
          <w:lang w:val="en-GB"/>
        </w:rPr>
        <w:t>年金屬保險業務的一種，</w:t>
      </w:r>
      <w:r>
        <w:rPr>
          <w:rFonts w:hint="eastAsia"/>
          <w:szCs w:val="28"/>
          <w:lang w:val="en-GB" w:eastAsia="zh-HK"/>
        </w:rPr>
        <w:t>基</w:t>
      </w:r>
      <w:r>
        <w:rPr>
          <w:rFonts w:hint="eastAsia"/>
          <w:szCs w:val="28"/>
          <w:lang w:val="en-GB"/>
        </w:rPr>
        <w:t>於</w:t>
      </w:r>
      <w:r w:rsidRPr="00DE627C">
        <w:rPr>
          <w:rFonts w:hint="eastAsia"/>
          <w:szCs w:val="28"/>
          <w:lang w:val="en-GB"/>
        </w:rPr>
        <w:t>合理商業及風險管理考慮給予男女性投保人不同的每月年金並沒有違例。</w:t>
      </w:r>
    </w:p>
    <w:p w:rsidR="006D2061" w:rsidRDefault="006D2061" w:rsidP="008375BB">
      <w:pPr>
        <w:tabs>
          <w:tab w:val="left" w:pos="1440"/>
        </w:tabs>
        <w:autoSpaceDE w:val="0"/>
        <w:autoSpaceDN w:val="0"/>
        <w:adjustRightInd w:val="0"/>
        <w:snapToGrid w:val="0"/>
        <w:spacing w:line="400" w:lineRule="atLeast"/>
        <w:jc w:val="both"/>
        <w:rPr>
          <w:b/>
          <w:szCs w:val="28"/>
        </w:rPr>
      </w:pPr>
    </w:p>
    <w:p w:rsidR="006D2061" w:rsidRDefault="006D2061" w:rsidP="008375BB">
      <w:pPr>
        <w:tabs>
          <w:tab w:val="left" w:pos="1440"/>
        </w:tabs>
        <w:autoSpaceDE w:val="0"/>
        <w:autoSpaceDN w:val="0"/>
        <w:adjustRightInd w:val="0"/>
        <w:snapToGrid w:val="0"/>
        <w:spacing w:line="400" w:lineRule="atLeast"/>
        <w:jc w:val="both"/>
        <w:rPr>
          <w:b/>
          <w:szCs w:val="28"/>
        </w:rPr>
      </w:pPr>
      <w:r w:rsidRPr="004268BB">
        <w:rPr>
          <w:rFonts w:hint="eastAsia"/>
          <w:b/>
          <w:szCs w:val="28"/>
        </w:rPr>
        <w:t>小型屋宇政策</w:t>
      </w:r>
    </w:p>
    <w:p w:rsidR="006D2061" w:rsidRPr="004268BB" w:rsidRDefault="006D2061" w:rsidP="008375BB">
      <w:pPr>
        <w:tabs>
          <w:tab w:val="left" w:pos="1440"/>
        </w:tabs>
        <w:autoSpaceDE w:val="0"/>
        <w:autoSpaceDN w:val="0"/>
        <w:adjustRightInd w:val="0"/>
        <w:snapToGrid w:val="0"/>
        <w:spacing w:line="400" w:lineRule="atLeast"/>
        <w:jc w:val="both"/>
        <w:rPr>
          <w:b/>
          <w:szCs w:val="28"/>
        </w:rPr>
      </w:pPr>
    </w:p>
    <w:p w:rsidR="006D2061" w:rsidRPr="00D546E9" w:rsidRDefault="006D2061" w:rsidP="008375BB">
      <w:pPr>
        <w:tabs>
          <w:tab w:val="left" w:pos="1440"/>
        </w:tabs>
        <w:autoSpaceDE w:val="0"/>
        <w:autoSpaceDN w:val="0"/>
        <w:adjustRightInd w:val="0"/>
        <w:snapToGrid w:val="0"/>
        <w:spacing w:line="400" w:lineRule="atLeast"/>
        <w:jc w:val="both"/>
        <w:rPr>
          <w:b/>
          <w:szCs w:val="28"/>
        </w:rPr>
      </w:pPr>
      <w:r w:rsidRPr="004268BB">
        <w:rPr>
          <w:rFonts w:hint="eastAsia"/>
          <w:szCs w:val="28"/>
        </w:rPr>
        <w:t>3.10</w:t>
      </w:r>
      <w:r w:rsidRPr="004268BB">
        <w:rPr>
          <w:szCs w:val="28"/>
        </w:rPr>
        <w:tab/>
      </w:r>
      <w:r w:rsidRPr="004268BB">
        <w:rPr>
          <w:rFonts w:hint="eastAsia"/>
          <w:szCs w:val="28"/>
        </w:rPr>
        <w:t>由於小型屋宇政策正面對司法覆核，政府現階段不宜公開評論</w:t>
      </w:r>
      <w:r>
        <w:rPr>
          <w:rFonts w:hint="eastAsia"/>
          <w:szCs w:val="28"/>
          <w:lang w:eastAsia="zh-HK"/>
        </w:rPr>
        <w:t>相</w:t>
      </w:r>
      <w:r>
        <w:rPr>
          <w:rFonts w:hint="eastAsia"/>
          <w:szCs w:val="28"/>
        </w:rPr>
        <w:t>關</w:t>
      </w:r>
      <w:r w:rsidRPr="004268BB">
        <w:rPr>
          <w:rFonts w:hint="eastAsia"/>
          <w:szCs w:val="28"/>
        </w:rPr>
        <w:t>議題。我們會密切留意司法覆核的發展。</w:t>
      </w:r>
    </w:p>
    <w:p w:rsidR="00D92691" w:rsidRPr="00D92691" w:rsidRDefault="00D92691">
      <w:pPr>
        <w:widowControl/>
        <w:rPr>
          <w:b/>
          <w:szCs w:val="28"/>
        </w:rPr>
      </w:pPr>
      <w:r w:rsidRPr="00D92691">
        <w:rPr>
          <w:b/>
          <w:szCs w:val="28"/>
        </w:rPr>
        <w:br w:type="page"/>
      </w:r>
    </w:p>
    <w:p w:rsidR="006D2061" w:rsidRPr="00BF178E" w:rsidRDefault="006D2061" w:rsidP="008375BB">
      <w:pPr>
        <w:tabs>
          <w:tab w:val="left" w:pos="1440"/>
        </w:tabs>
        <w:snapToGrid w:val="0"/>
        <w:spacing w:line="400" w:lineRule="atLeast"/>
        <w:jc w:val="both"/>
        <w:rPr>
          <w:b/>
          <w:szCs w:val="28"/>
          <w:u w:val="single"/>
        </w:rPr>
      </w:pPr>
      <w:r w:rsidRPr="00BF178E">
        <w:rPr>
          <w:b/>
          <w:szCs w:val="28"/>
          <w:u w:val="single"/>
        </w:rPr>
        <w:lastRenderedPageBreak/>
        <w:t>第四條：可對本公約所載權利施加的限制</w:t>
      </w:r>
    </w:p>
    <w:p w:rsidR="006D2061" w:rsidRPr="00BF178E" w:rsidRDefault="006D2061" w:rsidP="008375BB">
      <w:pPr>
        <w:tabs>
          <w:tab w:val="left" w:pos="1440"/>
        </w:tabs>
        <w:snapToGrid w:val="0"/>
        <w:spacing w:line="400" w:lineRule="atLeast"/>
        <w:jc w:val="both"/>
        <w:rPr>
          <w:szCs w:val="28"/>
        </w:rPr>
      </w:pPr>
    </w:p>
    <w:p w:rsidR="006D2061" w:rsidRPr="00BF178E" w:rsidRDefault="006D2061" w:rsidP="008375BB">
      <w:pPr>
        <w:tabs>
          <w:tab w:val="left" w:pos="1440"/>
        </w:tabs>
        <w:snapToGrid w:val="0"/>
        <w:spacing w:line="400" w:lineRule="atLeast"/>
        <w:jc w:val="both"/>
        <w:rPr>
          <w:szCs w:val="28"/>
        </w:rPr>
      </w:pPr>
      <w:r w:rsidRPr="00BF178E">
        <w:rPr>
          <w:szCs w:val="28"/>
        </w:rPr>
        <w:t>4.1</w:t>
      </w:r>
      <w:r w:rsidRPr="00BF178E">
        <w:rPr>
          <w:szCs w:val="28"/>
        </w:rPr>
        <w:tab/>
      </w:r>
      <w:r w:rsidRPr="001C56D2">
        <w:rPr>
          <w:szCs w:val="28"/>
        </w:rPr>
        <w:t>第四條的情況與上次報告第</w:t>
      </w:r>
      <w:r w:rsidRPr="001C56D2">
        <w:rPr>
          <w:szCs w:val="28"/>
        </w:rPr>
        <w:t>4.1</w:t>
      </w:r>
      <w:r w:rsidRPr="001C56D2">
        <w:rPr>
          <w:szCs w:val="28"/>
        </w:rPr>
        <w:t>段所述的相同。政府除法律所訂明的限制外並沒有對</w:t>
      </w:r>
      <w:r w:rsidRPr="001C56D2">
        <w:rPr>
          <w:rFonts w:hint="eastAsia"/>
          <w:szCs w:val="28"/>
        </w:rPr>
        <w:t>《公約》</w:t>
      </w:r>
      <w:r w:rsidRPr="001C56D2">
        <w:rPr>
          <w:szCs w:val="28"/>
        </w:rPr>
        <w:t>所載的權利施加任何限制。</w:t>
      </w:r>
      <w:r>
        <w:rPr>
          <w:rFonts w:hint="eastAsia"/>
          <w:szCs w:val="28"/>
          <w:lang w:eastAsia="zh-HK"/>
        </w:rPr>
        <w:t>任何法定</w:t>
      </w:r>
      <w:r w:rsidRPr="001C56D2">
        <w:rPr>
          <w:szCs w:val="28"/>
        </w:rPr>
        <w:t>限制（如有的話）</w:t>
      </w:r>
      <w:r w:rsidRPr="001C56D2">
        <w:rPr>
          <w:rFonts w:hint="eastAsia"/>
          <w:szCs w:val="28"/>
        </w:rPr>
        <w:t>都</w:t>
      </w:r>
      <w:r w:rsidRPr="001C56D2">
        <w:rPr>
          <w:szCs w:val="28"/>
        </w:rPr>
        <w:t>與</w:t>
      </w:r>
      <w:r w:rsidRPr="001C56D2">
        <w:rPr>
          <w:rFonts w:hint="eastAsia"/>
          <w:szCs w:val="28"/>
        </w:rPr>
        <w:t>《公約》</w:t>
      </w:r>
      <w:r w:rsidRPr="001C56D2">
        <w:rPr>
          <w:szCs w:val="28"/>
        </w:rPr>
        <w:t>所載權利的性質並無牴觸，其唯一目的是增進自由社會的公共福利</w:t>
      </w:r>
      <w:r w:rsidRPr="001C56D2">
        <w:rPr>
          <w:rFonts w:hint="eastAsia"/>
          <w:szCs w:val="28"/>
        </w:rPr>
        <w:t>。</w:t>
      </w:r>
    </w:p>
    <w:p w:rsidR="006D2061" w:rsidRPr="00BF178E" w:rsidRDefault="006D2061" w:rsidP="008375BB">
      <w:pPr>
        <w:tabs>
          <w:tab w:val="left" w:pos="1440"/>
        </w:tabs>
        <w:snapToGrid w:val="0"/>
        <w:spacing w:line="400" w:lineRule="atLeast"/>
        <w:jc w:val="both"/>
        <w:rPr>
          <w:szCs w:val="28"/>
        </w:rPr>
      </w:pPr>
    </w:p>
    <w:p w:rsidR="006D2061" w:rsidRPr="00BF178E" w:rsidRDefault="006D2061" w:rsidP="008375BB">
      <w:pPr>
        <w:tabs>
          <w:tab w:val="left" w:pos="1440"/>
        </w:tabs>
        <w:snapToGrid w:val="0"/>
        <w:spacing w:line="400" w:lineRule="atLeast"/>
        <w:jc w:val="both"/>
        <w:rPr>
          <w:b/>
          <w:szCs w:val="28"/>
          <w:u w:val="single"/>
        </w:rPr>
      </w:pPr>
      <w:r w:rsidRPr="00BF178E">
        <w:rPr>
          <w:b/>
          <w:szCs w:val="28"/>
          <w:u w:val="single"/>
        </w:rPr>
        <w:br w:type="page"/>
      </w:r>
      <w:r w:rsidRPr="00BF178E">
        <w:rPr>
          <w:b/>
          <w:szCs w:val="28"/>
          <w:u w:val="single"/>
        </w:rPr>
        <w:lastRenderedPageBreak/>
        <w:t>第五條：禁止破壞公約確認的任何權利和自由</w:t>
      </w:r>
    </w:p>
    <w:p w:rsidR="006D2061" w:rsidRPr="00BF178E" w:rsidRDefault="006D2061" w:rsidP="008375BB">
      <w:pPr>
        <w:tabs>
          <w:tab w:val="left" w:pos="1440"/>
        </w:tabs>
        <w:snapToGrid w:val="0"/>
        <w:spacing w:line="400" w:lineRule="atLeast"/>
        <w:jc w:val="both"/>
        <w:rPr>
          <w:szCs w:val="28"/>
        </w:rPr>
      </w:pPr>
    </w:p>
    <w:p w:rsidR="006D2061" w:rsidRPr="00BF178E" w:rsidRDefault="006D2061" w:rsidP="008375BB">
      <w:pPr>
        <w:tabs>
          <w:tab w:val="left" w:pos="1440"/>
        </w:tabs>
        <w:snapToGrid w:val="0"/>
        <w:spacing w:line="400" w:lineRule="atLeast"/>
        <w:jc w:val="both"/>
        <w:rPr>
          <w:szCs w:val="28"/>
        </w:rPr>
      </w:pPr>
      <w:r w:rsidRPr="00BF178E">
        <w:rPr>
          <w:rFonts w:hint="eastAsia"/>
          <w:szCs w:val="28"/>
        </w:rPr>
        <w:t>5</w:t>
      </w:r>
      <w:r w:rsidRPr="00BF178E">
        <w:rPr>
          <w:szCs w:val="28"/>
        </w:rPr>
        <w:t>.1</w:t>
      </w:r>
      <w:r w:rsidRPr="00BF178E">
        <w:rPr>
          <w:szCs w:val="28"/>
        </w:rPr>
        <w:tab/>
      </w:r>
      <w:r w:rsidRPr="00F60B57">
        <w:rPr>
          <w:spacing w:val="2"/>
          <w:szCs w:val="28"/>
        </w:rPr>
        <w:t>第五條的情況並無改變，與上次報告第</w:t>
      </w:r>
      <w:r w:rsidRPr="00F60B57">
        <w:rPr>
          <w:rFonts w:hint="eastAsia"/>
          <w:spacing w:val="2"/>
          <w:szCs w:val="28"/>
        </w:rPr>
        <w:t>5</w:t>
      </w:r>
      <w:r w:rsidRPr="00F60B57">
        <w:rPr>
          <w:spacing w:val="2"/>
          <w:szCs w:val="28"/>
        </w:rPr>
        <w:t>.1</w:t>
      </w:r>
      <w:r w:rsidRPr="00F60B57">
        <w:rPr>
          <w:spacing w:val="2"/>
          <w:szCs w:val="28"/>
        </w:rPr>
        <w:t>段所述的相同，</w:t>
      </w:r>
      <w:r w:rsidRPr="00F60B57">
        <w:rPr>
          <w:rFonts w:hint="eastAsia"/>
          <w:spacing w:val="2"/>
          <w:szCs w:val="28"/>
        </w:rPr>
        <w:t>即</w:t>
      </w:r>
      <w:r w:rsidRPr="00F60B57">
        <w:rPr>
          <w:spacing w:val="2"/>
          <w:szCs w:val="28"/>
        </w:rPr>
        <w:t>政府沒有以任何基本人權未獲</w:t>
      </w:r>
      <w:r w:rsidRPr="00F60B57">
        <w:rPr>
          <w:rFonts w:hint="eastAsia"/>
          <w:spacing w:val="2"/>
          <w:szCs w:val="28"/>
        </w:rPr>
        <w:t>《公約》</w:t>
      </w:r>
      <w:r w:rsidRPr="00F60B57">
        <w:rPr>
          <w:spacing w:val="2"/>
          <w:szCs w:val="28"/>
        </w:rPr>
        <w:t>確認或只是部分獲確認為藉</w:t>
      </w:r>
      <w:r w:rsidRPr="001C56D2">
        <w:rPr>
          <w:szCs w:val="28"/>
        </w:rPr>
        <w:t>口，對有關權利施加限制或減免履行有關權利的義務</w:t>
      </w:r>
      <w:r w:rsidRPr="001C56D2">
        <w:rPr>
          <w:rFonts w:hint="eastAsia"/>
          <w:szCs w:val="28"/>
        </w:rPr>
        <w:t>。</w:t>
      </w:r>
    </w:p>
    <w:p w:rsidR="00F60B57" w:rsidRPr="00F60B57" w:rsidRDefault="00F60B57">
      <w:pPr>
        <w:widowControl/>
        <w:rPr>
          <w:b/>
          <w:szCs w:val="28"/>
        </w:rPr>
      </w:pPr>
      <w:r w:rsidRPr="00F60B57">
        <w:rPr>
          <w:b/>
          <w:szCs w:val="28"/>
        </w:rPr>
        <w:br w:type="page"/>
      </w:r>
    </w:p>
    <w:p w:rsidR="006D2061" w:rsidRPr="00CB3391" w:rsidRDefault="006D2061" w:rsidP="008375BB">
      <w:pPr>
        <w:tabs>
          <w:tab w:val="left" w:pos="1440"/>
        </w:tabs>
        <w:adjustRightInd w:val="0"/>
        <w:snapToGrid w:val="0"/>
        <w:spacing w:line="400" w:lineRule="atLeast"/>
        <w:jc w:val="both"/>
        <w:rPr>
          <w:b/>
          <w:szCs w:val="28"/>
          <w:u w:val="single"/>
        </w:rPr>
      </w:pPr>
      <w:r w:rsidRPr="00CB3391">
        <w:rPr>
          <w:b/>
          <w:szCs w:val="28"/>
          <w:u w:val="single"/>
        </w:rPr>
        <w:lastRenderedPageBreak/>
        <w:t>第六條</w:t>
      </w:r>
      <w:r w:rsidRPr="00CB3391">
        <w:rPr>
          <w:rFonts w:hint="eastAsia"/>
          <w:b/>
          <w:szCs w:val="28"/>
          <w:u w:val="single"/>
        </w:rPr>
        <w:t>：</w:t>
      </w:r>
      <w:r w:rsidRPr="00CB3391">
        <w:rPr>
          <w:b/>
          <w:szCs w:val="28"/>
          <w:u w:val="single"/>
        </w:rPr>
        <w:t>選擇職業和勞工權利</w:t>
      </w:r>
    </w:p>
    <w:p w:rsidR="006D2061" w:rsidRPr="00CB3391" w:rsidRDefault="006D2061" w:rsidP="008375BB">
      <w:pPr>
        <w:tabs>
          <w:tab w:val="left" w:pos="1440"/>
        </w:tabs>
        <w:adjustRightInd w:val="0"/>
        <w:snapToGrid w:val="0"/>
        <w:spacing w:line="400" w:lineRule="atLeast"/>
        <w:jc w:val="both"/>
        <w:rPr>
          <w:b/>
          <w:szCs w:val="28"/>
          <w:u w:val="single"/>
        </w:rPr>
      </w:pPr>
    </w:p>
    <w:p w:rsidR="006D2061" w:rsidRPr="00CB3391" w:rsidRDefault="006D2061" w:rsidP="008375BB">
      <w:pPr>
        <w:tabs>
          <w:tab w:val="left" w:pos="1440"/>
        </w:tabs>
        <w:adjustRightInd w:val="0"/>
        <w:snapToGrid w:val="0"/>
        <w:spacing w:line="400" w:lineRule="atLeast"/>
        <w:jc w:val="both"/>
        <w:rPr>
          <w:bCs/>
          <w:szCs w:val="28"/>
        </w:rPr>
      </w:pPr>
      <w:r w:rsidRPr="00CB3391">
        <w:rPr>
          <w:bCs/>
          <w:szCs w:val="28"/>
        </w:rPr>
        <w:t>6.1</w:t>
      </w:r>
      <w:r w:rsidRPr="00CB3391">
        <w:rPr>
          <w:bCs/>
          <w:szCs w:val="28"/>
        </w:rPr>
        <w:tab/>
      </w:r>
      <w:r w:rsidRPr="00CB3391">
        <w:rPr>
          <w:szCs w:val="28"/>
        </w:rPr>
        <w:t>憲制保障、法規及政策方面的情況與</w:t>
      </w:r>
      <w:r w:rsidRPr="00CB3391">
        <w:rPr>
          <w:rFonts w:hint="eastAsia"/>
          <w:szCs w:val="28"/>
        </w:rPr>
        <w:t>第一次</w:t>
      </w:r>
      <w:r w:rsidRPr="00CB3391">
        <w:rPr>
          <w:szCs w:val="28"/>
        </w:rPr>
        <w:t>報告第</w:t>
      </w:r>
      <w:r w:rsidRPr="00CB3391">
        <w:rPr>
          <w:szCs w:val="28"/>
        </w:rPr>
        <w:t>41</w:t>
      </w:r>
      <w:r w:rsidRPr="00CB3391">
        <w:rPr>
          <w:szCs w:val="28"/>
        </w:rPr>
        <w:t>及</w:t>
      </w:r>
      <w:r w:rsidRPr="00CB3391">
        <w:rPr>
          <w:szCs w:val="28"/>
        </w:rPr>
        <w:t>42</w:t>
      </w:r>
      <w:r w:rsidRPr="00CB3391">
        <w:rPr>
          <w:szCs w:val="28"/>
        </w:rPr>
        <w:t>段所述的相同。</w:t>
      </w:r>
      <w:r>
        <w:rPr>
          <w:rFonts w:hint="eastAsia"/>
          <w:szCs w:val="28"/>
          <w:lang w:eastAsia="zh-HK"/>
        </w:rPr>
        <w:t>最新就業統</w:t>
      </w:r>
      <w:r>
        <w:rPr>
          <w:rFonts w:hint="eastAsia"/>
          <w:szCs w:val="28"/>
        </w:rPr>
        <w:t>計</w:t>
      </w:r>
      <w:r>
        <w:rPr>
          <w:rFonts w:hint="eastAsia"/>
          <w:szCs w:val="28"/>
          <w:lang w:eastAsia="zh-HK"/>
        </w:rPr>
        <w:t>數</w:t>
      </w:r>
      <w:r>
        <w:rPr>
          <w:rFonts w:hint="eastAsia"/>
          <w:szCs w:val="28"/>
        </w:rPr>
        <w:t>字</w:t>
      </w:r>
      <w:r>
        <w:rPr>
          <w:rFonts w:hint="eastAsia"/>
          <w:szCs w:val="28"/>
          <w:lang w:eastAsia="zh-HK"/>
        </w:rPr>
        <w:t>見</w:t>
      </w:r>
      <w:r w:rsidRPr="00B41B70">
        <w:rPr>
          <w:rFonts w:hint="eastAsia"/>
          <w:b/>
          <w:szCs w:val="28"/>
          <w:lang w:eastAsia="zh-HK"/>
        </w:rPr>
        <w:t>附件</w:t>
      </w:r>
      <w:r w:rsidRPr="00B41B70">
        <w:rPr>
          <w:rFonts w:hint="eastAsia"/>
          <w:b/>
          <w:szCs w:val="28"/>
          <w:lang w:eastAsia="zh-HK"/>
        </w:rPr>
        <w:t>6A</w:t>
      </w:r>
      <w:r>
        <w:rPr>
          <w:rFonts w:hint="eastAsia"/>
          <w:b/>
          <w:szCs w:val="28"/>
        </w:rPr>
        <w:t>。</w:t>
      </w:r>
    </w:p>
    <w:p w:rsidR="006D2061" w:rsidRPr="00CB3391" w:rsidRDefault="006D2061" w:rsidP="008375BB">
      <w:pPr>
        <w:tabs>
          <w:tab w:val="left" w:pos="1440"/>
        </w:tabs>
        <w:adjustRightInd w:val="0"/>
        <w:snapToGrid w:val="0"/>
        <w:spacing w:line="400" w:lineRule="atLeast"/>
        <w:jc w:val="both"/>
        <w:rPr>
          <w:b/>
          <w:szCs w:val="28"/>
          <w:u w:val="single"/>
        </w:rPr>
      </w:pPr>
    </w:p>
    <w:p w:rsidR="006D2061" w:rsidRPr="00CB3391" w:rsidRDefault="006D2061" w:rsidP="008375BB">
      <w:pPr>
        <w:tabs>
          <w:tab w:val="left" w:pos="1440"/>
        </w:tabs>
        <w:adjustRightInd w:val="0"/>
        <w:snapToGrid w:val="0"/>
        <w:spacing w:line="400" w:lineRule="atLeast"/>
        <w:jc w:val="both"/>
        <w:rPr>
          <w:b/>
          <w:szCs w:val="28"/>
        </w:rPr>
      </w:pPr>
      <w:r w:rsidRPr="00CB3391">
        <w:rPr>
          <w:b/>
          <w:szCs w:val="28"/>
        </w:rPr>
        <w:t>就業服務</w:t>
      </w:r>
    </w:p>
    <w:p w:rsidR="006D2061" w:rsidRDefault="006D2061" w:rsidP="008375BB">
      <w:pPr>
        <w:tabs>
          <w:tab w:val="left" w:pos="1440"/>
        </w:tabs>
        <w:adjustRightInd w:val="0"/>
        <w:snapToGrid w:val="0"/>
        <w:spacing w:line="400" w:lineRule="atLeast"/>
        <w:jc w:val="both"/>
        <w:rPr>
          <w:b/>
          <w:szCs w:val="28"/>
        </w:rPr>
      </w:pPr>
    </w:p>
    <w:p w:rsidR="006D2061" w:rsidRPr="00350F19" w:rsidRDefault="006D2061" w:rsidP="008375BB">
      <w:pPr>
        <w:tabs>
          <w:tab w:val="left" w:pos="1440"/>
        </w:tabs>
        <w:adjustRightInd w:val="0"/>
        <w:snapToGrid w:val="0"/>
        <w:spacing w:line="400" w:lineRule="atLeast"/>
        <w:jc w:val="both"/>
        <w:rPr>
          <w:szCs w:val="28"/>
        </w:rPr>
      </w:pPr>
      <w:r>
        <w:rPr>
          <w:szCs w:val="28"/>
        </w:rPr>
        <w:t>6.2</w:t>
      </w:r>
      <w:r>
        <w:rPr>
          <w:szCs w:val="28"/>
        </w:rPr>
        <w:tab/>
      </w:r>
      <w:r w:rsidRPr="00350F19">
        <w:rPr>
          <w:rFonts w:hint="eastAsia"/>
          <w:szCs w:val="28"/>
        </w:rPr>
        <w:t>勞工處透過就業中心、行業性招聘中心、電話就業服務中心、「互動就業服務」網站及其流動應用程式、「高等學歷就業資訊網上平台」及「搵工易」空缺搜尋終端機，為求職人士提供方便和免費的就業服務。該處亦向僱主提供經濟誘因，鼓勵聘用有特別需要的求職人士及提供在職培訓，或給予試工機會。該</w:t>
      </w:r>
      <w:r w:rsidRPr="00322153">
        <w:rPr>
          <w:rFonts w:hint="eastAsia"/>
          <w:szCs w:val="28"/>
        </w:rPr>
        <w:t>處</w:t>
      </w:r>
      <w:r>
        <w:rPr>
          <w:rFonts w:hint="eastAsia"/>
          <w:szCs w:val="28"/>
          <w:lang w:eastAsia="zh-HK"/>
        </w:rPr>
        <w:t>自</w:t>
      </w:r>
      <w:r w:rsidRPr="00322153">
        <w:rPr>
          <w:rFonts w:hint="eastAsia"/>
          <w:szCs w:val="28"/>
          <w:lang w:eastAsia="zh-HK"/>
        </w:rPr>
        <w:t>上次報告後落實的新措施載於</w:t>
      </w:r>
      <w:r w:rsidRPr="00322153">
        <w:rPr>
          <w:rFonts w:hint="eastAsia"/>
          <w:b/>
          <w:szCs w:val="28"/>
          <w:lang w:eastAsia="zh-HK"/>
        </w:rPr>
        <w:t>附件</w:t>
      </w:r>
      <w:r w:rsidRPr="00322153">
        <w:rPr>
          <w:rFonts w:hint="eastAsia"/>
          <w:b/>
          <w:szCs w:val="28"/>
          <w:lang w:eastAsia="zh-HK"/>
        </w:rPr>
        <w:t>6</w:t>
      </w:r>
      <w:r>
        <w:rPr>
          <w:rFonts w:hint="eastAsia"/>
          <w:b/>
          <w:szCs w:val="28"/>
        </w:rPr>
        <w:t>B</w:t>
      </w:r>
      <w:r w:rsidRPr="00322153">
        <w:rPr>
          <w:rFonts w:hint="eastAsia"/>
          <w:szCs w:val="28"/>
          <w:lang w:eastAsia="zh-HK"/>
        </w:rPr>
        <w:t>。</w:t>
      </w:r>
    </w:p>
    <w:p w:rsidR="006D2061" w:rsidRPr="00350F19" w:rsidRDefault="006D2061" w:rsidP="008375BB">
      <w:pPr>
        <w:tabs>
          <w:tab w:val="left" w:pos="1440"/>
        </w:tabs>
        <w:adjustRightInd w:val="0"/>
        <w:snapToGrid w:val="0"/>
        <w:spacing w:line="400" w:lineRule="atLeast"/>
        <w:jc w:val="both"/>
        <w:rPr>
          <w:szCs w:val="28"/>
        </w:rPr>
      </w:pPr>
    </w:p>
    <w:p w:rsidR="006D2061" w:rsidRPr="00350F19" w:rsidRDefault="006D2061" w:rsidP="008375BB">
      <w:pPr>
        <w:tabs>
          <w:tab w:val="left" w:pos="1440"/>
        </w:tabs>
        <w:adjustRightInd w:val="0"/>
        <w:snapToGrid w:val="0"/>
        <w:spacing w:line="400" w:lineRule="atLeast"/>
        <w:jc w:val="both"/>
        <w:rPr>
          <w:b/>
          <w:szCs w:val="28"/>
          <w:lang w:val="en-GB"/>
        </w:rPr>
      </w:pPr>
      <w:r w:rsidRPr="00350F19">
        <w:rPr>
          <w:rFonts w:hint="eastAsia"/>
          <w:b/>
          <w:szCs w:val="28"/>
          <w:lang w:val="en-GB"/>
        </w:rPr>
        <w:t>青年就業輔導服務</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525300" w:rsidRDefault="006D2061" w:rsidP="008375BB">
      <w:pPr>
        <w:tabs>
          <w:tab w:val="left" w:pos="1440"/>
        </w:tabs>
        <w:adjustRightInd w:val="0"/>
        <w:snapToGrid w:val="0"/>
        <w:spacing w:line="400" w:lineRule="atLeast"/>
        <w:jc w:val="both"/>
        <w:rPr>
          <w:szCs w:val="28"/>
          <w:lang w:val="en-GB"/>
        </w:rPr>
      </w:pPr>
      <w:r>
        <w:rPr>
          <w:szCs w:val="28"/>
          <w:lang w:val="en-GB"/>
        </w:rPr>
        <w:t>6.</w:t>
      </w:r>
      <w:r>
        <w:rPr>
          <w:rFonts w:hint="eastAsia"/>
          <w:szCs w:val="28"/>
          <w:lang w:val="en-GB"/>
        </w:rPr>
        <w:t>3</w:t>
      </w:r>
      <w:r w:rsidRPr="00350F19">
        <w:rPr>
          <w:szCs w:val="28"/>
          <w:lang w:val="en-GB"/>
        </w:rPr>
        <w:tab/>
      </w:r>
      <w:r w:rsidRPr="00350F19">
        <w:rPr>
          <w:rFonts w:hint="eastAsia"/>
          <w:szCs w:val="28"/>
          <w:lang w:val="en-GB"/>
        </w:rPr>
        <w:t>青年人（特別是學歷較低及缺乏工作經驗的）的失業率持續高於成年組別，是全球普遍面對的現象，香港亦不例外。為提升青年人的就業能力，勞工處推行「展翅青見計劃」，為</w:t>
      </w:r>
      <w:r w:rsidRPr="00350F19">
        <w:rPr>
          <w:szCs w:val="28"/>
          <w:lang w:val="en-GB"/>
        </w:rPr>
        <w:t>15</w:t>
      </w:r>
      <w:r w:rsidRPr="00350F19">
        <w:rPr>
          <w:rFonts w:hint="eastAsia"/>
          <w:szCs w:val="28"/>
          <w:lang w:val="en-GB"/>
        </w:rPr>
        <w:t>至</w:t>
      </w:r>
      <w:r w:rsidRPr="00350F19">
        <w:rPr>
          <w:szCs w:val="28"/>
          <w:lang w:val="en-GB"/>
        </w:rPr>
        <w:t>24</w:t>
      </w:r>
      <w:r w:rsidRPr="00350F19">
        <w:rPr>
          <w:rFonts w:hint="eastAsia"/>
          <w:szCs w:val="28"/>
          <w:lang w:val="en-GB"/>
        </w:rPr>
        <w:t>歲、學歷在副學位或以下的青年人提供全面的職前及在職培訓</w:t>
      </w:r>
      <w:r>
        <w:rPr>
          <w:rFonts w:hint="eastAsia"/>
          <w:szCs w:val="28"/>
          <w:lang w:val="en-GB"/>
        </w:rPr>
        <w:t>，</w:t>
      </w:r>
      <w:r w:rsidRPr="00350F19">
        <w:rPr>
          <w:rFonts w:hint="eastAsia"/>
          <w:szCs w:val="28"/>
          <w:lang w:val="en-GB"/>
        </w:rPr>
        <w:t>計劃</w:t>
      </w:r>
      <w:r>
        <w:rPr>
          <w:rFonts w:hint="eastAsia"/>
          <w:szCs w:val="28"/>
          <w:lang w:val="en-GB" w:eastAsia="zh-HK"/>
        </w:rPr>
        <w:t>的簡</w:t>
      </w:r>
      <w:r>
        <w:rPr>
          <w:rFonts w:hint="eastAsia"/>
          <w:szCs w:val="28"/>
          <w:lang w:val="en-GB"/>
        </w:rPr>
        <w:t>介</w:t>
      </w:r>
      <w:r w:rsidRPr="00D53513">
        <w:rPr>
          <w:rFonts w:hint="eastAsia"/>
          <w:spacing w:val="-2"/>
          <w:szCs w:val="28"/>
          <w:lang w:val="en-GB" w:eastAsia="zh-HK"/>
        </w:rPr>
        <w:t>及優化項目見</w:t>
      </w:r>
      <w:r w:rsidRPr="00D53513">
        <w:rPr>
          <w:rFonts w:hint="eastAsia"/>
          <w:b/>
          <w:spacing w:val="-2"/>
          <w:szCs w:val="28"/>
          <w:lang w:eastAsia="zh-HK"/>
        </w:rPr>
        <w:t>附件</w:t>
      </w:r>
      <w:r w:rsidRPr="00D53513">
        <w:rPr>
          <w:rFonts w:hint="eastAsia"/>
          <w:b/>
          <w:spacing w:val="-2"/>
          <w:szCs w:val="28"/>
          <w:lang w:eastAsia="zh-HK"/>
        </w:rPr>
        <w:t>6</w:t>
      </w:r>
      <w:r w:rsidRPr="00D53513">
        <w:rPr>
          <w:rFonts w:hint="eastAsia"/>
          <w:b/>
          <w:spacing w:val="-2"/>
          <w:szCs w:val="28"/>
        </w:rPr>
        <w:t>C</w:t>
      </w:r>
      <w:r w:rsidRPr="00D53513">
        <w:rPr>
          <w:rFonts w:hint="eastAsia"/>
          <w:spacing w:val="-2"/>
          <w:szCs w:val="28"/>
          <w:lang w:val="en-GB"/>
        </w:rPr>
        <w:t>。</w:t>
      </w:r>
      <w:r w:rsidRPr="00D53513">
        <w:rPr>
          <w:rFonts w:hint="eastAsia"/>
          <w:spacing w:val="-2"/>
          <w:szCs w:val="28"/>
          <w:lang w:val="en-GB" w:eastAsia="zh-HK"/>
        </w:rPr>
        <w:t>自</w:t>
      </w:r>
      <w:r w:rsidRPr="00D53513">
        <w:rPr>
          <w:spacing w:val="-2"/>
          <w:szCs w:val="28"/>
          <w:lang w:val="en-GB"/>
        </w:rPr>
        <w:t>2009</w:t>
      </w:r>
      <w:r w:rsidRPr="00D53513">
        <w:rPr>
          <w:rFonts w:hint="eastAsia"/>
          <w:spacing w:val="-2"/>
          <w:szCs w:val="28"/>
          <w:lang w:val="en-GB"/>
        </w:rPr>
        <w:t>年</w:t>
      </w:r>
      <w:r w:rsidRPr="00D53513">
        <w:rPr>
          <w:rFonts w:hint="eastAsia"/>
          <w:spacing w:val="-2"/>
          <w:szCs w:val="28"/>
          <w:lang w:val="en-GB"/>
        </w:rPr>
        <w:t>9</w:t>
      </w:r>
      <w:r w:rsidRPr="00D53513">
        <w:rPr>
          <w:rFonts w:hint="eastAsia"/>
          <w:spacing w:val="-2"/>
          <w:szCs w:val="28"/>
          <w:lang w:val="en-GB" w:eastAsia="zh-HK"/>
        </w:rPr>
        <w:t>月</w:t>
      </w:r>
      <w:r w:rsidRPr="00D53513">
        <w:rPr>
          <w:rFonts w:hint="eastAsia"/>
          <w:spacing w:val="-2"/>
          <w:szCs w:val="28"/>
          <w:lang w:val="en-GB"/>
        </w:rPr>
        <w:t>至</w:t>
      </w:r>
      <w:r w:rsidRPr="00D53513">
        <w:rPr>
          <w:spacing w:val="-2"/>
          <w:szCs w:val="28"/>
          <w:lang w:val="en-GB"/>
        </w:rPr>
        <w:t>2018</w:t>
      </w:r>
      <w:r w:rsidRPr="00D53513">
        <w:rPr>
          <w:rFonts w:hint="eastAsia"/>
          <w:spacing w:val="-2"/>
          <w:szCs w:val="28"/>
          <w:lang w:val="en-GB"/>
        </w:rPr>
        <w:t>年年底，共有超過</w:t>
      </w:r>
      <w:r w:rsidRPr="00322153">
        <w:rPr>
          <w:szCs w:val="28"/>
          <w:lang w:val="en-GB"/>
        </w:rPr>
        <w:t>77</w:t>
      </w:r>
      <w:r>
        <w:rPr>
          <w:szCs w:val="28"/>
          <w:lang w:val="en-GB"/>
        </w:rPr>
        <w:t> </w:t>
      </w:r>
      <w:r w:rsidRPr="00322153">
        <w:rPr>
          <w:szCs w:val="28"/>
          <w:lang w:val="en-GB"/>
        </w:rPr>
        <w:t>000</w:t>
      </w:r>
      <w:r w:rsidRPr="00322153">
        <w:rPr>
          <w:rFonts w:hint="eastAsia"/>
          <w:szCs w:val="28"/>
          <w:lang w:val="en-GB"/>
        </w:rPr>
        <w:t>名青年人參加</w:t>
      </w:r>
      <w:r>
        <w:rPr>
          <w:rFonts w:hint="eastAsia"/>
          <w:szCs w:val="28"/>
          <w:lang w:val="en-GB"/>
        </w:rPr>
        <w:t>。</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szCs w:val="28"/>
          <w:lang w:val="en-GB"/>
        </w:rPr>
      </w:pPr>
      <w:r w:rsidRPr="00350F19">
        <w:rPr>
          <w:szCs w:val="28"/>
          <w:lang w:val="en-GB"/>
        </w:rPr>
        <w:t>6.</w:t>
      </w:r>
      <w:r>
        <w:rPr>
          <w:rFonts w:hint="eastAsia"/>
          <w:szCs w:val="28"/>
          <w:lang w:val="en-GB" w:eastAsia="zh-HK"/>
        </w:rPr>
        <w:t>4</w:t>
      </w:r>
      <w:r w:rsidRPr="00350F19">
        <w:rPr>
          <w:szCs w:val="28"/>
          <w:lang w:val="en-GB"/>
        </w:rPr>
        <w:tab/>
      </w:r>
      <w:r w:rsidRPr="00350F19">
        <w:rPr>
          <w:rFonts w:hint="eastAsia"/>
          <w:szCs w:val="28"/>
          <w:lang w:val="en-GB"/>
        </w:rPr>
        <w:t>勞工處的兩所「青年就業資源中心」，為</w:t>
      </w:r>
      <w:r w:rsidRPr="00350F19">
        <w:rPr>
          <w:szCs w:val="28"/>
          <w:lang w:val="en-GB"/>
        </w:rPr>
        <w:t>15</w:t>
      </w:r>
      <w:r w:rsidRPr="00350F19">
        <w:rPr>
          <w:rFonts w:hint="eastAsia"/>
          <w:szCs w:val="28"/>
          <w:lang w:val="en-GB"/>
        </w:rPr>
        <w:t>至</w:t>
      </w:r>
      <w:r w:rsidRPr="00350F19">
        <w:rPr>
          <w:szCs w:val="28"/>
          <w:lang w:val="en-GB"/>
        </w:rPr>
        <w:t>29</w:t>
      </w:r>
      <w:r w:rsidRPr="00350F19">
        <w:rPr>
          <w:rFonts w:hint="eastAsia"/>
          <w:szCs w:val="28"/>
          <w:lang w:val="en-GB"/>
        </w:rPr>
        <w:t>歲青年人提供一站式的綜合就業及自僱支援服務。兩所中心每年服務超過七萬名青年人。</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b/>
          <w:szCs w:val="28"/>
          <w:lang w:val="en-GB"/>
        </w:rPr>
      </w:pPr>
      <w:r w:rsidRPr="00350F19">
        <w:rPr>
          <w:rFonts w:hint="eastAsia"/>
          <w:b/>
          <w:szCs w:val="28"/>
          <w:lang w:val="en-GB"/>
        </w:rPr>
        <w:t>職業訓練</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szCs w:val="28"/>
          <w:lang w:val="en-GB"/>
        </w:rPr>
      </w:pPr>
      <w:r w:rsidRPr="00350F19">
        <w:rPr>
          <w:szCs w:val="28"/>
          <w:lang w:val="en-GB"/>
        </w:rPr>
        <w:t>6.</w:t>
      </w:r>
      <w:r>
        <w:rPr>
          <w:rFonts w:hint="eastAsia"/>
          <w:szCs w:val="28"/>
          <w:lang w:val="en-GB" w:eastAsia="zh-HK"/>
        </w:rPr>
        <w:t>5</w:t>
      </w:r>
      <w:r w:rsidRPr="00350F19">
        <w:rPr>
          <w:szCs w:val="28"/>
          <w:lang w:val="en-GB"/>
        </w:rPr>
        <w:tab/>
      </w:r>
      <w:r w:rsidRPr="00F52F38">
        <w:rPr>
          <w:szCs w:val="28"/>
          <w:lang w:val="en-GB"/>
        </w:rPr>
        <w:t>如</w:t>
      </w:r>
      <w:r w:rsidRPr="00F52F38">
        <w:rPr>
          <w:rFonts w:hint="eastAsia"/>
          <w:szCs w:val="28"/>
          <w:lang w:val="en-GB"/>
        </w:rPr>
        <w:t>上次報告第</w:t>
      </w:r>
      <w:r w:rsidRPr="00F52F38">
        <w:rPr>
          <w:rFonts w:hint="eastAsia"/>
          <w:szCs w:val="28"/>
          <w:lang w:val="en-GB"/>
        </w:rPr>
        <w:t>6.</w:t>
      </w:r>
      <w:r>
        <w:rPr>
          <w:rFonts w:hint="eastAsia"/>
          <w:szCs w:val="28"/>
          <w:lang w:val="en-GB"/>
        </w:rPr>
        <w:t>11</w:t>
      </w:r>
      <w:r w:rsidRPr="00F52F38">
        <w:rPr>
          <w:rFonts w:hint="eastAsia"/>
          <w:szCs w:val="28"/>
          <w:lang w:val="en-GB"/>
        </w:rPr>
        <w:t>段所述，</w:t>
      </w:r>
      <w:r w:rsidRPr="00350F19">
        <w:rPr>
          <w:rFonts w:hint="eastAsia"/>
          <w:szCs w:val="28"/>
          <w:lang w:val="en-GB"/>
        </w:rPr>
        <w:t>僱員再培訓局（再培訓局）為尋求工作或轉業的工人提供再培訓，以協助他們另覓新職。該局</w:t>
      </w:r>
      <w:r>
        <w:rPr>
          <w:rFonts w:hint="eastAsia"/>
          <w:szCs w:val="28"/>
          <w:lang w:val="en-GB"/>
        </w:rPr>
        <w:t>自</w:t>
      </w:r>
      <w:r>
        <w:rPr>
          <w:rFonts w:hint="eastAsia"/>
          <w:szCs w:val="28"/>
          <w:lang w:val="en-GB"/>
        </w:rPr>
        <w:t>1992</w:t>
      </w:r>
      <w:r>
        <w:rPr>
          <w:rFonts w:hint="eastAsia"/>
          <w:szCs w:val="28"/>
          <w:lang w:val="en-GB" w:eastAsia="zh-HK"/>
        </w:rPr>
        <w:t>年成立</w:t>
      </w:r>
      <w:r w:rsidRPr="00350F19">
        <w:rPr>
          <w:rFonts w:hint="eastAsia"/>
          <w:szCs w:val="28"/>
          <w:lang w:val="en-GB"/>
        </w:rPr>
        <w:t>至</w:t>
      </w:r>
      <w:r w:rsidRPr="00350F19">
        <w:rPr>
          <w:szCs w:val="28"/>
          <w:lang w:val="en-GB"/>
        </w:rPr>
        <w:t>2018</w:t>
      </w:r>
      <w:r w:rsidRPr="00350F19">
        <w:rPr>
          <w:rFonts w:hint="eastAsia"/>
          <w:szCs w:val="28"/>
          <w:lang w:val="en-GB"/>
        </w:rPr>
        <w:t>年年底已提供合共約</w:t>
      </w:r>
      <w:r w:rsidRPr="00350F19">
        <w:rPr>
          <w:szCs w:val="28"/>
          <w:lang w:val="en-GB"/>
        </w:rPr>
        <w:t>260</w:t>
      </w:r>
      <w:r w:rsidRPr="00350F19">
        <w:rPr>
          <w:rFonts w:hint="eastAsia"/>
          <w:szCs w:val="28"/>
          <w:lang w:val="en-GB"/>
        </w:rPr>
        <w:t>萬個培訓名額。</w:t>
      </w:r>
      <w:r>
        <w:rPr>
          <w:rFonts w:hint="eastAsia"/>
          <w:szCs w:val="28"/>
          <w:lang w:val="en-GB" w:eastAsia="zh-HK"/>
        </w:rPr>
        <w:t>過</w:t>
      </w:r>
      <w:r>
        <w:rPr>
          <w:rFonts w:hint="eastAsia"/>
          <w:szCs w:val="28"/>
          <w:lang w:val="en-GB"/>
        </w:rPr>
        <w:t>去</w:t>
      </w:r>
      <w:r w:rsidRPr="00350F19">
        <w:rPr>
          <w:rFonts w:hint="eastAsia"/>
          <w:szCs w:val="28"/>
          <w:lang w:val="en-GB"/>
        </w:rPr>
        <w:t>三年學員的整體就業率約為</w:t>
      </w:r>
      <w:r w:rsidRPr="00350F19">
        <w:rPr>
          <w:szCs w:val="28"/>
          <w:lang w:val="en-GB"/>
        </w:rPr>
        <w:t>83%</w:t>
      </w:r>
      <w:r w:rsidRPr="00350F19">
        <w:rPr>
          <w:rFonts w:hint="eastAsia"/>
          <w:szCs w:val="28"/>
          <w:lang w:val="en-GB"/>
        </w:rPr>
        <w:t>。</w:t>
      </w:r>
      <w:r>
        <w:rPr>
          <w:rFonts w:hint="eastAsia"/>
          <w:szCs w:val="28"/>
          <w:lang w:val="en-GB" w:eastAsia="zh-HK"/>
        </w:rPr>
        <w:t>詳</w:t>
      </w:r>
      <w:r>
        <w:rPr>
          <w:rFonts w:hint="eastAsia"/>
          <w:szCs w:val="28"/>
          <w:lang w:val="en-GB"/>
        </w:rPr>
        <w:t>情</w:t>
      </w:r>
      <w:r>
        <w:rPr>
          <w:rFonts w:hint="eastAsia"/>
          <w:szCs w:val="28"/>
          <w:lang w:val="en-GB" w:eastAsia="zh-HK"/>
        </w:rPr>
        <w:t>見</w:t>
      </w:r>
      <w:r w:rsidRPr="00B41B70">
        <w:rPr>
          <w:rFonts w:hint="eastAsia"/>
          <w:b/>
          <w:szCs w:val="28"/>
          <w:lang w:val="en-GB" w:eastAsia="zh-HK"/>
        </w:rPr>
        <w:t>附件</w:t>
      </w:r>
      <w:r w:rsidRPr="00B41B70">
        <w:rPr>
          <w:rFonts w:hint="eastAsia"/>
          <w:b/>
          <w:szCs w:val="28"/>
          <w:lang w:val="en-GB" w:eastAsia="zh-HK"/>
        </w:rPr>
        <w:t>6</w:t>
      </w:r>
      <w:r>
        <w:rPr>
          <w:rFonts w:hint="eastAsia"/>
          <w:b/>
          <w:szCs w:val="28"/>
          <w:lang w:val="en-GB"/>
        </w:rPr>
        <w:t>D</w:t>
      </w:r>
      <w:r>
        <w:rPr>
          <w:rFonts w:hint="eastAsia"/>
          <w:b/>
          <w:szCs w:val="28"/>
          <w:lang w:val="en-GB"/>
        </w:rPr>
        <w:t>。</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szCs w:val="28"/>
          <w:lang w:val="en-GB"/>
        </w:rPr>
      </w:pPr>
      <w:r w:rsidRPr="00350F19">
        <w:rPr>
          <w:szCs w:val="28"/>
          <w:lang w:val="en-GB"/>
        </w:rPr>
        <w:lastRenderedPageBreak/>
        <w:t>6.</w:t>
      </w:r>
      <w:r>
        <w:rPr>
          <w:rFonts w:hint="eastAsia"/>
          <w:szCs w:val="28"/>
          <w:lang w:val="en-GB"/>
        </w:rPr>
        <w:t>6</w:t>
      </w:r>
      <w:r w:rsidRPr="00350F19">
        <w:rPr>
          <w:szCs w:val="28"/>
          <w:lang w:val="en-GB"/>
        </w:rPr>
        <w:tab/>
      </w:r>
      <w:r w:rsidRPr="00E73040">
        <w:rPr>
          <w:szCs w:val="28"/>
          <w:lang w:val="en-GB"/>
        </w:rPr>
        <w:t>如</w:t>
      </w:r>
      <w:r w:rsidRPr="00E73040">
        <w:rPr>
          <w:rFonts w:hint="eastAsia"/>
          <w:szCs w:val="28"/>
          <w:lang w:val="en-GB"/>
        </w:rPr>
        <w:t>上次報告第</w:t>
      </w:r>
      <w:r w:rsidRPr="00E73040">
        <w:rPr>
          <w:rFonts w:hint="eastAsia"/>
          <w:szCs w:val="28"/>
          <w:lang w:val="en-GB"/>
        </w:rPr>
        <w:t>6.1</w:t>
      </w:r>
      <w:r>
        <w:rPr>
          <w:szCs w:val="28"/>
          <w:lang w:val="en-GB"/>
        </w:rPr>
        <w:t>4</w:t>
      </w:r>
      <w:r w:rsidRPr="00E73040">
        <w:rPr>
          <w:rFonts w:hint="eastAsia"/>
          <w:szCs w:val="28"/>
          <w:lang w:val="en-GB"/>
        </w:rPr>
        <w:t>段所述，</w:t>
      </w:r>
      <w:r w:rsidRPr="00350F19">
        <w:rPr>
          <w:rFonts w:hint="eastAsia"/>
          <w:szCs w:val="28"/>
          <w:lang w:val="en-GB"/>
        </w:rPr>
        <w:t>職業訓練局亦是提供職業培</w:t>
      </w:r>
      <w:r w:rsidRPr="00D53513">
        <w:rPr>
          <w:rFonts w:hint="eastAsia"/>
          <w:spacing w:val="2"/>
          <w:szCs w:val="28"/>
          <w:lang w:val="en-GB"/>
        </w:rPr>
        <w:t>訓的主要機構，並負責就有關職業培訓的政策向政府提供意見。</w:t>
      </w:r>
      <w:r w:rsidRPr="00D53513">
        <w:rPr>
          <w:spacing w:val="2"/>
          <w:szCs w:val="28"/>
          <w:lang w:val="en-GB"/>
        </w:rPr>
        <w:t>14</w:t>
      </w:r>
      <w:r w:rsidRPr="00D53513">
        <w:rPr>
          <w:rFonts w:hint="eastAsia"/>
          <w:spacing w:val="2"/>
          <w:szCs w:val="28"/>
          <w:lang w:val="en-GB"/>
        </w:rPr>
        <w:t>所</w:t>
      </w:r>
      <w:r w:rsidRPr="00350F19">
        <w:rPr>
          <w:rFonts w:hint="eastAsia"/>
          <w:szCs w:val="28"/>
          <w:lang w:val="en-GB"/>
        </w:rPr>
        <w:t>院校在</w:t>
      </w:r>
      <w:r w:rsidRPr="00350F19">
        <w:rPr>
          <w:szCs w:val="28"/>
          <w:lang w:val="en-GB"/>
        </w:rPr>
        <w:t>2017-18</w:t>
      </w:r>
      <w:r w:rsidRPr="00350F19">
        <w:rPr>
          <w:rFonts w:hint="eastAsia"/>
          <w:szCs w:val="28"/>
          <w:lang w:val="en-GB"/>
        </w:rPr>
        <w:t>學年共提供約</w:t>
      </w:r>
      <w:r w:rsidRPr="00350F19">
        <w:rPr>
          <w:szCs w:val="28"/>
          <w:lang w:val="en-GB"/>
        </w:rPr>
        <w:t>19</w:t>
      </w:r>
      <w:r>
        <w:rPr>
          <w:szCs w:val="28"/>
          <w:lang w:val="en-GB"/>
        </w:rPr>
        <w:t> </w:t>
      </w:r>
      <w:r w:rsidRPr="00350F19">
        <w:rPr>
          <w:szCs w:val="28"/>
          <w:lang w:val="en-GB"/>
        </w:rPr>
        <w:t>900</w:t>
      </w:r>
      <w:r w:rsidRPr="00350F19">
        <w:rPr>
          <w:rFonts w:hint="eastAsia"/>
          <w:szCs w:val="28"/>
          <w:lang w:val="en-GB"/>
        </w:rPr>
        <w:t>個全日制及兼讀課程學額。</w:t>
      </w:r>
      <w:r>
        <w:rPr>
          <w:rFonts w:hint="eastAsia"/>
          <w:szCs w:val="28"/>
          <w:lang w:val="en-GB" w:eastAsia="zh-HK"/>
        </w:rPr>
        <w:t>詳</w:t>
      </w:r>
      <w:r>
        <w:rPr>
          <w:rFonts w:hint="eastAsia"/>
          <w:szCs w:val="28"/>
          <w:lang w:val="en-GB"/>
        </w:rPr>
        <w:t>情</w:t>
      </w:r>
      <w:r>
        <w:rPr>
          <w:rFonts w:hint="eastAsia"/>
          <w:szCs w:val="28"/>
          <w:lang w:val="en-GB" w:eastAsia="zh-HK"/>
        </w:rPr>
        <w:t>見</w:t>
      </w:r>
      <w:r w:rsidRPr="00350F19">
        <w:rPr>
          <w:rFonts w:hint="eastAsia"/>
          <w:b/>
          <w:szCs w:val="28"/>
          <w:lang w:val="en-GB"/>
        </w:rPr>
        <w:t>附件</w:t>
      </w:r>
      <w:r w:rsidRPr="00350F19">
        <w:rPr>
          <w:b/>
          <w:szCs w:val="28"/>
          <w:lang w:val="en-GB"/>
        </w:rPr>
        <w:t>6</w:t>
      </w:r>
      <w:r>
        <w:rPr>
          <w:rFonts w:hint="eastAsia"/>
          <w:b/>
          <w:szCs w:val="28"/>
          <w:lang w:val="en-GB"/>
        </w:rPr>
        <w:t>E</w:t>
      </w:r>
      <w:r w:rsidRPr="00350F19">
        <w:rPr>
          <w:rFonts w:hint="eastAsia"/>
          <w:szCs w:val="28"/>
          <w:lang w:val="en-GB"/>
        </w:rPr>
        <w:t>。</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szCs w:val="28"/>
          <w:lang w:val="en-GB"/>
        </w:rPr>
      </w:pPr>
      <w:r w:rsidRPr="00350F19">
        <w:rPr>
          <w:szCs w:val="28"/>
          <w:lang w:val="en-GB"/>
        </w:rPr>
        <w:t>6.</w:t>
      </w:r>
      <w:r>
        <w:rPr>
          <w:rFonts w:hint="eastAsia"/>
          <w:szCs w:val="28"/>
          <w:lang w:val="en-GB"/>
        </w:rPr>
        <w:t>7</w:t>
      </w:r>
      <w:r w:rsidRPr="00350F19">
        <w:rPr>
          <w:szCs w:val="28"/>
          <w:lang w:val="en-GB"/>
        </w:rPr>
        <w:tab/>
      </w:r>
      <w:r w:rsidRPr="00350F19">
        <w:rPr>
          <w:rFonts w:hint="eastAsia"/>
          <w:szCs w:val="28"/>
          <w:lang w:val="en-GB"/>
        </w:rPr>
        <w:t>上次報告第</w:t>
      </w:r>
      <w:r w:rsidRPr="00350F19">
        <w:rPr>
          <w:szCs w:val="28"/>
          <w:lang w:val="en-GB"/>
        </w:rPr>
        <w:t>6.15</w:t>
      </w:r>
      <w:r w:rsidRPr="00350F19">
        <w:rPr>
          <w:rFonts w:hint="eastAsia"/>
          <w:szCs w:val="28"/>
          <w:lang w:val="en-GB"/>
        </w:rPr>
        <w:t>段所述</w:t>
      </w:r>
      <w:r>
        <w:rPr>
          <w:rFonts w:hint="eastAsia"/>
          <w:szCs w:val="28"/>
          <w:lang w:val="en-GB"/>
        </w:rPr>
        <w:t>有關</w:t>
      </w:r>
      <w:r w:rsidRPr="00350F19">
        <w:rPr>
          <w:rFonts w:hint="eastAsia"/>
          <w:szCs w:val="28"/>
          <w:lang w:val="en-GB"/>
        </w:rPr>
        <w:t>學徒訓練的情況並無改變。職業訓練局根據《學徒制度條例》</w:t>
      </w:r>
      <w:r>
        <w:rPr>
          <w:rFonts w:hint="eastAsia"/>
          <w:szCs w:val="28"/>
          <w:lang w:val="en-GB"/>
        </w:rPr>
        <w:t>（</w:t>
      </w:r>
      <w:r>
        <w:rPr>
          <w:rFonts w:hint="eastAsia"/>
          <w:szCs w:val="28"/>
          <w:lang w:val="en-GB" w:eastAsia="zh-HK"/>
        </w:rPr>
        <w:t>第</w:t>
      </w:r>
      <w:r>
        <w:rPr>
          <w:rFonts w:hint="eastAsia"/>
          <w:szCs w:val="28"/>
          <w:lang w:val="en-GB"/>
        </w:rPr>
        <w:t>47</w:t>
      </w:r>
      <w:r>
        <w:rPr>
          <w:rFonts w:hint="eastAsia"/>
          <w:szCs w:val="28"/>
          <w:lang w:val="en-GB" w:eastAsia="zh-HK"/>
        </w:rPr>
        <w:t>章</w:t>
      </w:r>
      <w:r>
        <w:rPr>
          <w:rFonts w:hint="eastAsia"/>
          <w:szCs w:val="28"/>
          <w:lang w:val="en-GB"/>
        </w:rPr>
        <w:t>）</w:t>
      </w:r>
      <w:r w:rsidRPr="00350F19">
        <w:rPr>
          <w:rFonts w:hint="eastAsia"/>
          <w:szCs w:val="28"/>
          <w:lang w:val="en-GB"/>
        </w:rPr>
        <w:t>推行「學徒訓練計劃」以規管註冊學徒的培訓及就業。該計劃截至</w:t>
      </w:r>
      <w:r w:rsidRPr="00350F19">
        <w:rPr>
          <w:szCs w:val="28"/>
          <w:lang w:val="en-GB"/>
        </w:rPr>
        <w:t>2018</w:t>
      </w:r>
      <w:r w:rsidRPr="00350F19">
        <w:rPr>
          <w:rFonts w:hint="eastAsia"/>
          <w:szCs w:val="28"/>
          <w:lang w:val="en-GB"/>
        </w:rPr>
        <w:t>年底共有</w:t>
      </w:r>
      <w:r w:rsidRPr="00350F19">
        <w:rPr>
          <w:szCs w:val="28"/>
          <w:lang w:val="en-GB"/>
        </w:rPr>
        <w:t>5</w:t>
      </w:r>
      <w:r>
        <w:rPr>
          <w:szCs w:val="28"/>
          <w:lang w:val="en-GB"/>
        </w:rPr>
        <w:t> </w:t>
      </w:r>
      <w:r w:rsidRPr="00350F19">
        <w:rPr>
          <w:szCs w:val="28"/>
          <w:lang w:val="en-GB"/>
        </w:rPr>
        <w:t>208</w:t>
      </w:r>
      <w:r w:rsidRPr="00350F19">
        <w:rPr>
          <w:rFonts w:hint="eastAsia"/>
          <w:szCs w:val="28"/>
          <w:lang w:val="en-GB"/>
        </w:rPr>
        <w:t>名註冊學徒。</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b/>
          <w:szCs w:val="28"/>
          <w:lang w:val="en-GB"/>
        </w:rPr>
      </w:pPr>
      <w:r w:rsidRPr="00350F19">
        <w:rPr>
          <w:rFonts w:hint="eastAsia"/>
          <w:b/>
          <w:szCs w:val="28"/>
          <w:lang w:val="en-GB"/>
        </w:rPr>
        <w:t>保障僱員免受無理解僱</w:t>
      </w:r>
    </w:p>
    <w:p w:rsidR="006D2061" w:rsidRPr="00350F19" w:rsidRDefault="006D2061" w:rsidP="008375BB">
      <w:pPr>
        <w:tabs>
          <w:tab w:val="left" w:pos="1440"/>
        </w:tabs>
        <w:adjustRightInd w:val="0"/>
        <w:snapToGrid w:val="0"/>
        <w:spacing w:line="400" w:lineRule="atLeast"/>
        <w:jc w:val="both"/>
        <w:rPr>
          <w:szCs w:val="28"/>
          <w:lang w:val="en-GB"/>
        </w:rPr>
      </w:pPr>
    </w:p>
    <w:p w:rsidR="006D2061" w:rsidRPr="00350F19" w:rsidRDefault="006D2061" w:rsidP="008375BB">
      <w:pPr>
        <w:tabs>
          <w:tab w:val="left" w:pos="1440"/>
        </w:tabs>
        <w:adjustRightInd w:val="0"/>
        <w:snapToGrid w:val="0"/>
        <w:spacing w:line="400" w:lineRule="atLeast"/>
        <w:jc w:val="both"/>
        <w:rPr>
          <w:szCs w:val="28"/>
          <w:lang w:val="en-GB"/>
        </w:rPr>
      </w:pPr>
      <w:r w:rsidRPr="00350F19">
        <w:rPr>
          <w:szCs w:val="28"/>
          <w:lang w:val="en-GB"/>
        </w:rPr>
        <w:t>6.</w:t>
      </w:r>
      <w:r>
        <w:rPr>
          <w:szCs w:val="28"/>
          <w:lang w:val="en-GB"/>
        </w:rPr>
        <w:t>8</w:t>
      </w:r>
      <w:r w:rsidRPr="00350F19">
        <w:rPr>
          <w:szCs w:val="28"/>
          <w:lang w:val="en-GB"/>
        </w:rPr>
        <w:t xml:space="preserve"> </w:t>
      </w:r>
      <w:r w:rsidRPr="00350F19">
        <w:rPr>
          <w:szCs w:val="28"/>
          <w:lang w:val="en-GB"/>
        </w:rPr>
        <w:tab/>
      </w:r>
      <w:r w:rsidRPr="00350F19">
        <w:rPr>
          <w:rFonts w:hint="eastAsia"/>
          <w:szCs w:val="28"/>
          <w:lang w:val="en-GB"/>
        </w:rPr>
        <w:t>保障僱員免遭不合理解僱措施的情況與上</w:t>
      </w:r>
      <w:r>
        <w:rPr>
          <w:rFonts w:hint="eastAsia"/>
          <w:szCs w:val="28"/>
          <w:lang w:val="en-GB" w:eastAsia="zh-HK"/>
        </w:rPr>
        <w:t>次</w:t>
      </w:r>
      <w:r w:rsidRPr="00350F19">
        <w:rPr>
          <w:rFonts w:hint="eastAsia"/>
          <w:szCs w:val="28"/>
          <w:lang w:val="en-GB"/>
        </w:rPr>
        <w:t>報告第</w:t>
      </w:r>
      <w:r w:rsidRPr="00350F19">
        <w:rPr>
          <w:szCs w:val="28"/>
          <w:lang w:val="en-GB"/>
        </w:rPr>
        <w:t>6.16</w:t>
      </w:r>
      <w:r w:rsidRPr="00350F19">
        <w:rPr>
          <w:rFonts w:hint="eastAsia"/>
          <w:szCs w:val="28"/>
          <w:lang w:val="en-GB"/>
        </w:rPr>
        <w:t>段的相同。為加強對僱員的保障，政府於</w:t>
      </w:r>
      <w:r w:rsidRPr="00350F19">
        <w:rPr>
          <w:szCs w:val="28"/>
          <w:lang w:val="en-GB"/>
        </w:rPr>
        <w:t>2018</w:t>
      </w:r>
      <w:r w:rsidRPr="00350F19">
        <w:rPr>
          <w:rFonts w:hint="eastAsia"/>
          <w:szCs w:val="28"/>
          <w:lang w:val="en-GB"/>
        </w:rPr>
        <w:t>年</w:t>
      </w:r>
      <w:r w:rsidRPr="00350F19">
        <w:rPr>
          <w:szCs w:val="28"/>
          <w:lang w:val="en-GB"/>
        </w:rPr>
        <w:t>10</w:t>
      </w:r>
      <w:r w:rsidRPr="00350F19">
        <w:rPr>
          <w:rFonts w:hint="eastAsia"/>
          <w:szCs w:val="28"/>
          <w:lang w:val="en-GB"/>
        </w:rPr>
        <w:t>月實施《</w:t>
      </w:r>
      <w:r w:rsidRPr="00350F19">
        <w:rPr>
          <w:szCs w:val="28"/>
          <w:lang w:val="en-GB"/>
        </w:rPr>
        <w:t>2018</w:t>
      </w:r>
      <w:r w:rsidRPr="00350F19">
        <w:rPr>
          <w:rFonts w:hint="eastAsia"/>
          <w:szCs w:val="28"/>
          <w:lang w:val="en-GB"/>
        </w:rPr>
        <w:t>年僱傭（修訂）（第</w:t>
      </w:r>
      <w:r w:rsidRPr="00350F19">
        <w:rPr>
          <w:szCs w:val="28"/>
          <w:lang w:val="en-GB"/>
        </w:rPr>
        <w:t>2</w:t>
      </w:r>
      <w:r w:rsidRPr="00350F19">
        <w:rPr>
          <w:rFonts w:hint="eastAsia"/>
          <w:szCs w:val="28"/>
          <w:lang w:val="en-GB"/>
        </w:rPr>
        <w:t>號）條例》，賦權勞資審裁處及法院就僱員遭不合</w:t>
      </w:r>
      <w:r w:rsidRPr="00D53513">
        <w:rPr>
          <w:rFonts w:hint="eastAsia"/>
          <w:spacing w:val="2"/>
          <w:szCs w:val="28"/>
          <w:lang w:val="en-GB"/>
        </w:rPr>
        <w:t>理及不合法解僱的情況，可無須先取得僱主的同意，</w:t>
      </w:r>
      <w:r w:rsidRPr="00D53513">
        <w:rPr>
          <w:rFonts w:hint="eastAsia"/>
          <w:spacing w:val="2"/>
          <w:szCs w:val="28"/>
          <w:lang w:val="en-GB" w:eastAsia="zh-HK"/>
        </w:rPr>
        <w:t>而</w:t>
      </w:r>
      <w:r w:rsidRPr="00D53513">
        <w:rPr>
          <w:rFonts w:hint="eastAsia"/>
          <w:spacing w:val="2"/>
          <w:szCs w:val="28"/>
          <w:lang w:val="en-GB"/>
        </w:rPr>
        <w:t>作出強制復職</w:t>
      </w:r>
      <w:r w:rsidRPr="00350F19">
        <w:rPr>
          <w:rFonts w:hint="eastAsia"/>
          <w:szCs w:val="28"/>
          <w:lang w:val="en-GB"/>
        </w:rPr>
        <w:t>或再次聘用命令。如僱主最終沒有履行有關命令，除須向僱員支付由勞資審裁處判給的金錢補救外，並須支付額外款項，款額為有關僱</w:t>
      </w:r>
      <w:r w:rsidRPr="00D53513">
        <w:rPr>
          <w:rFonts w:hint="eastAsia"/>
          <w:spacing w:val="2"/>
          <w:szCs w:val="28"/>
          <w:lang w:val="en-GB"/>
        </w:rPr>
        <w:t>員平均月薪的三倍，上限為</w:t>
      </w:r>
      <w:r w:rsidRPr="00D53513">
        <w:rPr>
          <w:spacing w:val="2"/>
          <w:szCs w:val="28"/>
          <w:lang w:val="en-GB"/>
        </w:rPr>
        <w:t>72,500</w:t>
      </w:r>
      <w:r w:rsidRPr="00D53513">
        <w:rPr>
          <w:rFonts w:hint="eastAsia"/>
          <w:spacing w:val="2"/>
          <w:szCs w:val="28"/>
          <w:lang w:val="en-GB"/>
        </w:rPr>
        <w:t>元。僱主故意及無合理辯解不支付</w:t>
      </w:r>
      <w:r w:rsidRPr="00350F19">
        <w:rPr>
          <w:rFonts w:hint="eastAsia"/>
          <w:szCs w:val="28"/>
          <w:lang w:val="en-GB"/>
        </w:rPr>
        <w:t>該額外款項，屬刑事罪行。</w:t>
      </w:r>
    </w:p>
    <w:p w:rsidR="006D2061" w:rsidRPr="00350F19"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b/>
          <w:szCs w:val="28"/>
        </w:rPr>
      </w:pPr>
      <w:r w:rsidRPr="00B71C2E">
        <w:rPr>
          <w:rFonts w:hint="eastAsia"/>
          <w:b/>
          <w:szCs w:val="28"/>
        </w:rPr>
        <w:t>輸入勞工</w:t>
      </w:r>
    </w:p>
    <w:p w:rsidR="006D2061" w:rsidRPr="00525300" w:rsidRDefault="006D2061" w:rsidP="008375BB">
      <w:pPr>
        <w:tabs>
          <w:tab w:val="left" w:pos="1440"/>
        </w:tabs>
        <w:adjustRightInd w:val="0"/>
        <w:snapToGrid w:val="0"/>
        <w:spacing w:line="400" w:lineRule="atLeast"/>
        <w:jc w:val="both"/>
        <w:rPr>
          <w:szCs w:val="28"/>
        </w:rPr>
      </w:pPr>
    </w:p>
    <w:p w:rsidR="006D2061" w:rsidRPr="00B71C2E" w:rsidRDefault="006D2061" w:rsidP="008375BB">
      <w:pPr>
        <w:tabs>
          <w:tab w:val="left" w:pos="1440"/>
        </w:tabs>
        <w:adjustRightInd w:val="0"/>
        <w:snapToGrid w:val="0"/>
        <w:spacing w:line="400" w:lineRule="atLeast"/>
        <w:jc w:val="both"/>
        <w:rPr>
          <w:szCs w:val="28"/>
        </w:rPr>
      </w:pPr>
      <w:r w:rsidRPr="00B71C2E">
        <w:rPr>
          <w:rFonts w:hint="eastAsia"/>
          <w:szCs w:val="28"/>
        </w:rPr>
        <w:t>6.</w:t>
      </w:r>
      <w:r>
        <w:rPr>
          <w:szCs w:val="28"/>
        </w:rPr>
        <w:t>9</w:t>
      </w:r>
      <w:r w:rsidRPr="00B71C2E">
        <w:rPr>
          <w:szCs w:val="28"/>
        </w:rPr>
        <w:tab/>
      </w:r>
      <w:r w:rsidRPr="00B71C2E">
        <w:rPr>
          <w:rFonts w:hint="eastAsia"/>
          <w:szCs w:val="28"/>
        </w:rPr>
        <w:t>香港在輸入優才及專業人士方面奉行開放的入境政策，亦設各項人才入境計劃便利所需人才來港。除上次報告第</w:t>
      </w:r>
      <w:r w:rsidRPr="00B71C2E">
        <w:rPr>
          <w:rFonts w:hint="eastAsia"/>
          <w:szCs w:val="28"/>
        </w:rPr>
        <w:t>6.18</w:t>
      </w:r>
      <w:r w:rsidRPr="00B71C2E">
        <w:rPr>
          <w:rFonts w:hint="eastAsia"/>
          <w:szCs w:val="28"/>
        </w:rPr>
        <w:t>段所提及計劃外，</w:t>
      </w:r>
      <w:r w:rsidRPr="0099337F">
        <w:rPr>
          <w:szCs w:val="28"/>
        </w:rPr>
        <w:t>“</w:t>
      </w:r>
      <w:r w:rsidRPr="00B71C2E">
        <w:rPr>
          <w:rFonts w:hint="eastAsia"/>
          <w:szCs w:val="28"/>
        </w:rPr>
        <w:t>輸入中國籍香港永久性居民第二代計劃</w:t>
      </w:r>
      <w:r w:rsidRPr="0099337F">
        <w:rPr>
          <w:szCs w:val="28"/>
        </w:rPr>
        <w:t>”</w:t>
      </w:r>
      <w:r w:rsidRPr="00B71C2E">
        <w:rPr>
          <w:rFonts w:hint="eastAsia"/>
          <w:szCs w:val="28"/>
        </w:rPr>
        <w:t>於</w:t>
      </w:r>
      <w:r w:rsidRPr="00B71C2E">
        <w:rPr>
          <w:rFonts w:hint="eastAsia"/>
          <w:szCs w:val="28"/>
        </w:rPr>
        <w:t>2015</w:t>
      </w:r>
      <w:r w:rsidRPr="00B71C2E">
        <w:rPr>
          <w:rFonts w:hint="eastAsia"/>
          <w:szCs w:val="28"/>
        </w:rPr>
        <w:t>年</w:t>
      </w:r>
      <w:r w:rsidRPr="00B71C2E">
        <w:rPr>
          <w:rFonts w:hint="eastAsia"/>
          <w:szCs w:val="28"/>
        </w:rPr>
        <w:t>5</w:t>
      </w:r>
      <w:r w:rsidRPr="00B71C2E">
        <w:rPr>
          <w:rFonts w:hint="eastAsia"/>
          <w:szCs w:val="28"/>
        </w:rPr>
        <w:t>月推出，旨在吸引已移居海外的中國籍香港永久性居民的第二代回流。於</w:t>
      </w:r>
      <w:r w:rsidRPr="00B71C2E">
        <w:rPr>
          <w:rFonts w:hint="eastAsia"/>
          <w:szCs w:val="28"/>
        </w:rPr>
        <w:t>2018</w:t>
      </w:r>
      <w:r w:rsidRPr="00B71C2E">
        <w:rPr>
          <w:rFonts w:hint="eastAsia"/>
          <w:szCs w:val="28"/>
        </w:rPr>
        <w:t>年</w:t>
      </w:r>
      <w:r w:rsidRPr="00B71C2E">
        <w:rPr>
          <w:rFonts w:hint="eastAsia"/>
          <w:szCs w:val="28"/>
        </w:rPr>
        <w:t>6</w:t>
      </w:r>
      <w:r w:rsidRPr="00B71C2E">
        <w:rPr>
          <w:rFonts w:hint="eastAsia"/>
          <w:szCs w:val="28"/>
        </w:rPr>
        <w:t>月推出</w:t>
      </w:r>
      <w:r>
        <w:rPr>
          <w:rFonts w:hint="eastAsia"/>
          <w:szCs w:val="28"/>
        </w:rPr>
        <w:t>的</w:t>
      </w:r>
      <w:r w:rsidRPr="00F920E9">
        <w:rPr>
          <w:szCs w:val="28"/>
        </w:rPr>
        <w:t>“</w:t>
      </w:r>
      <w:r w:rsidRPr="00B71C2E">
        <w:rPr>
          <w:rFonts w:hint="eastAsia"/>
          <w:szCs w:val="28"/>
        </w:rPr>
        <w:t>科技人才入境計劃</w:t>
      </w:r>
      <w:r w:rsidRPr="00F920E9">
        <w:rPr>
          <w:szCs w:val="28"/>
        </w:rPr>
        <w:t>”</w:t>
      </w:r>
      <w:r w:rsidRPr="00B71C2E">
        <w:rPr>
          <w:rFonts w:hint="eastAsia"/>
          <w:szCs w:val="28"/>
        </w:rPr>
        <w:t>旨在透過快速處理，供合資格科技公司／機構申請輸入科技人才到香港從事研發工作。逾</w:t>
      </w:r>
      <w:r w:rsidRPr="00B71C2E">
        <w:rPr>
          <w:rFonts w:hint="eastAsia"/>
          <w:szCs w:val="28"/>
        </w:rPr>
        <w:t>60</w:t>
      </w:r>
      <w:r>
        <w:rPr>
          <w:szCs w:val="28"/>
        </w:rPr>
        <w:t> </w:t>
      </w:r>
      <w:r w:rsidRPr="00B71C2E">
        <w:rPr>
          <w:rFonts w:hint="eastAsia"/>
          <w:szCs w:val="28"/>
        </w:rPr>
        <w:t>000</w:t>
      </w:r>
      <w:r w:rsidRPr="00B71C2E">
        <w:rPr>
          <w:rFonts w:hint="eastAsia"/>
          <w:szCs w:val="28"/>
        </w:rPr>
        <w:t>人分別於</w:t>
      </w:r>
      <w:r w:rsidRPr="00B71C2E">
        <w:rPr>
          <w:rFonts w:hint="eastAsia"/>
          <w:szCs w:val="28"/>
        </w:rPr>
        <w:t>2017</w:t>
      </w:r>
      <w:r w:rsidRPr="00B71C2E">
        <w:rPr>
          <w:rFonts w:hint="eastAsia"/>
          <w:szCs w:val="28"/>
        </w:rPr>
        <w:t>及</w:t>
      </w:r>
      <w:r w:rsidRPr="00B71C2E">
        <w:rPr>
          <w:rFonts w:hint="eastAsia"/>
          <w:szCs w:val="28"/>
        </w:rPr>
        <w:t>2018</w:t>
      </w:r>
      <w:r w:rsidRPr="00B71C2E">
        <w:rPr>
          <w:rFonts w:hint="eastAsia"/>
          <w:szCs w:val="28"/>
        </w:rPr>
        <w:t>年透過各項人才入境計劃來港。</w:t>
      </w:r>
    </w:p>
    <w:p w:rsidR="006D2061" w:rsidRPr="00525300"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s>
        <w:adjustRightInd w:val="0"/>
        <w:snapToGrid w:val="0"/>
        <w:spacing w:line="400" w:lineRule="atLeast"/>
        <w:jc w:val="both"/>
        <w:rPr>
          <w:szCs w:val="28"/>
        </w:rPr>
      </w:pPr>
      <w:r w:rsidRPr="00B71C2E">
        <w:rPr>
          <w:rFonts w:hint="eastAsia"/>
          <w:szCs w:val="28"/>
        </w:rPr>
        <w:t>6.</w:t>
      </w:r>
      <w:r w:rsidRPr="00B71C2E">
        <w:rPr>
          <w:szCs w:val="28"/>
        </w:rPr>
        <w:t>1</w:t>
      </w:r>
      <w:r>
        <w:rPr>
          <w:szCs w:val="28"/>
        </w:rPr>
        <w:t>0</w:t>
      </w:r>
      <w:r w:rsidRPr="00B71C2E">
        <w:rPr>
          <w:szCs w:val="28"/>
        </w:rPr>
        <w:tab/>
      </w:r>
      <w:r w:rsidRPr="00B71C2E">
        <w:rPr>
          <w:rFonts w:hint="eastAsia"/>
          <w:szCs w:val="28"/>
        </w:rPr>
        <w:t>「補充勞工計劃」的情況與上</w:t>
      </w:r>
      <w:r>
        <w:rPr>
          <w:rFonts w:hint="eastAsia"/>
          <w:szCs w:val="28"/>
        </w:rPr>
        <w:t>次</w:t>
      </w:r>
      <w:r w:rsidRPr="00B71C2E">
        <w:rPr>
          <w:rFonts w:hint="eastAsia"/>
          <w:szCs w:val="28"/>
        </w:rPr>
        <w:t>報告第</w:t>
      </w:r>
      <w:r w:rsidRPr="00B71C2E">
        <w:rPr>
          <w:szCs w:val="28"/>
        </w:rPr>
        <w:t>6.19</w:t>
      </w:r>
      <w:r w:rsidRPr="00B71C2E">
        <w:rPr>
          <w:rFonts w:hint="eastAsia"/>
          <w:szCs w:val="28"/>
        </w:rPr>
        <w:t>段所述相同。該計劃截至</w:t>
      </w:r>
      <w:r w:rsidRPr="00B71C2E">
        <w:rPr>
          <w:szCs w:val="28"/>
        </w:rPr>
        <w:t>2018</w:t>
      </w:r>
      <w:r w:rsidRPr="00B71C2E">
        <w:rPr>
          <w:rFonts w:hint="eastAsia"/>
          <w:szCs w:val="28"/>
        </w:rPr>
        <w:t>年</w:t>
      </w:r>
      <w:r w:rsidRPr="00B71C2E">
        <w:rPr>
          <w:szCs w:val="28"/>
        </w:rPr>
        <w:t>12</w:t>
      </w:r>
      <w:r w:rsidRPr="00B71C2E">
        <w:rPr>
          <w:rFonts w:hint="eastAsia"/>
          <w:szCs w:val="28"/>
        </w:rPr>
        <w:t>月</w:t>
      </w:r>
      <w:r w:rsidRPr="00B71C2E">
        <w:rPr>
          <w:szCs w:val="28"/>
        </w:rPr>
        <w:t>31</w:t>
      </w:r>
      <w:r w:rsidRPr="00B71C2E">
        <w:rPr>
          <w:rFonts w:hint="eastAsia"/>
          <w:szCs w:val="28"/>
        </w:rPr>
        <w:t>日共有約</w:t>
      </w:r>
      <w:r w:rsidRPr="00B71C2E">
        <w:rPr>
          <w:szCs w:val="28"/>
        </w:rPr>
        <w:t>5</w:t>
      </w:r>
      <w:r>
        <w:rPr>
          <w:szCs w:val="28"/>
          <w:lang w:val="en-GB"/>
        </w:rPr>
        <w:t> </w:t>
      </w:r>
      <w:r w:rsidRPr="00B71C2E">
        <w:rPr>
          <w:szCs w:val="28"/>
        </w:rPr>
        <w:t>300</w:t>
      </w:r>
      <w:r w:rsidRPr="00B71C2E">
        <w:rPr>
          <w:rFonts w:hint="eastAsia"/>
          <w:szCs w:val="28"/>
        </w:rPr>
        <w:t>名輸入勞工在香港工作。</w:t>
      </w:r>
    </w:p>
    <w:p w:rsidR="006D2061" w:rsidRPr="00525300" w:rsidRDefault="006D2061" w:rsidP="008375BB">
      <w:pPr>
        <w:tabs>
          <w:tab w:val="left" w:pos="1440"/>
        </w:tabs>
        <w:adjustRightInd w:val="0"/>
        <w:snapToGrid w:val="0"/>
        <w:spacing w:line="400" w:lineRule="atLeast"/>
        <w:jc w:val="both"/>
        <w:rPr>
          <w:szCs w:val="28"/>
        </w:rPr>
      </w:pPr>
    </w:p>
    <w:p w:rsidR="006D2061" w:rsidRPr="00B71C2E" w:rsidRDefault="006D2061" w:rsidP="008375BB">
      <w:pPr>
        <w:tabs>
          <w:tab w:val="left" w:pos="1440"/>
        </w:tabs>
        <w:adjustRightInd w:val="0"/>
        <w:snapToGrid w:val="0"/>
        <w:spacing w:line="400" w:lineRule="atLeast"/>
        <w:jc w:val="both"/>
        <w:rPr>
          <w:b/>
          <w:szCs w:val="28"/>
        </w:rPr>
      </w:pPr>
      <w:r w:rsidRPr="00B71C2E">
        <w:rPr>
          <w:rFonts w:hint="eastAsia"/>
          <w:b/>
          <w:szCs w:val="28"/>
        </w:rPr>
        <w:lastRenderedPageBreak/>
        <w:t>工作權利：有關歧視的問題</w:t>
      </w:r>
    </w:p>
    <w:p w:rsidR="006D2061" w:rsidRDefault="006D2061" w:rsidP="008375BB">
      <w:pPr>
        <w:tabs>
          <w:tab w:val="left" w:pos="1440"/>
        </w:tabs>
        <w:adjustRightInd w:val="0"/>
        <w:snapToGrid w:val="0"/>
        <w:spacing w:line="400" w:lineRule="atLeast"/>
        <w:jc w:val="both"/>
        <w:rPr>
          <w:szCs w:val="28"/>
        </w:rPr>
      </w:pPr>
    </w:p>
    <w:p w:rsidR="006D2061" w:rsidRPr="00B71C2E" w:rsidRDefault="006D2061" w:rsidP="008375BB">
      <w:pPr>
        <w:tabs>
          <w:tab w:val="left" w:pos="1440"/>
        </w:tabs>
        <w:adjustRightInd w:val="0"/>
        <w:snapToGrid w:val="0"/>
        <w:spacing w:line="400" w:lineRule="atLeast"/>
        <w:jc w:val="both"/>
        <w:rPr>
          <w:szCs w:val="28"/>
        </w:rPr>
      </w:pPr>
      <w:r>
        <w:rPr>
          <w:rFonts w:hint="eastAsia"/>
          <w:szCs w:val="28"/>
        </w:rPr>
        <w:t>6.1</w:t>
      </w:r>
      <w:r>
        <w:rPr>
          <w:szCs w:val="28"/>
        </w:rPr>
        <w:t>1</w:t>
      </w:r>
      <w:r>
        <w:rPr>
          <w:rFonts w:hint="eastAsia"/>
          <w:szCs w:val="28"/>
        </w:rPr>
        <w:tab/>
      </w:r>
      <w:r w:rsidRPr="00CB3391">
        <w:rPr>
          <w:szCs w:val="28"/>
        </w:rPr>
        <w:t>關於種族、性傾向，以及年齡歧視問題的情況，已在本報告</w:t>
      </w:r>
      <w:r w:rsidRPr="00CB3391">
        <w:rPr>
          <w:rFonts w:hint="eastAsia"/>
          <w:szCs w:val="28"/>
        </w:rPr>
        <w:t>有關</w:t>
      </w:r>
      <w:r w:rsidRPr="00CB3391">
        <w:rPr>
          <w:szCs w:val="28"/>
        </w:rPr>
        <w:t>第二條</w:t>
      </w:r>
      <w:r w:rsidRPr="00CB3391">
        <w:rPr>
          <w:rFonts w:hint="eastAsia"/>
          <w:szCs w:val="28"/>
        </w:rPr>
        <w:t>的</w:t>
      </w:r>
      <w:r w:rsidRPr="00CB3391">
        <w:rPr>
          <w:szCs w:val="28"/>
        </w:rPr>
        <w:t>第</w:t>
      </w:r>
      <w:r w:rsidRPr="00CB3391">
        <w:rPr>
          <w:szCs w:val="28"/>
        </w:rPr>
        <w:t>2.</w:t>
      </w:r>
      <w:r>
        <w:rPr>
          <w:szCs w:val="28"/>
        </w:rPr>
        <w:t>7</w:t>
      </w:r>
      <w:r w:rsidRPr="00CB3391">
        <w:rPr>
          <w:rFonts w:hint="eastAsia"/>
          <w:szCs w:val="28"/>
        </w:rPr>
        <w:t>至</w:t>
      </w:r>
      <w:r w:rsidRPr="00CB3391">
        <w:rPr>
          <w:rFonts w:hint="eastAsia"/>
          <w:szCs w:val="28"/>
        </w:rPr>
        <w:t>2.</w:t>
      </w:r>
      <w:r>
        <w:rPr>
          <w:rFonts w:hint="eastAsia"/>
          <w:szCs w:val="28"/>
        </w:rPr>
        <w:t>1</w:t>
      </w:r>
      <w:r>
        <w:rPr>
          <w:szCs w:val="28"/>
        </w:rPr>
        <w:t>6</w:t>
      </w:r>
      <w:r w:rsidRPr="00CB3391">
        <w:rPr>
          <w:szCs w:val="28"/>
        </w:rPr>
        <w:t>段論述。</w:t>
      </w:r>
    </w:p>
    <w:p w:rsidR="00D53513" w:rsidRPr="00D53513" w:rsidRDefault="00D53513">
      <w:pPr>
        <w:widowControl/>
        <w:rPr>
          <w:szCs w:val="28"/>
        </w:rPr>
      </w:pPr>
      <w:r w:rsidRPr="00D53513">
        <w:rPr>
          <w:szCs w:val="28"/>
        </w:rPr>
        <w:br w:type="page"/>
      </w:r>
    </w:p>
    <w:p w:rsidR="006D2061" w:rsidRPr="00CD1EF8" w:rsidRDefault="006D2061" w:rsidP="008375BB">
      <w:pPr>
        <w:tabs>
          <w:tab w:val="left" w:pos="1440"/>
        </w:tabs>
        <w:snapToGrid w:val="0"/>
        <w:spacing w:line="400" w:lineRule="atLeast"/>
        <w:jc w:val="both"/>
        <w:rPr>
          <w:b/>
          <w:szCs w:val="28"/>
          <w:u w:val="single"/>
        </w:rPr>
      </w:pPr>
      <w:r w:rsidRPr="00CD1EF8">
        <w:rPr>
          <w:b/>
          <w:szCs w:val="28"/>
          <w:u w:val="single"/>
        </w:rPr>
        <w:lastRenderedPageBreak/>
        <w:t>第七條：享受公平與良好工作條件的權利</w:t>
      </w:r>
    </w:p>
    <w:p w:rsidR="006D2061" w:rsidRPr="00CD1EF8" w:rsidRDefault="006D2061" w:rsidP="008375BB">
      <w:pPr>
        <w:tabs>
          <w:tab w:val="left" w:pos="1440"/>
        </w:tabs>
        <w:autoSpaceDE w:val="0"/>
        <w:autoSpaceDN w:val="0"/>
        <w:adjustRightInd w:val="0"/>
        <w:snapToGrid w:val="0"/>
        <w:spacing w:line="400" w:lineRule="atLeast"/>
        <w:jc w:val="both"/>
        <w:rPr>
          <w:kern w:val="0"/>
          <w:szCs w:val="28"/>
        </w:rPr>
      </w:pPr>
    </w:p>
    <w:p w:rsidR="006D2061" w:rsidRPr="00CD1EF8" w:rsidRDefault="006D2061" w:rsidP="008375BB">
      <w:pPr>
        <w:tabs>
          <w:tab w:val="left" w:pos="1440"/>
        </w:tabs>
        <w:autoSpaceDE w:val="0"/>
        <w:autoSpaceDN w:val="0"/>
        <w:adjustRightInd w:val="0"/>
        <w:snapToGrid w:val="0"/>
        <w:spacing w:line="400" w:lineRule="atLeast"/>
        <w:jc w:val="both"/>
        <w:rPr>
          <w:b/>
          <w:kern w:val="0"/>
          <w:szCs w:val="28"/>
        </w:rPr>
      </w:pPr>
      <w:r w:rsidRPr="00CD1EF8">
        <w:rPr>
          <w:b/>
          <w:kern w:val="0"/>
          <w:szCs w:val="28"/>
        </w:rPr>
        <w:t>法定最低工資</w:t>
      </w:r>
    </w:p>
    <w:p w:rsidR="006D2061" w:rsidRPr="00CD1EF8" w:rsidRDefault="006D2061" w:rsidP="008375BB">
      <w:pPr>
        <w:tabs>
          <w:tab w:val="left" w:pos="1440"/>
        </w:tabs>
        <w:autoSpaceDE w:val="0"/>
        <w:autoSpaceDN w:val="0"/>
        <w:adjustRightInd w:val="0"/>
        <w:snapToGrid w:val="0"/>
        <w:spacing w:line="400" w:lineRule="atLeast"/>
        <w:jc w:val="both"/>
        <w:rPr>
          <w:kern w:val="0"/>
          <w:szCs w:val="28"/>
        </w:rPr>
      </w:pPr>
    </w:p>
    <w:p w:rsidR="006D2061" w:rsidRPr="004F6B4E" w:rsidRDefault="006D2061" w:rsidP="008375BB">
      <w:pPr>
        <w:tabs>
          <w:tab w:val="left" w:pos="1440"/>
        </w:tabs>
        <w:snapToGrid w:val="0"/>
        <w:spacing w:line="400" w:lineRule="atLeast"/>
        <w:jc w:val="both"/>
        <w:rPr>
          <w:szCs w:val="28"/>
        </w:rPr>
      </w:pPr>
      <w:r w:rsidRPr="00CD1EF8">
        <w:rPr>
          <w:bCs/>
          <w:kern w:val="0"/>
          <w:szCs w:val="28"/>
        </w:rPr>
        <w:t>7.</w:t>
      </w:r>
      <w:r w:rsidRPr="00CD1EF8">
        <w:rPr>
          <w:rFonts w:hint="eastAsia"/>
          <w:bCs/>
          <w:kern w:val="0"/>
          <w:szCs w:val="28"/>
        </w:rPr>
        <w:t>1</w:t>
      </w:r>
      <w:r w:rsidRPr="00CD1EF8">
        <w:rPr>
          <w:bCs/>
          <w:kern w:val="0"/>
          <w:szCs w:val="28"/>
        </w:rPr>
        <w:tab/>
      </w:r>
      <w:r w:rsidRPr="004F6B4E">
        <w:rPr>
          <w:rFonts w:hint="eastAsia"/>
          <w:szCs w:val="28"/>
        </w:rPr>
        <w:t>《最低工資條例》（第</w:t>
      </w:r>
      <w:r w:rsidRPr="004F6B4E">
        <w:rPr>
          <w:szCs w:val="28"/>
        </w:rPr>
        <w:t>608</w:t>
      </w:r>
      <w:r w:rsidRPr="004F6B4E">
        <w:rPr>
          <w:rFonts w:hint="eastAsia"/>
          <w:szCs w:val="28"/>
        </w:rPr>
        <w:t>章）訂定法定最低工資制度以防止工資過低，同時確保不會嚴重損害勞工市場的靈活性、經濟發展和競爭力，或導致低薪職位大量流失。</w:t>
      </w:r>
    </w:p>
    <w:p w:rsidR="006D2061" w:rsidRPr="004F6B4E" w:rsidRDefault="006D2061" w:rsidP="008375BB">
      <w:pPr>
        <w:tabs>
          <w:tab w:val="left" w:pos="1440"/>
        </w:tabs>
        <w:snapToGrid w:val="0"/>
        <w:spacing w:line="400" w:lineRule="atLeast"/>
        <w:jc w:val="both"/>
        <w:rPr>
          <w:szCs w:val="28"/>
        </w:rPr>
      </w:pPr>
    </w:p>
    <w:p w:rsidR="006D2061" w:rsidRPr="004F6B4E" w:rsidRDefault="006D2061" w:rsidP="008375BB">
      <w:pPr>
        <w:tabs>
          <w:tab w:val="left" w:pos="1440"/>
        </w:tabs>
        <w:snapToGrid w:val="0"/>
        <w:spacing w:line="400" w:lineRule="atLeast"/>
        <w:jc w:val="both"/>
        <w:rPr>
          <w:szCs w:val="28"/>
        </w:rPr>
      </w:pPr>
      <w:r>
        <w:rPr>
          <w:rFonts w:hint="eastAsia"/>
          <w:szCs w:val="28"/>
        </w:rPr>
        <w:t>7.</w:t>
      </w:r>
      <w:r>
        <w:rPr>
          <w:szCs w:val="28"/>
        </w:rPr>
        <w:t>2</w:t>
      </w:r>
      <w:r>
        <w:rPr>
          <w:rFonts w:hint="eastAsia"/>
          <w:szCs w:val="28"/>
        </w:rPr>
        <w:tab/>
      </w:r>
      <w:r w:rsidRPr="00F00F94">
        <w:rPr>
          <w:rFonts w:hint="eastAsia"/>
          <w:szCs w:val="28"/>
        </w:rPr>
        <w:t>法定最低工資</w:t>
      </w:r>
      <w:r>
        <w:rPr>
          <w:rFonts w:hint="eastAsia"/>
          <w:szCs w:val="28"/>
        </w:rPr>
        <w:t>已</w:t>
      </w:r>
      <w:r>
        <w:rPr>
          <w:rFonts w:hint="eastAsia"/>
          <w:szCs w:val="28"/>
          <w:lang w:eastAsia="zh-HK"/>
        </w:rPr>
        <w:t>三次上調</w:t>
      </w:r>
      <w:r>
        <w:rPr>
          <w:rFonts w:hint="eastAsia"/>
          <w:szCs w:val="28"/>
        </w:rPr>
        <w:t>，</w:t>
      </w:r>
      <w:r>
        <w:rPr>
          <w:rFonts w:hint="eastAsia"/>
          <w:szCs w:val="28"/>
          <w:lang w:eastAsia="zh-HK"/>
        </w:rPr>
        <w:t>由</w:t>
      </w:r>
      <w:r>
        <w:rPr>
          <w:rFonts w:hint="eastAsia"/>
          <w:szCs w:val="28"/>
        </w:rPr>
        <w:t>2011</w:t>
      </w:r>
      <w:r>
        <w:rPr>
          <w:rFonts w:hint="eastAsia"/>
          <w:szCs w:val="28"/>
          <w:lang w:eastAsia="zh-HK"/>
        </w:rPr>
        <w:t>年的</w:t>
      </w:r>
      <w:r w:rsidRPr="00F00F94">
        <w:rPr>
          <w:rFonts w:hint="eastAsia"/>
          <w:szCs w:val="28"/>
          <w:lang w:eastAsia="zh-HK"/>
        </w:rPr>
        <w:t>每小時</w:t>
      </w:r>
      <w:r w:rsidRPr="00F00F94">
        <w:rPr>
          <w:rFonts w:hint="eastAsia"/>
          <w:szCs w:val="28"/>
          <w:lang w:eastAsia="zh-HK"/>
        </w:rPr>
        <w:t>28</w:t>
      </w:r>
      <w:r w:rsidRPr="00F00F94">
        <w:rPr>
          <w:rFonts w:hint="eastAsia"/>
          <w:szCs w:val="28"/>
          <w:lang w:eastAsia="zh-HK"/>
        </w:rPr>
        <w:t>元</w:t>
      </w:r>
      <w:r>
        <w:rPr>
          <w:rFonts w:hint="eastAsia"/>
          <w:szCs w:val="28"/>
          <w:lang w:eastAsia="zh-HK"/>
        </w:rPr>
        <w:t>增至</w:t>
      </w:r>
      <w:r w:rsidRPr="00F00F94">
        <w:rPr>
          <w:rFonts w:hint="eastAsia"/>
          <w:szCs w:val="28"/>
          <w:lang w:eastAsia="zh-HK"/>
        </w:rPr>
        <w:t>2017</w:t>
      </w:r>
      <w:r w:rsidRPr="00F00F94">
        <w:rPr>
          <w:rFonts w:hint="eastAsia"/>
          <w:szCs w:val="28"/>
          <w:lang w:eastAsia="zh-HK"/>
        </w:rPr>
        <w:t>年</w:t>
      </w:r>
      <w:r>
        <w:rPr>
          <w:rFonts w:hint="eastAsia"/>
          <w:szCs w:val="28"/>
          <w:lang w:eastAsia="zh-HK"/>
        </w:rPr>
        <w:t>的</w:t>
      </w:r>
      <w:r w:rsidRPr="00F00F94">
        <w:rPr>
          <w:rFonts w:hint="eastAsia"/>
          <w:szCs w:val="28"/>
          <w:lang w:eastAsia="zh-HK"/>
        </w:rPr>
        <w:t>34.5</w:t>
      </w:r>
      <w:r w:rsidRPr="00F00F94">
        <w:rPr>
          <w:rFonts w:hint="eastAsia"/>
          <w:szCs w:val="28"/>
          <w:lang w:eastAsia="zh-HK"/>
        </w:rPr>
        <w:t>元</w:t>
      </w:r>
      <w:r>
        <w:rPr>
          <w:rFonts w:hint="eastAsia"/>
          <w:szCs w:val="28"/>
        </w:rPr>
        <w:t>。</w:t>
      </w:r>
      <w:r w:rsidRPr="004F6B4E">
        <w:rPr>
          <w:rFonts w:hint="eastAsia"/>
          <w:szCs w:val="28"/>
        </w:rPr>
        <w:t>行政長官會同行政會議於</w:t>
      </w:r>
      <w:r w:rsidRPr="004F6B4E">
        <w:rPr>
          <w:rFonts w:hint="eastAsia"/>
          <w:szCs w:val="28"/>
        </w:rPr>
        <w:t>2018</w:t>
      </w:r>
      <w:r w:rsidRPr="004F6B4E">
        <w:rPr>
          <w:rFonts w:hint="eastAsia"/>
          <w:szCs w:val="28"/>
        </w:rPr>
        <w:t>年</w:t>
      </w:r>
      <w:r w:rsidRPr="004F6B4E">
        <w:rPr>
          <w:rFonts w:hint="eastAsia"/>
          <w:szCs w:val="28"/>
        </w:rPr>
        <w:t>10</w:t>
      </w:r>
      <w:r w:rsidRPr="004F6B4E">
        <w:rPr>
          <w:rFonts w:hint="eastAsia"/>
          <w:szCs w:val="28"/>
        </w:rPr>
        <w:t>月將法定最低工資水平調升至每小時</w:t>
      </w:r>
      <w:r w:rsidRPr="004F6B4E">
        <w:rPr>
          <w:rFonts w:hint="eastAsia"/>
          <w:szCs w:val="28"/>
        </w:rPr>
        <w:t>37.5</w:t>
      </w:r>
      <w:r w:rsidRPr="004F6B4E">
        <w:rPr>
          <w:rFonts w:hint="eastAsia"/>
          <w:szCs w:val="28"/>
        </w:rPr>
        <w:t>元</w:t>
      </w:r>
      <w:r>
        <w:rPr>
          <w:rFonts w:hint="eastAsia"/>
          <w:szCs w:val="28"/>
        </w:rPr>
        <w:t>，</w:t>
      </w:r>
      <w:r>
        <w:rPr>
          <w:rFonts w:hint="eastAsia"/>
          <w:szCs w:val="28"/>
          <w:lang w:eastAsia="zh-HK"/>
        </w:rPr>
        <w:t>並</w:t>
      </w:r>
      <w:r w:rsidRPr="004F6B4E">
        <w:rPr>
          <w:rFonts w:hint="eastAsia"/>
          <w:szCs w:val="28"/>
        </w:rPr>
        <w:t>於</w:t>
      </w:r>
      <w:r w:rsidRPr="004F6B4E">
        <w:rPr>
          <w:rFonts w:hint="eastAsia"/>
          <w:szCs w:val="28"/>
        </w:rPr>
        <w:t>2019</w:t>
      </w:r>
      <w:r w:rsidRPr="004F6B4E">
        <w:rPr>
          <w:rFonts w:hint="eastAsia"/>
          <w:szCs w:val="28"/>
        </w:rPr>
        <w:t>年</w:t>
      </w:r>
      <w:r w:rsidRPr="004F6B4E">
        <w:rPr>
          <w:rFonts w:hint="eastAsia"/>
          <w:szCs w:val="28"/>
        </w:rPr>
        <w:t>5</w:t>
      </w:r>
      <w:r w:rsidRPr="004F6B4E">
        <w:rPr>
          <w:rFonts w:hint="eastAsia"/>
          <w:szCs w:val="28"/>
        </w:rPr>
        <w:t>月</w:t>
      </w:r>
      <w:r w:rsidRPr="004F6B4E">
        <w:rPr>
          <w:rFonts w:hint="eastAsia"/>
          <w:szCs w:val="28"/>
        </w:rPr>
        <w:t>1</w:t>
      </w:r>
      <w:r w:rsidRPr="004F6B4E">
        <w:rPr>
          <w:rFonts w:hint="eastAsia"/>
          <w:szCs w:val="28"/>
        </w:rPr>
        <w:t>日生效。</w:t>
      </w:r>
      <w:r>
        <w:rPr>
          <w:rFonts w:hint="eastAsia"/>
          <w:szCs w:val="28"/>
          <w:lang w:eastAsia="zh-HK"/>
        </w:rPr>
        <w:t>關</w:t>
      </w:r>
      <w:r>
        <w:rPr>
          <w:rFonts w:hint="eastAsia"/>
          <w:szCs w:val="28"/>
        </w:rPr>
        <w:t>於</w:t>
      </w:r>
      <w:r w:rsidRPr="00F00F94">
        <w:rPr>
          <w:rFonts w:hint="eastAsia"/>
          <w:szCs w:val="28"/>
        </w:rPr>
        <w:t>檢討法定最低工資水平</w:t>
      </w:r>
      <w:r>
        <w:rPr>
          <w:rFonts w:hint="eastAsia"/>
          <w:szCs w:val="28"/>
          <w:lang w:eastAsia="zh-HK"/>
        </w:rPr>
        <w:t>的工作見</w:t>
      </w:r>
      <w:r w:rsidRPr="00186E80">
        <w:rPr>
          <w:rFonts w:hint="eastAsia"/>
          <w:b/>
          <w:szCs w:val="28"/>
          <w:lang w:eastAsia="zh-HK"/>
        </w:rPr>
        <w:t>附件</w:t>
      </w:r>
      <w:r w:rsidRPr="00186E80">
        <w:rPr>
          <w:rFonts w:hint="eastAsia"/>
          <w:b/>
          <w:szCs w:val="28"/>
        </w:rPr>
        <w:t>7A</w:t>
      </w:r>
      <w:r>
        <w:rPr>
          <w:rFonts w:hint="eastAsia"/>
          <w:szCs w:val="28"/>
        </w:rPr>
        <w:t>。</w:t>
      </w:r>
    </w:p>
    <w:p w:rsidR="006D2061" w:rsidRDefault="006D2061" w:rsidP="008375BB">
      <w:pPr>
        <w:tabs>
          <w:tab w:val="left" w:pos="1440"/>
        </w:tabs>
        <w:snapToGrid w:val="0"/>
        <w:spacing w:line="400" w:lineRule="atLeast"/>
        <w:jc w:val="both"/>
        <w:rPr>
          <w:szCs w:val="28"/>
        </w:rPr>
      </w:pPr>
    </w:p>
    <w:p w:rsidR="006D2061" w:rsidRPr="006C5958" w:rsidRDefault="006D2061" w:rsidP="008375BB">
      <w:pPr>
        <w:tabs>
          <w:tab w:val="left" w:pos="1440"/>
        </w:tabs>
        <w:snapToGrid w:val="0"/>
        <w:spacing w:line="400" w:lineRule="atLeast"/>
        <w:jc w:val="both"/>
        <w:rPr>
          <w:b/>
          <w:szCs w:val="28"/>
        </w:rPr>
      </w:pPr>
      <w:r w:rsidRPr="006C5958">
        <w:rPr>
          <w:rFonts w:hint="eastAsia"/>
          <w:b/>
          <w:szCs w:val="28"/>
        </w:rPr>
        <w:t>僱傭保障：僱員權益及福利</w:t>
      </w:r>
    </w:p>
    <w:p w:rsidR="006D2061" w:rsidRDefault="006D2061" w:rsidP="008375BB">
      <w:pPr>
        <w:tabs>
          <w:tab w:val="left" w:pos="1440"/>
        </w:tabs>
        <w:snapToGrid w:val="0"/>
        <w:spacing w:line="400" w:lineRule="atLeast"/>
        <w:jc w:val="both"/>
        <w:rPr>
          <w:szCs w:val="28"/>
          <w:u w:val="single"/>
        </w:rPr>
      </w:pPr>
    </w:p>
    <w:p w:rsidR="006D2061" w:rsidRPr="005E3A70" w:rsidRDefault="006D2061" w:rsidP="008375BB">
      <w:pPr>
        <w:tabs>
          <w:tab w:val="left" w:pos="1440"/>
        </w:tabs>
        <w:snapToGrid w:val="0"/>
        <w:spacing w:line="400" w:lineRule="atLeast"/>
        <w:jc w:val="both"/>
        <w:rPr>
          <w:szCs w:val="28"/>
        </w:rPr>
      </w:pPr>
      <w:r w:rsidRPr="005E3A70">
        <w:rPr>
          <w:rFonts w:hint="eastAsia"/>
          <w:szCs w:val="28"/>
        </w:rPr>
        <w:t>7.</w:t>
      </w:r>
      <w:r>
        <w:rPr>
          <w:rFonts w:hint="eastAsia"/>
          <w:szCs w:val="28"/>
        </w:rPr>
        <w:t>3</w:t>
      </w:r>
      <w:r>
        <w:rPr>
          <w:szCs w:val="28"/>
        </w:rPr>
        <w:tab/>
      </w:r>
      <w:r w:rsidRPr="005E3A70">
        <w:rPr>
          <w:rFonts w:hint="eastAsia"/>
          <w:szCs w:val="28"/>
        </w:rPr>
        <w:t>《僱傭條例》</w:t>
      </w:r>
      <w:r w:rsidRPr="00186E80">
        <w:rPr>
          <w:rFonts w:hint="eastAsia"/>
          <w:szCs w:val="28"/>
        </w:rPr>
        <w:t>（第</w:t>
      </w:r>
      <w:r w:rsidRPr="00186E80">
        <w:rPr>
          <w:rFonts w:hint="eastAsia"/>
          <w:szCs w:val="28"/>
        </w:rPr>
        <w:t>57</w:t>
      </w:r>
      <w:r w:rsidRPr="00186E80">
        <w:rPr>
          <w:rFonts w:hint="eastAsia"/>
          <w:szCs w:val="28"/>
        </w:rPr>
        <w:t>章）</w:t>
      </w:r>
      <w:r w:rsidRPr="005E3A70">
        <w:rPr>
          <w:rFonts w:hint="eastAsia"/>
          <w:szCs w:val="28"/>
        </w:rPr>
        <w:t>下各種法定權益及福利，與上次報告第</w:t>
      </w:r>
      <w:r w:rsidRPr="005E3A70">
        <w:rPr>
          <w:rFonts w:hint="eastAsia"/>
          <w:szCs w:val="28"/>
        </w:rPr>
        <w:t>7.7</w:t>
      </w:r>
      <w:r w:rsidRPr="005E3A70">
        <w:rPr>
          <w:rFonts w:hint="eastAsia"/>
          <w:szCs w:val="28"/>
        </w:rPr>
        <w:t>至</w:t>
      </w:r>
      <w:r w:rsidRPr="005E3A70">
        <w:rPr>
          <w:rFonts w:hint="eastAsia"/>
          <w:szCs w:val="28"/>
        </w:rPr>
        <w:t>7.16</w:t>
      </w:r>
      <w:r w:rsidRPr="005E3A70">
        <w:rPr>
          <w:rFonts w:hint="eastAsia"/>
          <w:szCs w:val="28"/>
        </w:rPr>
        <w:t>段所闡釋的大致相同。</w:t>
      </w:r>
      <w:r>
        <w:rPr>
          <w:rFonts w:hint="eastAsia"/>
          <w:szCs w:val="28"/>
          <w:lang w:eastAsia="zh-HK"/>
        </w:rPr>
        <w:t>有關在條</w:t>
      </w:r>
      <w:r>
        <w:rPr>
          <w:rFonts w:hint="eastAsia"/>
          <w:szCs w:val="28"/>
        </w:rPr>
        <w:t>例</w:t>
      </w:r>
      <w:r>
        <w:rPr>
          <w:rFonts w:hint="eastAsia"/>
          <w:szCs w:val="28"/>
          <w:lang w:eastAsia="zh-HK"/>
        </w:rPr>
        <w:t>中</w:t>
      </w:r>
      <w:r w:rsidRPr="005E3A70">
        <w:rPr>
          <w:rFonts w:hint="eastAsia"/>
          <w:szCs w:val="28"/>
        </w:rPr>
        <w:t>連續性合約的規定</w:t>
      </w:r>
      <w:r>
        <w:rPr>
          <w:rFonts w:hint="eastAsia"/>
          <w:szCs w:val="28"/>
          <w:lang w:eastAsia="zh-HK"/>
        </w:rPr>
        <w:t>、</w:t>
      </w:r>
      <w:r w:rsidRPr="00B64177">
        <w:rPr>
          <w:rFonts w:hint="eastAsia"/>
          <w:szCs w:val="28"/>
          <w:lang w:eastAsia="zh-HK"/>
        </w:rPr>
        <w:t>欠薪個案</w:t>
      </w:r>
      <w:r>
        <w:rPr>
          <w:rFonts w:hint="eastAsia"/>
          <w:szCs w:val="28"/>
          <w:lang w:eastAsia="zh-HK"/>
        </w:rPr>
        <w:t>及</w:t>
      </w:r>
      <w:r w:rsidRPr="00B64177">
        <w:rPr>
          <w:rFonts w:hint="eastAsia"/>
          <w:szCs w:val="28"/>
          <w:lang w:eastAsia="zh-HK"/>
        </w:rPr>
        <w:t>復康服務</w:t>
      </w:r>
      <w:r>
        <w:rPr>
          <w:rFonts w:hint="eastAsia"/>
          <w:szCs w:val="28"/>
          <w:lang w:eastAsia="zh-HK"/>
        </w:rPr>
        <w:t>見</w:t>
      </w:r>
      <w:r w:rsidRPr="00B64177">
        <w:rPr>
          <w:rFonts w:hint="eastAsia"/>
          <w:b/>
          <w:szCs w:val="28"/>
          <w:lang w:eastAsia="zh-HK"/>
        </w:rPr>
        <w:t>附件</w:t>
      </w:r>
      <w:r w:rsidRPr="00B64177">
        <w:rPr>
          <w:rFonts w:hint="eastAsia"/>
          <w:b/>
          <w:szCs w:val="28"/>
          <w:lang w:eastAsia="zh-HK"/>
        </w:rPr>
        <w:t>7</w:t>
      </w:r>
      <w:r>
        <w:rPr>
          <w:rFonts w:hint="eastAsia"/>
          <w:b/>
          <w:szCs w:val="28"/>
        </w:rPr>
        <w:t>B</w:t>
      </w:r>
      <w:r>
        <w:rPr>
          <w:rFonts w:hint="eastAsia"/>
          <w:b/>
          <w:szCs w:val="28"/>
        </w:rPr>
        <w:t>。</w:t>
      </w:r>
    </w:p>
    <w:p w:rsidR="006D2061" w:rsidRPr="005E3A70" w:rsidRDefault="006D2061" w:rsidP="008375BB">
      <w:pPr>
        <w:tabs>
          <w:tab w:val="left" w:pos="1440"/>
        </w:tabs>
        <w:snapToGrid w:val="0"/>
        <w:spacing w:line="400" w:lineRule="atLeast"/>
        <w:jc w:val="both"/>
        <w:rPr>
          <w:szCs w:val="28"/>
        </w:rPr>
      </w:pPr>
    </w:p>
    <w:p w:rsidR="006D2061" w:rsidRPr="00C01636" w:rsidRDefault="006D2061" w:rsidP="008375BB">
      <w:pPr>
        <w:tabs>
          <w:tab w:val="left" w:pos="1440"/>
        </w:tabs>
        <w:autoSpaceDE w:val="0"/>
        <w:autoSpaceDN w:val="0"/>
        <w:adjustRightInd w:val="0"/>
        <w:snapToGrid w:val="0"/>
        <w:spacing w:line="400" w:lineRule="atLeast"/>
        <w:jc w:val="both"/>
        <w:rPr>
          <w:b/>
          <w:kern w:val="0"/>
          <w:szCs w:val="28"/>
        </w:rPr>
      </w:pPr>
      <w:r w:rsidRPr="00AB262F">
        <w:rPr>
          <w:rFonts w:hint="eastAsia"/>
          <w:b/>
          <w:kern w:val="0"/>
          <w:szCs w:val="28"/>
        </w:rPr>
        <w:t>外籍家庭傭工的保障及支援</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D53513">
      <w:pPr>
        <w:tabs>
          <w:tab w:val="left" w:pos="1440"/>
        </w:tabs>
        <w:overflowPunct w:val="0"/>
        <w:snapToGrid w:val="0"/>
        <w:spacing w:line="400" w:lineRule="atLeast"/>
        <w:jc w:val="both"/>
        <w:rPr>
          <w:szCs w:val="28"/>
        </w:rPr>
      </w:pPr>
      <w:r w:rsidRPr="005E3A70">
        <w:rPr>
          <w:szCs w:val="28"/>
        </w:rPr>
        <w:t>7.</w:t>
      </w:r>
      <w:r>
        <w:rPr>
          <w:szCs w:val="28"/>
        </w:rPr>
        <w:t>4</w:t>
      </w:r>
      <w:r w:rsidRPr="005E3A70">
        <w:rPr>
          <w:szCs w:val="28"/>
        </w:rPr>
        <w:tab/>
      </w:r>
      <w:r w:rsidRPr="005E3A70">
        <w:rPr>
          <w:rFonts w:hint="eastAsia"/>
          <w:szCs w:val="28"/>
        </w:rPr>
        <w:t>在上次審議結論中，委員會對外籍家庭傭工（外傭）的工作條件及法律保障表示關注。我們強調政府十分重視保障外傭的權益。外傭（不論國籍或種族）在香港的勞工法例下與本地工人享有同樣權益和保障，</w:t>
      </w:r>
      <w:r w:rsidRPr="00D55742">
        <w:rPr>
          <w:rFonts w:hint="eastAsia"/>
          <w:szCs w:val="28"/>
        </w:rPr>
        <w:t>外傭</w:t>
      </w:r>
      <w:r w:rsidRPr="005E3A70">
        <w:rPr>
          <w:rFonts w:hint="eastAsia"/>
          <w:szCs w:val="28"/>
        </w:rPr>
        <w:t>亦享有額外權益。</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szCs w:val="28"/>
        </w:rPr>
        <w:t>7.</w:t>
      </w:r>
      <w:r>
        <w:rPr>
          <w:szCs w:val="28"/>
        </w:rPr>
        <w:t>5</w:t>
      </w:r>
      <w:r w:rsidRPr="005E3A70">
        <w:rPr>
          <w:szCs w:val="28"/>
        </w:rPr>
        <w:tab/>
      </w:r>
      <w:r w:rsidRPr="005E3A70">
        <w:rPr>
          <w:rFonts w:hint="eastAsia"/>
          <w:szCs w:val="28"/>
        </w:rPr>
        <w:t>香港的勞工法例</w:t>
      </w:r>
      <w:r w:rsidRPr="00AD069B">
        <w:rPr>
          <w:rFonts w:hint="eastAsia"/>
          <w:szCs w:val="28"/>
        </w:rPr>
        <w:t>（</w:t>
      </w:r>
      <w:r w:rsidRPr="005E3A70">
        <w:rPr>
          <w:rFonts w:hint="eastAsia"/>
          <w:szCs w:val="28"/>
        </w:rPr>
        <w:t>包括主要的兩條法例即《僱傭條例》及《僱員補償條例》</w:t>
      </w:r>
      <w:bookmarkStart w:id="4" w:name="_Hlk7910009"/>
      <w:r w:rsidRPr="005E3A70">
        <w:rPr>
          <w:rFonts w:hint="eastAsia"/>
          <w:szCs w:val="28"/>
        </w:rPr>
        <w:t>（</w:t>
      </w:r>
      <w:bookmarkEnd w:id="4"/>
      <w:r w:rsidRPr="005E3A70">
        <w:rPr>
          <w:rFonts w:hint="eastAsia"/>
          <w:szCs w:val="28"/>
        </w:rPr>
        <w:t>第</w:t>
      </w:r>
      <w:r w:rsidRPr="005E3A70">
        <w:rPr>
          <w:szCs w:val="28"/>
        </w:rPr>
        <w:t>282</w:t>
      </w:r>
      <w:r w:rsidRPr="005E3A70">
        <w:rPr>
          <w:rFonts w:hint="eastAsia"/>
          <w:szCs w:val="28"/>
        </w:rPr>
        <w:t>章</w:t>
      </w:r>
      <w:bookmarkStart w:id="5" w:name="_Hlk7909985"/>
      <w:r w:rsidRPr="005E3A70">
        <w:rPr>
          <w:rFonts w:hint="eastAsia"/>
          <w:szCs w:val="28"/>
        </w:rPr>
        <w:t>）</w:t>
      </w:r>
      <w:bookmarkEnd w:id="5"/>
      <w:r w:rsidRPr="00AD069B">
        <w:rPr>
          <w:rFonts w:hint="eastAsia"/>
          <w:szCs w:val="28"/>
        </w:rPr>
        <w:t>）</w:t>
      </w:r>
      <w:r w:rsidRPr="005E3A70">
        <w:rPr>
          <w:rFonts w:hint="eastAsia"/>
          <w:szCs w:val="28"/>
        </w:rPr>
        <w:t>同樣適用於本地工人及外傭。外傭因此享有和本地工人相同的僱傭權益及保障</w:t>
      </w:r>
      <w:bookmarkStart w:id="6" w:name="_Hlk7910060"/>
      <w:r w:rsidRPr="00AD069B">
        <w:rPr>
          <w:rFonts w:hint="eastAsia"/>
          <w:szCs w:val="28"/>
        </w:rPr>
        <w:t>（</w:t>
      </w:r>
      <w:bookmarkEnd w:id="6"/>
      <w:r w:rsidRPr="005E3A70">
        <w:rPr>
          <w:rFonts w:hint="eastAsia"/>
          <w:szCs w:val="28"/>
        </w:rPr>
        <w:t>如休息日、法定假日、有薪年假、生育保障、疾病津貼、遣散費、長期服務金等</w:t>
      </w:r>
      <w:r w:rsidRPr="00AD069B">
        <w:rPr>
          <w:rFonts w:hint="eastAsia"/>
          <w:szCs w:val="28"/>
        </w:rPr>
        <w:t>）</w:t>
      </w:r>
      <w:r w:rsidRPr="005E3A70">
        <w:rPr>
          <w:rFonts w:hint="eastAsia"/>
          <w:szCs w:val="28"/>
        </w:rPr>
        <w:t>。</w:t>
      </w:r>
    </w:p>
    <w:p w:rsidR="006D2061"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szCs w:val="28"/>
        </w:rPr>
        <w:t>7.</w:t>
      </w:r>
      <w:r>
        <w:rPr>
          <w:szCs w:val="28"/>
        </w:rPr>
        <w:t>6</w:t>
      </w:r>
      <w:r>
        <w:rPr>
          <w:szCs w:val="28"/>
        </w:rPr>
        <w:tab/>
      </w:r>
      <w:r w:rsidRPr="005E3A70">
        <w:rPr>
          <w:rFonts w:hint="eastAsia"/>
          <w:szCs w:val="28"/>
        </w:rPr>
        <w:t>除法定保障外，在香港工作的外傭受政府訂定的標準僱傭合約保障。聘用外傭必須採用</w:t>
      </w:r>
      <w:r>
        <w:rPr>
          <w:rFonts w:hint="eastAsia"/>
          <w:szCs w:val="28"/>
          <w:lang w:eastAsia="zh-HK"/>
        </w:rPr>
        <w:t>該</w:t>
      </w:r>
      <w:r w:rsidRPr="005E3A70">
        <w:rPr>
          <w:rFonts w:hint="eastAsia"/>
          <w:szCs w:val="28"/>
        </w:rPr>
        <w:t>合約</w:t>
      </w:r>
      <w:r>
        <w:rPr>
          <w:rFonts w:hint="eastAsia"/>
          <w:szCs w:val="28"/>
        </w:rPr>
        <w:t>，當中</w:t>
      </w:r>
      <w:r w:rsidRPr="005E3A70">
        <w:rPr>
          <w:rFonts w:hint="eastAsia"/>
          <w:szCs w:val="28"/>
        </w:rPr>
        <w:t>列明僱主必須提供的基本僱傭條款，包括工資水平不可低於當時有效的規定最低工資水平、免</w:t>
      </w:r>
      <w:r w:rsidRPr="00D5636B">
        <w:rPr>
          <w:rFonts w:hint="eastAsia"/>
          <w:spacing w:val="2"/>
          <w:szCs w:val="28"/>
        </w:rPr>
        <w:lastRenderedPageBreak/>
        <w:t>費住宿、免費膳食（或膳食津貼，津貼水平不可低於當時有效的水平）、</w:t>
      </w:r>
      <w:r w:rsidRPr="005E3A70">
        <w:rPr>
          <w:rFonts w:hint="eastAsia"/>
          <w:szCs w:val="28"/>
        </w:rPr>
        <w:t>免費醫療，以及免費來回原居地的旅費。本地工人一般未必享有這些權益。</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szCs w:val="28"/>
        </w:rPr>
        <w:t>7.</w:t>
      </w:r>
      <w:r>
        <w:rPr>
          <w:szCs w:val="28"/>
        </w:rPr>
        <w:t>7</w:t>
      </w:r>
      <w:r>
        <w:rPr>
          <w:szCs w:val="28"/>
        </w:rPr>
        <w:tab/>
      </w:r>
      <w:r w:rsidRPr="005E3A70">
        <w:rPr>
          <w:rFonts w:hint="eastAsia"/>
          <w:szCs w:val="28"/>
        </w:rPr>
        <w:t>在上次審議結論中，委員會</w:t>
      </w:r>
      <w:r>
        <w:rPr>
          <w:rFonts w:hint="eastAsia"/>
          <w:szCs w:val="28"/>
          <w:lang w:eastAsia="zh-HK"/>
        </w:rPr>
        <w:t>關</w:t>
      </w:r>
      <w:r>
        <w:rPr>
          <w:rFonts w:hint="eastAsia"/>
          <w:szCs w:val="28"/>
        </w:rPr>
        <w:t>注</w:t>
      </w:r>
      <w:r w:rsidRPr="005E3A70">
        <w:rPr>
          <w:rFonts w:hint="eastAsia"/>
          <w:szCs w:val="28"/>
        </w:rPr>
        <w:t>《最低工資條例》不涵蓋外傭。《最低工資條例》豁免所有留宿家庭傭工</w:t>
      </w:r>
      <w:r w:rsidRPr="00AD069B">
        <w:rPr>
          <w:rFonts w:hint="eastAsia"/>
          <w:szCs w:val="28"/>
        </w:rPr>
        <w:t>（</w:t>
      </w:r>
      <w:r w:rsidRPr="005E3A70">
        <w:rPr>
          <w:rFonts w:hint="eastAsia"/>
          <w:szCs w:val="28"/>
        </w:rPr>
        <w:t>不論國籍或來自本地或外地</w:t>
      </w:r>
      <w:r w:rsidRPr="00AD069B">
        <w:rPr>
          <w:rFonts w:hint="eastAsia"/>
          <w:szCs w:val="28"/>
        </w:rPr>
        <w:t>）</w:t>
      </w:r>
      <w:r w:rsidRPr="005E3A70">
        <w:rPr>
          <w:rFonts w:hint="eastAsia"/>
          <w:szCs w:val="28"/>
        </w:rPr>
        <w:t>其中主要考慮是留宿家庭傭工於僱主家中居住及工作，難以計算和記錄工時，而法定最低工資是以時薪作為基礎。這豁免並不會令作為留宿家庭傭工的外傭所受的保障較非留宿傭工少</w:t>
      </w:r>
      <w:r>
        <w:rPr>
          <w:rFonts w:hint="eastAsia"/>
          <w:szCs w:val="28"/>
        </w:rPr>
        <w:t>，</w:t>
      </w:r>
      <w:r w:rsidRPr="005E3A70">
        <w:rPr>
          <w:rFonts w:hint="eastAsia"/>
          <w:szCs w:val="28"/>
        </w:rPr>
        <w:t>因為外傭除工資外亦享有免費住宿、免費膳食</w:t>
      </w:r>
      <w:r>
        <w:rPr>
          <w:rFonts w:hint="eastAsia"/>
          <w:szCs w:val="28"/>
        </w:rPr>
        <w:t>（</w:t>
      </w:r>
      <w:r>
        <w:rPr>
          <w:rFonts w:hint="eastAsia"/>
          <w:szCs w:val="28"/>
          <w:lang w:eastAsia="zh-HK"/>
        </w:rPr>
        <w:t>或</w:t>
      </w:r>
      <w:r w:rsidRPr="00D55742">
        <w:rPr>
          <w:szCs w:val="28"/>
          <w:lang w:eastAsia="zh-HK"/>
        </w:rPr>
        <w:t>膳食津貼</w:t>
      </w:r>
      <w:bookmarkStart w:id="7" w:name="_Hlk7910073"/>
      <w:r>
        <w:rPr>
          <w:rFonts w:hint="eastAsia"/>
          <w:szCs w:val="28"/>
        </w:rPr>
        <w:t>）</w:t>
      </w:r>
      <w:bookmarkEnd w:id="7"/>
      <w:r w:rsidRPr="005E3A70">
        <w:rPr>
          <w:rFonts w:hint="eastAsia"/>
          <w:szCs w:val="28"/>
        </w:rPr>
        <w:t>，及</w:t>
      </w:r>
      <w:r>
        <w:rPr>
          <w:rFonts w:hint="eastAsia"/>
          <w:szCs w:val="28"/>
          <w:lang w:eastAsia="zh-HK"/>
        </w:rPr>
        <w:t>可</w:t>
      </w:r>
      <w:r w:rsidRPr="005E3A70">
        <w:rPr>
          <w:rFonts w:hint="eastAsia"/>
          <w:szCs w:val="28"/>
        </w:rPr>
        <w:t>節省交通開支等非現金權益。因此，《最低工資條例》豁免外傭實有充</w:t>
      </w:r>
      <w:r>
        <w:rPr>
          <w:rFonts w:hint="eastAsia"/>
          <w:szCs w:val="28"/>
          <w:lang w:eastAsia="zh-HK"/>
        </w:rPr>
        <w:t>分</w:t>
      </w:r>
      <w:r w:rsidRPr="005E3A70">
        <w:rPr>
          <w:rFonts w:hint="eastAsia"/>
          <w:szCs w:val="28"/>
        </w:rPr>
        <w:t>理據。</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Pr>
          <w:szCs w:val="28"/>
        </w:rPr>
        <w:t>7.8</w:t>
      </w:r>
      <w:r>
        <w:rPr>
          <w:szCs w:val="28"/>
        </w:rPr>
        <w:tab/>
      </w:r>
      <w:r w:rsidRPr="005E3A70">
        <w:rPr>
          <w:rFonts w:hint="eastAsia"/>
          <w:szCs w:val="28"/>
        </w:rPr>
        <w:t>儘管如此，政府爲外傭訂立了規定最低工資，</w:t>
      </w:r>
      <w:r>
        <w:rPr>
          <w:rFonts w:hint="eastAsia"/>
          <w:szCs w:val="28"/>
          <w:lang w:eastAsia="zh-HK"/>
        </w:rPr>
        <w:t>並</w:t>
      </w:r>
      <w:r w:rsidRPr="005E3A70">
        <w:rPr>
          <w:rFonts w:hint="eastAsia"/>
          <w:szCs w:val="28"/>
        </w:rPr>
        <w:t>於</w:t>
      </w:r>
      <w:r w:rsidRPr="005E3A70">
        <w:rPr>
          <w:szCs w:val="28"/>
        </w:rPr>
        <w:t>1970</w:t>
      </w:r>
      <w:r w:rsidRPr="005E3A70">
        <w:rPr>
          <w:rFonts w:hint="eastAsia"/>
          <w:szCs w:val="28"/>
        </w:rPr>
        <w:t>年代初起實施，為外傭提供有效的工資保障。短付規定最低工資屬觸犯《僱傭條例》，一經定罪，最高可被判罰款</w:t>
      </w:r>
      <w:r w:rsidRPr="005E3A70">
        <w:rPr>
          <w:szCs w:val="28"/>
        </w:rPr>
        <w:t>35</w:t>
      </w:r>
      <w:r w:rsidRPr="005E3A70">
        <w:rPr>
          <w:rFonts w:hint="eastAsia"/>
          <w:szCs w:val="28"/>
        </w:rPr>
        <w:t>萬元及監禁三年。香港特區政府定期檢討規定最低工資，現時的規定最低工資為每月</w:t>
      </w:r>
      <w:r w:rsidRPr="005E3A70">
        <w:rPr>
          <w:szCs w:val="28"/>
        </w:rPr>
        <w:t>4,520</w:t>
      </w:r>
      <w:r w:rsidRPr="005E3A70">
        <w:rPr>
          <w:rFonts w:hint="eastAsia"/>
          <w:szCs w:val="28"/>
        </w:rPr>
        <w:t>元。</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D5636B">
        <w:rPr>
          <w:spacing w:val="-2"/>
          <w:szCs w:val="28"/>
        </w:rPr>
        <w:t>7.9</w:t>
      </w:r>
      <w:r w:rsidRPr="00D5636B">
        <w:rPr>
          <w:spacing w:val="-2"/>
          <w:szCs w:val="28"/>
        </w:rPr>
        <w:tab/>
      </w:r>
      <w:r w:rsidRPr="00D5636B">
        <w:rPr>
          <w:rFonts w:hint="eastAsia"/>
          <w:spacing w:val="-2"/>
          <w:szCs w:val="28"/>
        </w:rPr>
        <w:t>規定最低工資自訂立以來至</w:t>
      </w:r>
      <w:r w:rsidRPr="00D5636B">
        <w:rPr>
          <w:spacing w:val="-2"/>
          <w:szCs w:val="28"/>
        </w:rPr>
        <w:t>2018</w:t>
      </w:r>
      <w:r w:rsidRPr="00D5636B">
        <w:rPr>
          <w:rFonts w:hint="eastAsia"/>
          <w:spacing w:val="-2"/>
          <w:szCs w:val="28"/>
        </w:rPr>
        <w:t>年共調整</w:t>
      </w:r>
      <w:r w:rsidRPr="00D5636B">
        <w:rPr>
          <w:spacing w:val="-2"/>
          <w:szCs w:val="28"/>
        </w:rPr>
        <w:t>32</w:t>
      </w:r>
      <w:r w:rsidRPr="00D5636B">
        <w:rPr>
          <w:rFonts w:hint="eastAsia"/>
          <w:spacing w:val="-2"/>
          <w:szCs w:val="28"/>
        </w:rPr>
        <w:t>次。除兩</w:t>
      </w:r>
      <w:r w:rsidRPr="005E3A70">
        <w:rPr>
          <w:rFonts w:hint="eastAsia"/>
          <w:szCs w:val="28"/>
        </w:rPr>
        <w:t>次外，其餘均是向上調整。政府在檢討規定最低工資時會按照行之有效的機制，考慮包括香港整體經濟和就業情況等因素。</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szCs w:val="28"/>
        </w:rPr>
        <w:t>7.</w:t>
      </w:r>
      <w:r>
        <w:rPr>
          <w:rFonts w:hint="eastAsia"/>
          <w:szCs w:val="28"/>
        </w:rPr>
        <w:t>1</w:t>
      </w:r>
      <w:r>
        <w:rPr>
          <w:szCs w:val="28"/>
        </w:rPr>
        <w:t>0</w:t>
      </w:r>
      <w:r>
        <w:rPr>
          <w:szCs w:val="28"/>
        </w:rPr>
        <w:tab/>
      </w:r>
      <w:r>
        <w:rPr>
          <w:rFonts w:hint="eastAsia"/>
          <w:szCs w:val="28"/>
          <w:lang w:eastAsia="zh-HK"/>
        </w:rPr>
        <w:t>此</w:t>
      </w:r>
      <w:r>
        <w:rPr>
          <w:rFonts w:hint="eastAsia"/>
          <w:szCs w:val="28"/>
        </w:rPr>
        <w:t>外，</w:t>
      </w:r>
      <w:r w:rsidRPr="005E3A70">
        <w:rPr>
          <w:rFonts w:hint="eastAsia"/>
          <w:szCs w:val="28"/>
        </w:rPr>
        <w:t>《刑事罪行條例》（第</w:t>
      </w:r>
      <w:r w:rsidRPr="005E3A70">
        <w:rPr>
          <w:szCs w:val="28"/>
        </w:rPr>
        <w:t>200</w:t>
      </w:r>
      <w:r w:rsidRPr="005E3A70">
        <w:rPr>
          <w:rFonts w:hint="eastAsia"/>
          <w:szCs w:val="28"/>
        </w:rPr>
        <w:t>章）和《侵害人身罪條例》（第</w:t>
      </w:r>
      <w:r w:rsidRPr="005E3A70">
        <w:rPr>
          <w:szCs w:val="28"/>
        </w:rPr>
        <w:t>212</w:t>
      </w:r>
      <w:r w:rsidRPr="005E3A70">
        <w:rPr>
          <w:rFonts w:hint="eastAsia"/>
          <w:szCs w:val="28"/>
        </w:rPr>
        <w:t>章）等法例亦適用於外傭，保障他們免受暴力對待。符合資格的外傭均可申請由政府提供的法律援助。</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szCs w:val="28"/>
        </w:rPr>
        <w:t>7.</w:t>
      </w:r>
      <w:r>
        <w:rPr>
          <w:rFonts w:hint="eastAsia"/>
          <w:szCs w:val="28"/>
        </w:rPr>
        <w:t>1</w:t>
      </w:r>
      <w:r>
        <w:rPr>
          <w:szCs w:val="28"/>
        </w:rPr>
        <w:t>1</w:t>
      </w:r>
      <w:r>
        <w:rPr>
          <w:szCs w:val="28"/>
        </w:rPr>
        <w:tab/>
      </w:r>
      <w:r w:rsidRPr="005E3A70">
        <w:rPr>
          <w:rFonts w:hint="eastAsia"/>
          <w:szCs w:val="28"/>
        </w:rPr>
        <w:t>勞工處全力執法，並廣泛宣傳僱員（包括外傭）的法定權益及僱主在《僱傭條例》下的責任。如外傭的僱傭權益受損，可向</w:t>
      </w:r>
      <w:r>
        <w:rPr>
          <w:rFonts w:hint="eastAsia"/>
          <w:szCs w:val="28"/>
        </w:rPr>
        <w:t>該</w:t>
      </w:r>
      <w:r w:rsidRPr="005E3A70">
        <w:rPr>
          <w:rFonts w:hint="eastAsia"/>
          <w:szCs w:val="28"/>
        </w:rPr>
        <w:t>處尋求免費諮詢及調停服務。</w:t>
      </w:r>
      <w:r>
        <w:rPr>
          <w:rFonts w:hint="eastAsia"/>
          <w:szCs w:val="28"/>
        </w:rPr>
        <w:t>該</w:t>
      </w:r>
      <w:r w:rsidRPr="005E3A70">
        <w:rPr>
          <w:rFonts w:hint="eastAsia"/>
          <w:szCs w:val="28"/>
        </w:rPr>
        <w:t>處積極</w:t>
      </w:r>
      <w:r>
        <w:rPr>
          <w:rFonts w:hint="eastAsia"/>
          <w:szCs w:val="28"/>
          <w:lang w:eastAsia="zh-HK"/>
        </w:rPr>
        <w:t>執</w:t>
      </w:r>
      <w:r>
        <w:rPr>
          <w:rFonts w:hint="eastAsia"/>
          <w:szCs w:val="28"/>
        </w:rPr>
        <w:t>行</w:t>
      </w:r>
      <w:r w:rsidRPr="005E3A70">
        <w:rPr>
          <w:rFonts w:hint="eastAsia"/>
          <w:szCs w:val="28"/>
        </w:rPr>
        <w:t>《僱傭條例》打擊欠薪罪行</w:t>
      </w:r>
      <w:r>
        <w:rPr>
          <w:rFonts w:hint="eastAsia"/>
          <w:szCs w:val="28"/>
        </w:rPr>
        <w:t>，</w:t>
      </w:r>
      <w:r w:rsidRPr="005E3A70">
        <w:rPr>
          <w:rFonts w:hint="eastAsia"/>
          <w:szCs w:val="28"/>
        </w:rPr>
        <w:t>若有足夠證據會檢控違法者。外傭僱主因不支付／短付工資或非法扣薪而被定罪的傳票在</w:t>
      </w:r>
      <w:r w:rsidRPr="005E3A70">
        <w:rPr>
          <w:szCs w:val="28"/>
        </w:rPr>
        <w:t>2018</w:t>
      </w:r>
      <w:r w:rsidRPr="005E3A70">
        <w:rPr>
          <w:rFonts w:hint="eastAsia"/>
          <w:szCs w:val="28"/>
        </w:rPr>
        <w:t>年共有六張。</w:t>
      </w:r>
    </w:p>
    <w:p w:rsidR="006D2061"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rFonts w:hint="eastAsia"/>
          <w:szCs w:val="28"/>
        </w:rPr>
        <w:t>7.</w:t>
      </w:r>
      <w:r>
        <w:rPr>
          <w:rFonts w:hint="eastAsia"/>
          <w:szCs w:val="28"/>
        </w:rPr>
        <w:t>1</w:t>
      </w:r>
      <w:r>
        <w:rPr>
          <w:szCs w:val="28"/>
        </w:rPr>
        <w:t>2</w:t>
      </w:r>
      <w:r>
        <w:rPr>
          <w:rFonts w:hint="eastAsia"/>
          <w:szCs w:val="28"/>
        </w:rPr>
        <w:tab/>
      </w:r>
      <w:r w:rsidRPr="005E3A70">
        <w:rPr>
          <w:rFonts w:hint="eastAsia"/>
          <w:szCs w:val="28"/>
        </w:rPr>
        <w:t>為加強監管職業介紹所，包括為外傭服務的職業介紹所，勞工處於</w:t>
      </w:r>
      <w:r w:rsidRPr="005E3A70">
        <w:rPr>
          <w:rFonts w:hint="eastAsia"/>
          <w:szCs w:val="28"/>
        </w:rPr>
        <w:t>2017</w:t>
      </w:r>
      <w:r w:rsidRPr="005E3A70">
        <w:rPr>
          <w:rFonts w:hint="eastAsia"/>
          <w:szCs w:val="28"/>
        </w:rPr>
        <w:t>年</w:t>
      </w:r>
      <w:r w:rsidRPr="005E3A70">
        <w:rPr>
          <w:rFonts w:hint="eastAsia"/>
          <w:szCs w:val="28"/>
        </w:rPr>
        <w:t>1</w:t>
      </w:r>
      <w:r w:rsidRPr="005E3A70">
        <w:rPr>
          <w:rFonts w:hint="eastAsia"/>
          <w:szCs w:val="28"/>
        </w:rPr>
        <w:t>月頒布了《職業介紹所實務守則》（《實務守則》）</w:t>
      </w:r>
      <w:r w:rsidRPr="005E3A70">
        <w:rPr>
          <w:rFonts w:hint="eastAsia"/>
          <w:szCs w:val="28"/>
        </w:rPr>
        <w:lastRenderedPageBreak/>
        <w:t>循。此外，在</w:t>
      </w:r>
      <w:r w:rsidRPr="005E3A70">
        <w:rPr>
          <w:rFonts w:hint="eastAsia"/>
          <w:szCs w:val="28"/>
        </w:rPr>
        <w:t>2018</w:t>
      </w:r>
      <w:r w:rsidRPr="005E3A70">
        <w:rPr>
          <w:rFonts w:hint="eastAsia"/>
          <w:szCs w:val="28"/>
        </w:rPr>
        <w:t>年</w:t>
      </w:r>
      <w:r w:rsidRPr="005E3A70">
        <w:rPr>
          <w:rFonts w:hint="eastAsia"/>
          <w:szCs w:val="28"/>
        </w:rPr>
        <w:t>2</w:t>
      </w:r>
      <w:r w:rsidRPr="005E3A70">
        <w:rPr>
          <w:rFonts w:hint="eastAsia"/>
          <w:szCs w:val="28"/>
        </w:rPr>
        <w:t>月</w:t>
      </w:r>
      <w:r w:rsidRPr="005E3A70">
        <w:rPr>
          <w:rFonts w:hint="eastAsia"/>
          <w:szCs w:val="28"/>
        </w:rPr>
        <w:t>9</w:t>
      </w:r>
      <w:r w:rsidRPr="005E3A70">
        <w:rPr>
          <w:rFonts w:hint="eastAsia"/>
          <w:szCs w:val="28"/>
        </w:rPr>
        <w:t>日生效</w:t>
      </w:r>
      <w:r>
        <w:rPr>
          <w:rFonts w:hint="eastAsia"/>
          <w:szCs w:val="28"/>
        </w:rPr>
        <w:t>的</w:t>
      </w:r>
      <w:r w:rsidRPr="005E3A70">
        <w:rPr>
          <w:rFonts w:hint="eastAsia"/>
          <w:szCs w:val="28"/>
        </w:rPr>
        <w:t>《</w:t>
      </w:r>
      <w:r w:rsidRPr="005E3A70">
        <w:rPr>
          <w:rFonts w:hint="eastAsia"/>
          <w:szCs w:val="28"/>
        </w:rPr>
        <w:t>2018</w:t>
      </w:r>
      <w:r w:rsidRPr="005E3A70">
        <w:rPr>
          <w:rFonts w:hint="eastAsia"/>
          <w:szCs w:val="28"/>
        </w:rPr>
        <w:t>年僱傭（修訂）條例》，大大提高了對職業介紹所濫收求職者佣金或無牌經營的最高刑罰，罰款由</w:t>
      </w:r>
      <w:r w:rsidRPr="005E3A70">
        <w:rPr>
          <w:rFonts w:hint="eastAsia"/>
          <w:szCs w:val="28"/>
        </w:rPr>
        <w:t>5</w:t>
      </w:r>
      <w:r w:rsidRPr="005E3A70">
        <w:rPr>
          <w:rFonts w:hint="eastAsia"/>
          <w:szCs w:val="28"/>
        </w:rPr>
        <w:t>萬元增加至</w:t>
      </w:r>
      <w:r w:rsidRPr="005E3A70">
        <w:rPr>
          <w:rFonts w:hint="eastAsia"/>
          <w:szCs w:val="28"/>
        </w:rPr>
        <w:t>35</w:t>
      </w:r>
      <w:r w:rsidRPr="005E3A70">
        <w:rPr>
          <w:rFonts w:hint="eastAsia"/>
          <w:szCs w:val="28"/>
        </w:rPr>
        <w:t>萬元及監禁三年，並把檢控這兩項罪行的法定時效限制由六個月延長至</w:t>
      </w:r>
      <w:r w:rsidRPr="005E3A70">
        <w:rPr>
          <w:rFonts w:hint="eastAsia"/>
          <w:szCs w:val="28"/>
        </w:rPr>
        <w:t>12</w:t>
      </w:r>
      <w:r w:rsidRPr="005E3A70">
        <w:rPr>
          <w:rFonts w:hint="eastAsia"/>
          <w:szCs w:val="28"/>
        </w:rPr>
        <w:t>個月。修訂條例亦把濫收求職者佣金罪行的涵蓋範圍擴展至持牌人以外的管理層及受僱於職業介紹所的人員；訂定勞工處處長可拒絕發出／續發或撤銷職業介紹所牌照的新理由；以及為《實務守則》提供法律基礎。自</w:t>
      </w:r>
      <w:r w:rsidRPr="005E3A70">
        <w:rPr>
          <w:rFonts w:hint="eastAsia"/>
          <w:szCs w:val="28"/>
        </w:rPr>
        <w:t>2017</w:t>
      </w:r>
      <w:r w:rsidRPr="005E3A70">
        <w:rPr>
          <w:rFonts w:hint="eastAsia"/>
          <w:szCs w:val="28"/>
        </w:rPr>
        <w:t>年</w:t>
      </w:r>
      <w:r w:rsidRPr="005E3A70">
        <w:rPr>
          <w:rFonts w:hint="eastAsia"/>
          <w:szCs w:val="28"/>
        </w:rPr>
        <w:t>1</w:t>
      </w:r>
      <w:r w:rsidRPr="005E3A70">
        <w:rPr>
          <w:rFonts w:hint="eastAsia"/>
          <w:szCs w:val="28"/>
        </w:rPr>
        <w:t>月發布《實務守則》至</w:t>
      </w:r>
      <w:r w:rsidRPr="005E3A70">
        <w:rPr>
          <w:rFonts w:hint="eastAsia"/>
          <w:szCs w:val="28"/>
        </w:rPr>
        <w:t>2018</w:t>
      </w:r>
      <w:r w:rsidRPr="005E3A70">
        <w:rPr>
          <w:rFonts w:hint="eastAsia"/>
          <w:szCs w:val="28"/>
        </w:rPr>
        <w:t>年年底，勞工處就職業介紹所未有符合《實務守則》的情況，共發出</w:t>
      </w:r>
      <w:r w:rsidRPr="005E3A70">
        <w:rPr>
          <w:rFonts w:hint="eastAsia"/>
          <w:szCs w:val="28"/>
        </w:rPr>
        <w:t>58</w:t>
      </w:r>
      <w:r w:rsidRPr="005E3A70">
        <w:rPr>
          <w:rFonts w:hint="eastAsia"/>
          <w:szCs w:val="28"/>
        </w:rPr>
        <w:t>次書面警告及</w:t>
      </w:r>
      <w:r w:rsidRPr="005E3A70">
        <w:rPr>
          <w:rFonts w:hint="eastAsia"/>
          <w:szCs w:val="28"/>
        </w:rPr>
        <w:t>2</w:t>
      </w:r>
      <w:r>
        <w:t> </w:t>
      </w:r>
      <w:r w:rsidRPr="005E3A70">
        <w:rPr>
          <w:rFonts w:hint="eastAsia"/>
          <w:szCs w:val="28"/>
        </w:rPr>
        <w:t>128</w:t>
      </w:r>
      <w:r w:rsidRPr="005E3A70">
        <w:rPr>
          <w:rFonts w:hint="eastAsia"/>
          <w:szCs w:val="28"/>
        </w:rPr>
        <w:t>次口頭警告，並撤銷或拒絕發出／續發</w:t>
      </w:r>
      <w:r w:rsidRPr="005E3A70">
        <w:rPr>
          <w:rFonts w:hint="eastAsia"/>
          <w:szCs w:val="28"/>
        </w:rPr>
        <w:t>17</w:t>
      </w:r>
      <w:r w:rsidRPr="005E3A70">
        <w:rPr>
          <w:rFonts w:hint="eastAsia"/>
          <w:szCs w:val="28"/>
        </w:rPr>
        <w:t>間職業介紹所的牌照。同期，勞工處檢控了</w:t>
      </w:r>
      <w:r w:rsidRPr="005E3A70">
        <w:rPr>
          <w:rFonts w:hint="eastAsia"/>
          <w:szCs w:val="28"/>
        </w:rPr>
        <w:t>21</w:t>
      </w:r>
      <w:r w:rsidRPr="005E3A70">
        <w:rPr>
          <w:rFonts w:hint="eastAsia"/>
          <w:szCs w:val="28"/>
        </w:rPr>
        <w:t>間干犯《僱傭條例》下濫收外傭佣金、無牌經營等罪行</w:t>
      </w:r>
      <w:r>
        <w:rPr>
          <w:rFonts w:hint="eastAsia"/>
          <w:szCs w:val="28"/>
          <w:lang w:eastAsia="zh-HK"/>
        </w:rPr>
        <w:t>的</w:t>
      </w:r>
      <w:r w:rsidRPr="005E3A70">
        <w:rPr>
          <w:rFonts w:hint="eastAsia"/>
          <w:szCs w:val="28"/>
        </w:rPr>
        <w:t>職業介紹所。</w:t>
      </w:r>
    </w:p>
    <w:p w:rsidR="006D2061" w:rsidRPr="005E3A70"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sidRPr="005E3A70">
        <w:rPr>
          <w:szCs w:val="28"/>
        </w:rPr>
        <w:t>7.</w:t>
      </w:r>
      <w:r>
        <w:rPr>
          <w:rFonts w:hint="eastAsia"/>
          <w:szCs w:val="28"/>
        </w:rPr>
        <w:t>1</w:t>
      </w:r>
      <w:r>
        <w:rPr>
          <w:szCs w:val="28"/>
        </w:rPr>
        <w:t>3</w:t>
      </w:r>
      <w:r>
        <w:rPr>
          <w:szCs w:val="28"/>
        </w:rPr>
        <w:tab/>
      </w:r>
      <w:r w:rsidRPr="005E3A70">
        <w:rPr>
          <w:rFonts w:hint="eastAsia"/>
          <w:szCs w:val="28"/>
        </w:rPr>
        <w:t>爲提升業界運作透明度，勞工處於其職業介紹所專題網站（</w:t>
      </w:r>
      <w:r w:rsidRPr="005E3A70">
        <w:rPr>
          <w:szCs w:val="28"/>
        </w:rPr>
        <w:t>www.eaa.labour.gov.hk</w:t>
      </w:r>
      <w:r w:rsidRPr="005E3A70">
        <w:rPr>
          <w:rFonts w:hint="eastAsia"/>
          <w:szCs w:val="28"/>
        </w:rPr>
        <w:t>）發布職業介紹所因濫收佣金或無牌經營而被定罪、被撤銷／拒絶續發牌照及被書面警告的紀錄。</w:t>
      </w:r>
      <w:r>
        <w:rPr>
          <w:rFonts w:hint="eastAsia"/>
          <w:szCs w:val="28"/>
        </w:rPr>
        <w:t>該</w:t>
      </w:r>
      <w:r w:rsidRPr="005E3A70">
        <w:rPr>
          <w:rFonts w:hint="eastAsia"/>
          <w:szCs w:val="28"/>
        </w:rPr>
        <w:t>網站亦提供網上表格讓求職者（包括外傭）和僱主提出查詢或投訴。</w:t>
      </w:r>
    </w:p>
    <w:p w:rsidR="006D2061" w:rsidRPr="005E3A70" w:rsidRDefault="006D2061" w:rsidP="008375BB">
      <w:pPr>
        <w:tabs>
          <w:tab w:val="left" w:pos="1440"/>
        </w:tabs>
        <w:snapToGrid w:val="0"/>
        <w:spacing w:line="400" w:lineRule="atLeast"/>
        <w:jc w:val="both"/>
        <w:rPr>
          <w:szCs w:val="28"/>
        </w:rPr>
      </w:pPr>
    </w:p>
    <w:p w:rsidR="006D2061" w:rsidRDefault="006D2061" w:rsidP="00CE1606">
      <w:pPr>
        <w:tabs>
          <w:tab w:val="left" w:pos="1440"/>
        </w:tabs>
        <w:overflowPunct w:val="0"/>
        <w:snapToGrid w:val="0"/>
        <w:spacing w:line="400" w:lineRule="atLeast"/>
        <w:jc w:val="both"/>
        <w:rPr>
          <w:szCs w:val="28"/>
        </w:rPr>
      </w:pPr>
      <w:r w:rsidRPr="005E3A70">
        <w:rPr>
          <w:szCs w:val="28"/>
        </w:rPr>
        <w:t>7.</w:t>
      </w:r>
      <w:r>
        <w:rPr>
          <w:szCs w:val="28"/>
        </w:rPr>
        <w:t>14</w:t>
      </w:r>
      <w:r>
        <w:rPr>
          <w:szCs w:val="28"/>
        </w:rPr>
        <w:tab/>
      </w:r>
      <w:r w:rsidRPr="005E3A70">
        <w:rPr>
          <w:rFonts w:hint="eastAsia"/>
          <w:szCs w:val="28"/>
        </w:rPr>
        <w:t>勞工處每年舉行各類宣傳活動，加深外傭及僱主對其法定及合約權益和責任的認識，包括與有關駐港總領事館合作為新來港外傭舉辦講座、設立資訊站、播放宣傳短片、向外傭派發資訊包及紀念品，以及在本地的菲律賓及印尼語報章刊登廣告（來自菲律賓和印尼的國民佔</w:t>
      </w:r>
      <w:r>
        <w:rPr>
          <w:rFonts w:hint="eastAsia"/>
          <w:szCs w:val="28"/>
          <w:lang w:eastAsia="zh-HK"/>
        </w:rPr>
        <w:t>在港</w:t>
      </w:r>
      <w:r w:rsidRPr="005E3A70">
        <w:rPr>
          <w:rFonts w:hint="eastAsia"/>
          <w:szCs w:val="28"/>
        </w:rPr>
        <w:t>外傭人口超過</w:t>
      </w:r>
      <w:r w:rsidRPr="005E3A70">
        <w:rPr>
          <w:szCs w:val="28"/>
        </w:rPr>
        <w:t>97%</w:t>
      </w:r>
      <w:r w:rsidRPr="005E3A70">
        <w:rPr>
          <w:rFonts w:hint="eastAsia"/>
          <w:szCs w:val="28"/>
        </w:rPr>
        <w:t>）。</w:t>
      </w:r>
      <w:r>
        <w:rPr>
          <w:rFonts w:hint="eastAsia"/>
          <w:szCs w:val="28"/>
        </w:rPr>
        <w:t>該</w:t>
      </w:r>
      <w:r w:rsidRPr="005E3A70">
        <w:rPr>
          <w:rFonts w:hint="eastAsia"/>
          <w:szCs w:val="28"/>
        </w:rPr>
        <w:t>處在</w:t>
      </w:r>
      <w:r w:rsidRPr="005E3A70">
        <w:rPr>
          <w:szCs w:val="28"/>
        </w:rPr>
        <w:t>2018</w:t>
      </w:r>
      <w:r w:rsidRPr="005E3A70">
        <w:rPr>
          <w:rFonts w:hint="eastAsia"/>
          <w:szCs w:val="28"/>
        </w:rPr>
        <w:t>年為外傭僱主印製新手冊解釋僱主的責任和權益，並印製通訊介紹</w:t>
      </w:r>
      <w:r>
        <w:rPr>
          <w:rFonts w:hint="eastAsia"/>
          <w:szCs w:val="28"/>
          <w:lang w:eastAsia="zh-HK"/>
        </w:rPr>
        <w:t>該</w:t>
      </w:r>
      <w:r w:rsidRPr="005E3A70">
        <w:rPr>
          <w:rFonts w:hint="eastAsia"/>
          <w:szCs w:val="28"/>
        </w:rPr>
        <w:t>處的服務及支援渠道</w:t>
      </w:r>
      <w:r>
        <w:rPr>
          <w:rFonts w:hint="eastAsia"/>
          <w:szCs w:val="28"/>
          <w:lang w:eastAsia="zh-HK"/>
        </w:rPr>
        <w:t>；</w:t>
      </w:r>
      <w:r w:rsidRPr="005E3A70">
        <w:rPr>
          <w:rFonts w:hint="eastAsia"/>
          <w:szCs w:val="28"/>
        </w:rPr>
        <w:t>亦為新來港外傭和首次聘用外傭的僱主舉辦簡介會，加深他們對各自的權益和責任的認識。</w:t>
      </w:r>
      <w:r>
        <w:rPr>
          <w:rFonts w:hint="eastAsia"/>
          <w:szCs w:val="28"/>
        </w:rPr>
        <w:t>該</w:t>
      </w:r>
      <w:r w:rsidRPr="005E3A70">
        <w:rPr>
          <w:rFonts w:hint="eastAsia"/>
          <w:szCs w:val="28"/>
        </w:rPr>
        <w:t>處</w:t>
      </w:r>
      <w:r>
        <w:rPr>
          <w:rFonts w:hint="eastAsia"/>
          <w:szCs w:val="28"/>
          <w:lang w:eastAsia="zh-HK"/>
        </w:rPr>
        <w:t>亦</w:t>
      </w:r>
      <w:r w:rsidRPr="005E3A70">
        <w:rPr>
          <w:rFonts w:hint="eastAsia"/>
          <w:szCs w:val="28"/>
        </w:rPr>
        <w:t>優化了其網上資源，包括在外傭專題網站（</w:t>
      </w:r>
      <w:r w:rsidRPr="005E3A70">
        <w:rPr>
          <w:rFonts w:hint="eastAsia"/>
          <w:szCs w:val="28"/>
        </w:rPr>
        <w:t>www.fdh.labour.gov.hk</w:t>
      </w:r>
      <w:r w:rsidRPr="005E3A70">
        <w:rPr>
          <w:rFonts w:hint="eastAsia"/>
          <w:szCs w:val="28"/>
        </w:rPr>
        <w:t>）提供新的網上表格和專設電郵帳戶，並在該網站新增了六種外傭語言，合共</w:t>
      </w:r>
      <w:r w:rsidRPr="005E3A70">
        <w:rPr>
          <w:rFonts w:hint="eastAsia"/>
          <w:szCs w:val="28"/>
        </w:rPr>
        <w:t>12</w:t>
      </w:r>
      <w:r w:rsidRPr="005E3A70">
        <w:rPr>
          <w:rFonts w:hint="eastAsia"/>
          <w:szCs w:val="28"/>
        </w:rPr>
        <w:t>種語言。勞工處亦設立了</w:t>
      </w:r>
      <w:r w:rsidRPr="005E3A70">
        <w:rPr>
          <w:rFonts w:hint="eastAsia"/>
          <w:szCs w:val="28"/>
        </w:rPr>
        <w:t>24</w:t>
      </w:r>
      <w:r w:rsidRPr="005E3A70">
        <w:rPr>
          <w:rFonts w:hint="eastAsia"/>
          <w:szCs w:val="28"/>
        </w:rPr>
        <w:t>小時電話專線（設有七種語言的傳譯服務）為外傭提供一站式支援。</w:t>
      </w:r>
    </w:p>
    <w:p w:rsidR="006D2061" w:rsidRDefault="006D2061" w:rsidP="008375BB">
      <w:pPr>
        <w:tabs>
          <w:tab w:val="left" w:pos="1440"/>
        </w:tabs>
        <w:snapToGrid w:val="0"/>
        <w:spacing w:line="400" w:lineRule="atLeast"/>
        <w:jc w:val="both"/>
        <w:rPr>
          <w:szCs w:val="28"/>
        </w:rPr>
      </w:pPr>
    </w:p>
    <w:p w:rsidR="006D2061" w:rsidRPr="005E3A70" w:rsidRDefault="006D2061" w:rsidP="008375BB">
      <w:pPr>
        <w:tabs>
          <w:tab w:val="left" w:pos="1440"/>
        </w:tabs>
        <w:snapToGrid w:val="0"/>
        <w:spacing w:line="400" w:lineRule="atLeast"/>
        <w:jc w:val="both"/>
        <w:rPr>
          <w:szCs w:val="28"/>
        </w:rPr>
      </w:pPr>
      <w:r>
        <w:rPr>
          <w:rFonts w:hint="eastAsia"/>
          <w:szCs w:val="28"/>
        </w:rPr>
        <w:t>7.</w:t>
      </w:r>
      <w:r>
        <w:rPr>
          <w:szCs w:val="28"/>
        </w:rPr>
        <w:t>15</w:t>
      </w:r>
      <w:r>
        <w:rPr>
          <w:szCs w:val="28"/>
        </w:rPr>
        <w:tab/>
        <w:t>“</w:t>
      </w:r>
      <w:r w:rsidRPr="003136E8">
        <w:rPr>
          <w:rFonts w:hint="eastAsia"/>
          <w:szCs w:val="28"/>
        </w:rPr>
        <w:t>兩星期規定</w:t>
      </w:r>
      <w:r>
        <w:rPr>
          <w:szCs w:val="28"/>
        </w:rPr>
        <w:t>”</w:t>
      </w:r>
      <w:r w:rsidRPr="003136E8">
        <w:rPr>
          <w:rFonts w:hint="eastAsia"/>
          <w:szCs w:val="28"/>
        </w:rPr>
        <w:t>對維持有效的入境管制十分重要。</w:t>
      </w:r>
      <w:r>
        <w:rPr>
          <w:rFonts w:hint="eastAsia"/>
          <w:szCs w:val="28"/>
          <w:lang w:eastAsia="zh-HK"/>
        </w:rPr>
        <w:t>該</w:t>
      </w:r>
      <w:r w:rsidRPr="003136E8">
        <w:rPr>
          <w:rFonts w:hint="eastAsia"/>
          <w:szCs w:val="28"/>
        </w:rPr>
        <w:t>規定可防止外傭經常轉換僱主</w:t>
      </w:r>
      <w:r>
        <w:rPr>
          <w:rFonts w:hint="eastAsia"/>
          <w:szCs w:val="28"/>
          <w:lang w:eastAsia="zh-HK"/>
        </w:rPr>
        <w:t>或</w:t>
      </w:r>
      <w:r w:rsidRPr="003136E8">
        <w:rPr>
          <w:rFonts w:hint="eastAsia"/>
          <w:szCs w:val="28"/>
        </w:rPr>
        <w:t>提前終止合約後在港非法工作。</w:t>
      </w:r>
      <w:r>
        <w:rPr>
          <w:rFonts w:hint="eastAsia"/>
          <w:szCs w:val="28"/>
          <w:lang w:eastAsia="zh-HK"/>
        </w:rPr>
        <w:t>這</w:t>
      </w:r>
      <w:r w:rsidRPr="003136E8">
        <w:rPr>
          <w:rFonts w:hint="eastAsia"/>
          <w:szCs w:val="28"/>
        </w:rPr>
        <w:t>不會影響外傭返回原居地後再申請來港工作。標準僱傭合約規定僱主須全數負責他們回程機票的費用</w:t>
      </w:r>
      <w:r>
        <w:rPr>
          <w:rFonts w:hint="eastAsia"/>
          <w:szCs w:val="28"/>
        </w:rPr>
        <w:t>，</w:t>
      </w:r>
      <w:r>
        <w:rPr>
          <w:rFonts w:hint="eastAsia"/>
          <w:szCs w:val="28"/>
          <w:lang w:eastAsia="zh-HK"/>
        </w:rPr>
        <w:t>同</w:t>
      </w:r>
      <w:r>
        <w:rPr>
          <w:rFonts w:hint="eastAsia"/>
          <w:szCs w:val="28"/>
        </w:rPr>
        <w:t>時</w:t>
      </w:r>
      <w:r w:rsidRPr="003136E8">
        <w:rPr>
          <w:rFonts w:hint="eastAsia"/>
          <w:szCs w:val="28"/>
        </w:rPr>
        <w:t>提供彈性。如僱主因移居海外、身故、</w:t>
      </w:r>
      <w:r w:rsidRPr="003136E8">
        <w:rPr>
          <w:rFonts w:hint="eastAsia"/>
          <w:szCs w:val="28"/>
        </w:rPr>
        <w:lastRenderedPageBreak/>
        <w:t>經濟原因、或如有證據顯示外傭遭虐待或剝削，入境處可酌情批准有關外傭在港轉換僱主，而無需先返回原居地。</w:t>
      </w:r>
    </w:p>
    <w:p w:rsidR="006D2061" w:rsidRDefault="006D2061" w:rsidP="008375BB">
      <w:pPr>
        <w:tabs>
          <w:tab w:val="left" w:pos="1440"/>
        </w:tabs>
        <w:snapToGrid w:val="0"/>
        <w:spacing w:line="400" w:lineRule="atLeast"/>
        <w:jc w:val="both"/>
        <w:rPr>
          <w:szCs w:val="28"/>
        </w:rPr>
      </w:pPr>
    </w:p>
    <w:p w:rsidR="006D2061" w:rsidRPr="003136E8" w:rsidRDefault="006D2061" w:rsidP="008375BB">
      <w:pPr>
        <w:tabs>
          <w:tab w:val="left" w:pos="1440"/>
        </w:tabs>
        <w:snapToGrid w:val="0"/>
        <w:spacing w:line="400" w:lineRule="atLeast"/>
        <w:jc w:val="both"/>
        <w:rPr>
          <w:bCs/>
          <w:szCs w:val="28"/>
        </w:rPr>
      </w:pPr>
      <w:r w:rsidRPr="003136E8">
        <w:rPr>
          <w:bCs/>
          <w:szCs w:val="28"/>
        </w:rPr>
        <w:t>7.</w:t>
      </w:r>
      <w:r>
        <w:rPr>
          <w:rFonts w:hint="eastAsia"/>
          <w:bCs/>
          <w:szCs w:val="28"/>
        </w:rPr>
        <w:t>1</w:t>
      </w:r>
      <w:r>
        <w:rPr>
          <w:bCs/>
          <w:szCs w:val="28"/>
        </w:rPr>
        <w:t>6</w:t>
      </w:r>
      <w:r>
        <w:rPr>
          <w:bCs/>
          <w:szCs w:val="28"/>
        </w:rPr>
        <w:tab/>
      </w:r>
      <w:r w:rsidRPr="003136E8">
        <w:rPr>
          <w:rFonts w:hint="eastAsia"/>
          <w:bCs/>
          <w:szCs w:val="28"/>
        </w:rPr>
        <w:t>在上次審議結論中，委員會建議政府</w:t>
      </w:r>
      <w:r w:rsidRPr="00270837">
        <w:rPr>
          <w:rFonts w:hint="eastAsia"/>
          <w:bCs/>
          <w:szCs w:val="28"/>
        </w:rPr>
        <w:t>廢除</w:t>
      </w:r>
      <w:bookmarkStart w:id="8" w:name="_Hlk7910419"/>
      <w:r>
        <w:rPr>
          <w:szCs w:val="28"/>
        </w:rPr>
        <w:t>“</w:t>
      </w:r>
      <w:bookmarkEnd w:id="8"/>
      <w:r w:rsidRPr="003136E8">
        <w:rPr>
          <w:rFonts w:hint="eastAsia"/>
          <w:bCs/>
          <w:szCs w:val="28"/>
        </w:rPr>
        <w:t>留宿規定</w:t>
      </w:r>
      <w:r>
        <w:rPr>
          <w:szCs w:val="28"/>
        </w:rPr>
        <w:t>”</w:t>
      </w:r>
      <w:r w:rsidRPr="003136E8">
        <w:rPr>
          <w:rFonts w:hint="eastAsia"/>
          <w:bCs/>
          <w:szCs w:val="28"/>
        </w:rPr>
        <w:t>。</w:t>
      </w:r>
      <w:r w:rsidRPr="00AD069B">
        <w:rPr>
          <w:bCs/>
          <w:szCs w:val="28"/>
        </w:rPr>
        <w:t>“</w:t>
      </w:r>
      <w:r w:rsidRPr="003136E8">
        <w:rPr>
          <w:rFonts w:hint="eastAsia"/>
          <w:bCs/>
          <w:szCs w:val="28"/>
        </w:rPr>
        <w:t>留宿規定</w:t>
      </w:r>
      <w:r w:rsidRPr="00AD069B">
        <w:rPr>
          <w:bCs/>
          <w:szCs w:val="28"/>
        </w:rPr>
        <w:t>”</w:t>
      </w:r>
      <w:r w:rsidRPr="003136E8">
        <w:rPr>
          <w:rFonts w:hint="eastAsia"/>
          <w:bCs/>
          <w:szCs w:val="28"/>
        </w:rPr>
        <w:t>是輸入外傭政策的基石。一如世界上很多司法管轄區，政府政策是讓本地勞工優先就業，只有在確定某特定行業的本地勞工供應短缺，才容許輸入勞工。香港根據這原則自</w:t>
      </w:r>
      <w:r w:rsidRPr="003136E8">
        <w:rPr>
          <w:bCs/>
          <w:szCs w:val="28"/>
        </w:rPr>
        <w:t>1970</w:t>
      </w:r>
      <w:r w:rsidRPr="003136E8">
        <w:rPr>
          <w:rFonts w:hint="eastAsia"/>
          <w:bCs/>
          <w:szCs w:val="28"/>
        </w:rPr>
        <w:t>年代初開始輸入外傭，以應付本地留宿家庭傭工不足的情況。由於本地非留宿家庭傭工供應並無短缺，改變</w:t>
      </w:r>
      <w:r w:rsidRPr="00AD069B">
        <w:rPr>
          <w:bCs/>
          <w:szCs w:val="28"/>
        </w:rPr>
        <w:t>“</w:t>
      </w:r>
      <w:r w:rsidRPr="003136E8">
        <w:rPr>
          <w:rFonts w:hint="eastAsia"/>
          <w:bCs/>
          <w:szCs w:val="28"/>
        </w:rPr>
        <w:t>留宿規定</w:t>
      </w:r>
      <w:r w:rsidRPr="00AD069B">
        <w:rPr>
          <w:bCs/>
          <w:szCs w:val="28"/>
        </w:rPr>
        <w:t>”</w:t>
      </w:r>
      <w:r w:rsidRPr="003136E8">
        <w:rPr>
          <w:rFonts w:hint="eastAsia"/>
          <w:bCs/>
          <w:szCs w:val="28"/>
        </w:rPr>
        <w:t>會與輸入外傭的理據相違，亦不符合本地勞工優先就業的政策。標準僱傭合約規定僱主須向外傭提供合適和有合理私隱的住宿地方</w:t>
      </w:r>
      <w:r>
        <w:rPr>
          <w:rFonts w:hint="eastAsia"/>
          <w:bCs/>
          <w:szCs w:val="28"/>
        </w:rPr>
        <w:t>；</w:t>
      </w:r>
      <w:r w:rsidRPr="003136E8">
        <w:rPr>
          <w:rFonts w:hint="eastAsia"/>
          <w:bCs/>
          <w:szCs w:val="28"/>
        </w:rPr>
        <w:t>如僱主未能提供，其聘</w:t>
      </w:r>
      <w:r>
        <w:rPr>
          <w:rFonts w:hint="eastAsia"/>
          <w:bCs/>
          <w:szCs w:val="28"/>
          <w:lang w:eastAsia="zh-HK"/>
        </w:rPr>
        <w:t>用</w:t>
      </w:r>
      <w:r w:rsidRPr="003136E8">
        <w:rPr>
          <w:rFonts w:hint="eastAsia"/>
          <w:bCs/>
          <w:szCs w:val="28"/>
        </w:rPr>
        <w:t>申請可能會被拒絕。</w:t>
      </w:r>
    </w:p>
    <w:p w:rsidR="006D2061" w:rsidRPr="003136E8" w:rsidRDefault="006D2061" w:rsidP="008375BB">
      <w:pPr>
        <w:tabs>
          <w:tab w:val="left" w:pos="1440"/>
        </w:tabs>
        <w:snapToGrid w:val="0"/>
        <w:spacing w:line="400" w:lineRule="atLeast"/>
        <w:jc w:val="both"/>
        <w:rPr>
          <w:bCs/>
          <w:szCs w:val="28"/>
        </w:rPr>
      </w:pPr>
    </w:p>
    <w:p w:rsidR="006D2061" w:rsidRDefault="006D2061" w:rsidP="008375BB">
      <w:pPr>
        <w:tabs>
          <w:tab w:val="left" w:pos="1440"/>
        </w:tabs>
        <w:snapToGrid w:val="0"/>
        <w:spacing w:line="400" w:lineRule="atLeast"/>
        <w:jc w:val="both"/>
        <w:rPr>
          <w:bCs/>
          <w:szCs w:val="28"/>
        </w:rPr>
      </w:pPr>
      <w:r w:rsidRPr="003136E8">
        <w:rPr>
          <w:bCs/>
          <w:szCs w:val="28"/>
        </w:rPr>
        <w:t>7.</w:t>
      </w:r>
      <w:r>
        <w:rPr>
          <w:bCs/>
          <w:szCs w:val="28"/>
        </w:rPr>
        <w:t>17</w:t>
      </w:r>
      <w:r>
        <w:rPr>
          <w:bCs/>
          <w:szCs w:val="28"/>
        </w:rPr>
        <w:tab/>
      </w:r>
      <w:r w:rsidRPr="003136E8">
        <w:rPr>
          <w:rFonts w:hint="eastAsia"/>
          <w:bCs/>
          <w:szCs w:val="28"/>
        </w:rPr>
        <w:t>在上次審議結論中，委員會建議政府提供有效機制讓外傭舉報權益受損的個案，並監察外傭的工作條件。政府絕不容忍苛待外傭，並鼓勵懷疑自身權益受剝削的外傭盡快求助，以便相關部門調查和跟進。上文詳述政府為外傭提供的勞工保障、執法工作、監管職業介紹所的工作，以及為外傭提供的支援等。勞工處亦積極宣傳，以提升外傭對求助渠道的認識。除外傭及職業介紹所專題網站上的查詢</w:t>
      </w:r>
      <w:r w:rsidRPr="005E3A70">
        <w:rPr>
          <w:rFonts w:hint="eastAsia"/>
          <w:szCs w:val="28"/>
        </w:rPr>
        <w:t>／</w:t>
      </w:r>
      <w:r w:rsidRPr="003136E8">
        <w:rPr>
          <w:rFonts w:hint="eastAsia"/>
          <w:bCs/>
          <w:szCs w:val="28"/>
        </w:rPr>
        <w:t>投訴表格外，外傭也可到勞工處勞資關係科的十個分區辦事處，或致電勞工處的</w:t>
      </w:r>
      <w:r w:rsidRPr="003136E8">
        <w:rPr>
          <w:rFonts w:hint="eastAsia"/>
          <w:bCs/>
          <w:szCs w:val="28"/>
        </w:rPr>
        <w:t>24</w:t>
      </w:r>
      <w:r w:rsidRPr="003136E8">
        <w:rPr>
          <w:rFonts w:hint="eastAsia"/>
          <w:bCs/>
          <w:szCs w:val="28"/>
        </w:rPr>
        <w:t>小時熱線，</w:t>
      </w:r>
      <w:r>
        <w:rPr>
          <w:rFonts w:hint="eastAsia"/>
          <w:bCs/>
          <w:szCs w:val="28"/>
          <w:lang w:eastAsia="zh-HK"/>
        </w:rPr>
        <w:t>查</w:t>
      </w:r>
      <w:r>
        <w:rPr>
          <w:rFonts w:hint="eastAsia"/>
          <w:bCs/>
          <w:szCs w:val="28"/>
        </w:rPr>
        <w:t>詢</w:t>
      </w:r>
      <w:r w:rsidRPr="003136E8">
        <w:rPr>
          <w:rFonts w:hint="eastAsia"/>
          <w:bCs/>
          <w:szCs w:val="28"/>
        </w:rPr>
        <w:t>僱傭權益及職業介紹所的事宜及作投訴。</w:t>
      </w:r>
    </w:p>
    <w:p w:rsidR="006D2061" w:rsidRDefault="006D2061" w:rsidP="008375BB">
      <w:pPr>
        <w:tabs>
          <w:tab w:val="left" w:pos="1440"/>
        </w:tabs>
        <w:snapToGrid w:val="0"/>
        <w:spacing w:line="400" w:lineRule="atLeast"/>
        <w:jc w:val="both"/>
        <w:rPr>
          <w:bCs/>
          <w:szCs w:val="28"/>
        </w:rPr>
      </w:pPr>
    </w:p>
    <w:p w:rsidR="006D2061" w:rsidRPr="00CD1EF8" w:rsidRDefault="006D2061" w:rsidP="008375BB">
      <w:pPr>
        <w:tabs>
          <w:tab w:val="left" w:pos="1440"/>
        </w:tabs>
        <w:autoSpaceDE w:val="0"/>
        <w:autoSpaceDN w:val="0"/>
        <w:adjustRightInd w:val="0"/>
        <w:snapToGrid w:val="0"/>
        <w:spacing w:line="400" w:lineRule="atLeast"/>
        <w:jc w:val="both"/>
        <w:rPr>
          <w:b/>
          <w:kern w:val="0"/>
          <w:szCs w:val="28"/>
        </w:rPr>
      </w:pPr>
      <w:r w:rsidRPr="00D21AC1">
        <w:rPr>
          <w:b/>
          <w:kern w:val="0"/>
          <w:szCs w:val="28"/>
        </w:rPr>
        <w:t>為婦女提供僱傭保障</w:t>
      </w:r>
    </w:p>
    <w:p w:rsidR="006D2061" w:rsidRPr="00CD1EF8" w:rsidRDefault="006D2061" w:rsidP="008375BB">
      <w:pPr>
        <w:tabs>
          <w:tab w:val="left" w:pos="1440"/>
        </w:tabs>
        <w:autoSpaceDE w:val="0"/>
        <w:autoSpaceDN w:val="0"/>
        <w:adjustRightInd w:val="0"/>
        <w:snapToGrid w:val="0"/>
        <w:spacing w:line="400" w:lineRule="atLeast"/>
        <w:jc w:val="both"/>
        <w:rPr>
          <w:b/>
          <w:kern w:val="0"/>
          <w:szCs w:val="28"/>
        </w:rPr>
      </w:pPr>
    </w:p>
    <w:p w:rsidR="006D2061" w:rsidRPr="00CD1EF8" w:rsidRDefault="006D2061" w:rsidP="008375BB">
      <w:pPr>
        <w:tabs>
          <w:tab w:val="left" w:pos="1440"/>
        </w:tabs>
        <w:snapToGrid w:val="0"/>
        <w:spacing w:line="400" w:lineRule="atLeast"/>
        <w:jc w:val="both"/>
        <w:rPr>
          <w:kern w:val="0"/>
          <w:szCs w:val="28"/>
        </w:rPr>
      </w:pPr>
      <w:r w:rsidRPr="00CE1606">
        <w:rPr>
          <w:spacing w:val="2"/>
          <w:kern w:val="0"/>
          <w:szCs w:val="28"/>
        </w:rPr>
        <w:t>7.18</w:t>
      </w:r>
      <w:r w:rsidRPr="00CE1606">
        <w:rPr>
          <w:spacing w:val="2"/>
          <w:kern w:val="0"/>
          <w:szCs w:val="28"/>
        </w:rPr>
        <w:tab/>
      </w:r>
      <w:r w:rsidRPr="00CE1606">
        <w:rPr>
          <w:rFonts w:hint="eastAsia"/>
          <w:spacing w:val="2"/>
          <w:kern w:val="0"/>
          <w:szCs w:val="28"/>
          <w:lang w:val="en-GB"/>
        </w:rPr>
        <w:t>保障</w:t>
      </w:r>
      <w:r w:rsidRPr="00CE1606">
        <w:rPr>
          <w:spacing w:val="2"/>
          <w:kern w:val="0"/>
          <w:szCs w:val="28"/>
          <w:lang w:val="en-GB"/>
        </w:rPr>
        <w:t>僱傭範疇中</w:t>
      </w:r>
      <w:r w:rsidRPr="00CE1606">
        <w:rPr>
          <w:rFonts w:hint="eastAsia"/>
          <w:spacing w:val="2"/>
          <w:kern w:val="0"/>
          <w:szCs w:val="28"/>
          <w:lang w:val="en-GB"/>
        </w:rPr>
        <w:t>不受歧視的法律大致</w:t>
      </w:r>
      <w:r w:rsidRPr="00CE1606">
        <w:rPr>
          <w:spacing w:val="2"/>
          <w:kern w:val="0"/>
          <w:szCs w:val="28"/>
          <w:lang w:val="en-GB"/>
        </w:rPr>
        <w:t>維持不變。一般而言，</w:t>
      </w:r>
      <w:r>
        <w:rPr>
          <w:rFonts w:hint="eastAsia"/>
          <w:kern w:val="0"/>
          <w:szCs w:val="28"/>
          <w:lang w:val="en-GB" w:eastAsia="zh-HK"/>
        </w:rPr>
        <w:t>男</w:t>
      </w:r>
      <w:r w:rsidRPr="00313111">
        <w:rPr>
          <w:kern w:val="0"/>
          <w:szCs w:val="28"/>
          <w:lang w:val="en-GB"/>
        </w:rPr>
        <w:t>女享有相同就業及選擇工作的權利，這些權利受《性別歧視條例》所保障。</w:t>
      </w:r>
    </w:p>
    <w:p w:rsidR="006D2061" w:rsidRPr="00CD1EF8" w:rsidRDefault="006D2061" w:rsidP="008375BB">
      <w:pPr>
        <w:tabs>
          <w:tab w:val="left" w:pos="1440"/>
        </w:tabs>
        <w:autoSpaceDE w:val="0"/>
        <w:autoSpaceDN w:val="0"/>
        <w:adjustRightInd w:val="0"/>
        <w:snapToGrid w:val="0"/>
        <w:spacing w:line="400" w:lineRule="atLeast"/>
        <w:jc w:val="both"/>
        <w:rPr>
          <w:kern w:val="0"/>
          <w:szCs w:val="28"/>
        </w:rPr>
      </w:pPr>
    </w:p>
    <w:p w:rsidR="006D2061" w:rsidRPr="003B52BB" w:rsidRDefault="006D2061" w:rsidP="008375BB">
      <w:pPr>
        <w:tabs>
          <w:tab w:val="left" w:pos="1440"/>
        </w:tabs>
        <w:autoSpaceDE w:val="0"/>
        <w:autoSpaceDN w:val="0"/>
        <w:adjustRightInd w:val="0"/>
        <w:snapToGrid w:val="0"/>
        <w:spacing w:line="400" w:lineRule="atLeast"/>
        <w:jc w:val="both"/>
        <w:rPr>
          <w:rFonts w:eastAsia="DengXian"/>
          <w:szCs w:val="28"/>
        </w:rPr>
      </w:pPr>
      <w:r w:rsidRPr="00CD1EF8">
        <w:rPr>
          <w:kern w:val="0"/>
          <w:szCs w:val="28"/>
        </w:rPr>
        <w:t>7.</w:t>
      </w:r>
      <w:r>
        <w:rPr>
          <w:kern w:val="0"/>
          <w:szCs w:val="28"/>
        </w:rPr>
        <w:t>19</w:t>
      </w:r>
      <w:r w:rsidRPr="00CD1EF8">
        <w:rPr>
          <w:kern w:val="0"/>
          <w:szCs w:val="28"/>
        </w:rPr>
        <w:tab/>
      </w:r>
      <w:r>
        <w:rPr>
          <w:rFonts w:hint="eastAsia"/>
          <w:kern w:val="0"/>
          <w:szCs w:val="28"/>
          <w:lang w:eastAsia="zh-HK"/>
        </w:rPr>
        <w:t>如</w:t>
      </w:r>
      <w:r w:rsidRPr="00313111">
        <w:rPr>
          <w:kern w:val="0"/>
          <w:szCs w:val="28"/>
        </w:rPr>
        <w:t>上次報告第</w:t>
      </w:r>
      <w:r w:rsidRPr="00313111">
        <w:rPr>
          <w:kern w:val="0"/>
          <w:szCs w:val="28"/>
        </w:rPr>
        <w:t>7.</w:t>
      </w:r>
      <w:r>
        <w:rPr>
          <w:rFonts w:hint="eastAsia"/>
          <w:kern w:val="0"/>
          <w:szCs w:val="28"/>
        </w:rPr>
        <w:t>39</w:t>
      </w:r>
      <w:r w:rsidRPr="00313111">
        <w:rPr>
          <w:kern w:val="0"/>
          <w:szCs w:val="28"/>
        </w:rPr>
        <w:t>段</w:t>
      </w:r>
      <w:r>
        <w:rPr>
          <w:rFonts w:hint="eastAsia"/>
          <w:kern w:val="0"/>
          <w:szCs w:val="28"/>
          <w:lang w:eastAsia="zh-HK"/>
        </w:rPr>
        <w:t>所</w:t>
      </w:r>
      <w:r w:rsidRPr="00313111">
        <w:rPr>
          <w:rFonts w:hint="eastAsia"/>
          <w:kern w:val="0"/>
          <w:szCs w:val="28"/>
        </w:rPr>
        <w:t>述</w:t>
      </w:r>
      <w:r>
        <w:rPr>
          <w:rFonts w:hint="eastAsia"/>
          <w:kern w:val="0"/>
          <w:szCs w:val="28"/>
        </w:rPr>
        <w:t>，</w:t>
      </w:r>
      <w:r w:rsidRPr="003B52BB">
        <w:rPr>
          <w:kern w:val="0"/>
          <w:szCs w:val="28"/>
          <w:lang w:val="en-GB"/>
        </w:rPr>
        <w:t>平機會發出</w:t>
      </w:r>
      <w:r w:rsidRPr="003B52BB">
        <w:rPr>
          <w:rFonts w:hint="eastAsia"/>
          <w:kern w:val="0"/>
          <w:szCs w:val="28"/>
          <w:lang w:val="en-GB"/>
        </w:rPr>
        <w:t>了</w:t>
      </w:r>
      <w:r w:rsidRPr="003B52BB">
        <w:rPr>
          <w:kern w:val="0"/>
          <w:szCs w:val="28"/>
          <w:lang w:val="en-GB"/>
        </w:rPr>
        <w:t>兩套僱傭實務守則協助公眾遵守《性別歧視條例》及《家庭崗位歧視條例》。</w:t>
      </w:r>
      <w:r w:rsidRPr="003B52BB">
        <w:rPr>
          <w:rFonts w:hint="eastAsia"/>
          <w:kern w:val="0"/>
          <w:szCs w:val="28"/>
        </w:rPr>
        <w:t>平機會現正檢討《性別歧視條例僱傭實務守則》，包括當中關於</w:t>
      </w:r>
      <w:r w:rsidRPr="003B52BB">
        <w:rPr>
          <w:kern w:val="0"/>
          <w:szCs w:val="28"/>
        </w:rPr>
        <w:t>同值同酬</w:t>
      </w:r>
      <w:r w:rsidRPr="003B52BB">
        <w:rPr>
          <w:rFonts w:hint="eastAsia"/>
          <w:kern w:val="0"/>
          <w:szCs w:val="28"/>
        </w:rPr>
        <w:t>原則的內容，以納入積累的經驗和</w:t>
      </w:r>
      <w:r>
        <w:rPr>
          <w:rFonts w:hint="eastAsia"/>
          <w:kern w:val="0"/>
          <w:szCs w:val="28"/>
          <w:lang w:eastAsia="zh-HK"/>
        </w:rPr>
        <w:t>相</w:t>
      </w:r>
      <w:r>
        <w:rPr>
          <w:rFonts w:hint="eastAsia"/>
          <w:kern w:val="0"/>
          <w:szCs w:val="28"/>
        </w:rPr>
        <w:t>關</w:t>
      </w:r>
      <w:r w:rsidRPr="003B52BB">
        <w:rPr>
          <w:rFonts w:hint="eastAsia"/>
          <w:kern w:val="0"/>
          <w:szCs w:val="28"/>
        </w:rPr>
        <w:t>案例</w:t>
      </w:r>
      <w:r w:rsidRPr="003B52BB">
        <w:rPr>
          <w:kern w:val="0"/>
          <w:szCs w:val="28"/>
        </w:rPr>
        <w:t>。</w:t>
      </w:r>
    </w:p>
    <w:p w:rsidR="006D2061" w:rsidRDefault="006D2061" w:rsidP="008375BB">
      <w:pPr>
        <w:tabs>
          <w:tab w:val="left" w:pos="1440"/>
        </w:tabs>
        <w:autoSpaceDE w:val="0"/>
        <w:autoSpaceDN w:val="0"/>
        <w:adjustRightInd w:val="0"/>
        <w:snapToGrid w:val="0"/>
        <w:spacing w:line="400" w:lineRule="atLeast"/>
        <w:jc w:val="both"/>
        <w:rPr>
          <w:szCs w:val="28"/>
        </w:rPr>
      </w:pPr>
    </w:p>
    <w:p w:rsidR="006D2061" w:rsidRPr="00D21AC1" w:rsidRDefault="006D2061" w:rsidP="008375BB">
      <w:pPr>
        <w:tabs>
          <w:tab w:val="left" w:pos="1440"/>
        </w:tabs>
        <w:autoSpaceDE w:val="0"/>
        <w:autoSpaceDN w:val="0"/>
        <w:adjustRightInd w:val="0"/>
        <w:snapToGrid w:val="0"/>
        <w:spacing w:line="400" w:lineRule="atLeast"/>
        <w:jc w:val="both"/>
        <w:rPr>
          <w:b/>
          <w:szCs w:val="28"/>
        </w:rPr>
      </w:pPr>
      <w:r w:rsidRPr="00D21AC1">
        <w:rPr>
          <w:rFonts w:hint="eastAsia"/>
          <w:b/>
          <w:szCs w:val="28"/>
        </w:rPr>
        <w:lastRenderedPageBreak/>
        <w:t>侍產假</w:t>
      </w:r>
    </w:p>
    <w:p w:rsidR="006D2061" w:rsidRPr="00D21AC1" w:rsidRDefault="006D2061" w:rsidP="008375BB">
      <w:pPr>
        <w:tabs>
          <w:tab w:val="left" w:pos="1440"/>
        </w:tabs>
        <w:autoSpaceDE w:val="0"/>
        <w:autoSpaceDN w:val="0"/>
        <w:adjustRightInd w:val="0"/>
        <w:snapToGrid w:val="0"/>
        <w:spacing w:line="400" w:lineRule="atLeast"/>
        <w:jc w:val="both"/>
        <w:rPr>
          <w:szCs w:val="28"/>
        </w:rPr>
      </w:pPr>
    </w:p>
    <w:p w:rsidR="006D2061" w:rsidRPr="00D21AC1" w:rsidRDefault="006D2061" w:rsidP="008375BB">
      <w:pPr>
        <w:tabs>
          <w:tab w:val="left" w:pos="1440"/>
        </w:tabs>
        <w:autoSpaceDE w:val="0"/>
        <w:autoSpaceDN w:val="0"/>
        <w:adjustRightInd w:val="0"/>
        <w:snapToGrid w:val="0"/>
        <w:spacing w:line="400" w:lineRule="atLeast"/>
        <w:jc w:val="both"/>
        <w:rPr>
          <w:szCs w:val="28"/>
        </w:rPr>
      </w:pPr>
      <w:r>
        <w:rPr>
          <w:szCs w:val="28"/>
        </w:rPr>
        <w:t>7.</w:t>
      </w:r>
      <w:r>
        <w:rPr>
          <w:rFonts w:hint="eastAsia"/>
          <w:szCs w:val="28"/>
        </w:rPr>
        <w:t>2</w:t>
      </w:r>
      <w:r>
        <w:rPr>
          <w:szCs w:val="28"/>
        </w:rPr>
        <w:t>0</w:t>
      </w:r>
      <w:r>
        <w:rPr>
          <w:szCs w:val="28"/>
        </w:rPr>
        <w:tab/>
      </w:r>
      <w:r w:rsidRPr="00D21AC1">
        <w:rPr>
          <w:rFonts w:hint="eastAsia"/>
          <w:szCs w:val="28"/>
        </w:rPr>
        <w:t>政府已於</w:t>
      </w:r>
      <w:r w:rsidRPr="00D21AC1">
        <w:rPr>
          <w:szCs w:val="28"/>
        </w:rPr>
        <w:t>2019</w:t>
      </w:r>
      <w:r w:rsidRPr="00D21AC1">
        <w:rPr>
          <w:rFonts w:hint="eastAsia"/>
          <w:szCs w:val="28"/>
        </w:rPr>
        <w:t>年</w:t>
      </w:r>
      <w:r w:rsidRPr="00D21AC1">
        <w:rPr>
          <w:szCs w:val="28"/>
        </w:rPr>
        <w:t>1</w:t>
      </w:r>
      <w:r w:rsidRPr="00D21AC1">
        <w:rPr>
          <w:rFonts w:hint="eastAsia"/>
          <w:szCs w:val="28"/>
        </w:rPr>
        <w:t>月實施《</w:t>
      </w:r>
      <w:r w:rsidRPr="00D21AC1">
        <w:rPr>
          <w:szCs w:val="28"/>
        </w:rPr>
        <w:t>2018</w:t>
      </w:r>
      <w:r w:rsidRPr="00D21AC1">
        <w:rPr>
          <w:rFonts w:hint="eastAsia"/>
          <w:szCs w:val="28"/>
        </w:rPr>
        <w:t>年僱傭（修訂）（第</w:t>
      </w:r>
      <w:r w:rsidRPr="00D21AC1">
        <w:rPr>
          <w:szCs w:val="28"/>
        </w:rPr>
        <w:t>3</w:t>
      </w:r>
      <w:r w:rsidRPr="00D21AC1">
        <w:rPr>
          <w:rFonts w:hint="eastAsia"/>
          <w:szCs w:val="28"/>
        </w:rPr>
        <w:t>號）條例》將《僱傭條例》下的法定侍產假由三天增至五天。男性僱員如有子女於</w:t>
      </w:r>
      <w:r w:rsidRPr="00D21AC1">
        <w:rPr>
          <w:szCs w:val="28"/>
        </w:rPr>
        <w:t>2019</w:t>
      </w:r>
      <w:r w:rsidRPr="00D21AC1">
        <w:rPr>
          <w:rFonts w:hint="eastAsia"/>
          <w:szCs w:val="28"/>
        </w:rPr>
        <w:t>年</w:t>
      </w:r>
      <w:r w:rsidRPr="00D21AC1">
        <w:rPr>
          <w:szCs w:val="28"/>
        </w:rPr>
        <w:t>1</w:t>
      </w:r>
      <w:r w:rsidRPr="00D21AC1">
        <w:rPr>
          <w:rFonts w:hint="eastAsia"/>
          <w:szCs w:val="28"/>
        </w:rPr>
        <w:t>月</w:t>
      </w:r>
      <w:r w:rsidRPr="00D21AC1">
        <w:rPr>
          <w:szCs w:val="28"/>
        </w:rPr>
        <w:t>18</w:t>
      </w:r>
      <w:r w:rsidRPr="00D21AC1">
        <w:rPr>
          <w:rFonts w:hint="eastAsia"/>
          <w:szCs w:val="28"/>
        </w:rPr>
        <w:t>日或之後出生，並符合法例的其他規定，便可就其配偶／伴侶每次分娩享有五天侍產假及侍產假薪酬。</w:t>
      </w:r>
    </w:p>
    <w:p w:rsidR="006D2061" w:rsidRPr="00D21AC1" w:rsidRDefault="006D2061" w:rsidP="008375BB">
      <w:pPr>
        <w:tabs>
          <w:tab w:val="left" w:pos="1440"/>
        </w:tabs>
        <w:autoSpaceDE w:val="0"/>
        <w:autoSpaceDN w:val="0"/>
        <w:adjustRightInd w:val="0"/>
        <w:snapToGrid w:val="0"/>
        <w:spacing w:line="400" w:lineRule="atLeast"/>
        <w:jc w:val="both"/>
        <w:rPr>
          <w:szCs w:val="28"/>
        </w:rPr>
      </w:pPr>
    </w:p>
    <w:p w:rsidR="006D2061" w:rsidRPr="00D21AC1" w:rsidRDefault="006D2061" w:rsidP="008375BB">
      <w:pPr>
        <w:tabs>
          <w:tab w:val="left" w:pos="1440"/>
        </w:tabs>
        <w:autoSpaceDE w:val="0"/>
        <w:autoSpaceDN w:val="0"/>
        <w:adjustRightInd w:val="0"/>
        <w:snapToGrid w:val="0"/>
        <w:spacing w:line="400" w:lineRule="atLeast"/>
        <w:jc w:val="both"/>
        <w:rPr>
          <w:b/>
          <w:szCs w:val="28"/>
        </w:rPr>
      </w:pPr>
      <w:r w:rsidRPr="00D21AC1">
        <w:rPr>
          <w:rFonts w:hint="eastAsia"/>
          <w:b/>
          <w:szCs w:val="28"/>
        </w:rPr>
        <w:t>安全和健康的工作環境</w:t>
      </w:r>
    </w:p>
    <w:p w:rsidR="006D2061" w:rsidRPr="00D21AC1" w:rsidRDefault="006D2061" w:rsidP="008375BB">
      <w:pPr>
        <w:tabs>
          <w:tab w:val="left" w:pos="1440"/>
        </w:tabs>
        <w:autoSpaceDE w:val="0"/>
        <w:autoSpaceDN w:val="0"/>
        <w:adjustRightInd w:val="0"/>
        <w:snapToGrid w:val="0"/>
        <w:spacing w:line="400" w:lineRule="atLeast"/>
        <w:jc w:val="both"/>
        <w:rPr>
          <w:szCs w:val="28"/>
        </w:rPr>
      </w:pPr>
    </w:p>
    <w:p w:rsidR="006D2061" w:rsidRPr="00D21AC1" w:rsidRDefault="006D2061" w:rsidP="008375BB">
      <w:pPr>
        <w:tabs>
          <w:tab w:val="left" w:pos="1440"/>
        </w:tabs>
        <w:autoSpaceDE w:val="0"/>
        <w:autoSpaceDN w:val="0"/>
        <w:adjustRightInd w:val="0"/>
        <w:snapToGrid w:val="0"/>
        <w:spacing w:line="400" w:lineRule="atLeast"/>
        <w:jc w:val="both"/>
        <w:rPr>
          <w:szCs w:val="28"/>
        </w:rPr>
      </w:pPr>
      <w:r>
        <w:rPr>
          <w:szCs w:val="28"/>
        </w:rPr>
        <w:t>7.</w:t>
      </w:r>
      <w:r>
        <w:rPr>
          <w:rFonts w:hint="eastAsia"/>
          <w:szCs w:val="28"/>
        </w:rPr>
        <w:t>2</w:t>
      </w:r>
      <w:r>
        <w:rPr>
          <w:szCs w:val="28"/>
        </w:rPr>
        <w:t>1</w:t>
      </w:r>
      <w:r>
        <w:rPr>
          <w:szCs w:val="28"/>
        </w:rPr>
        <w:tab/>
      </w:r>
      <w:r w:rsidRPr="00D21AC1">
        <w:rPr>
          <w:rFonts w:hint="eastAsia"/>
          <w:szCs w:val="28"/>
        </w:rPr>
        <w:t>勞工處負責執行《職業安全及健康條例》（第</w:t>
      </w:r>
      <w:r w:rsidRPr="00D21AC1">
        <w:rPr>
          <w:szCs w:val="28"/>
        </w:rPr>
        <w:t>509</w:t>
      </w:r>
      <w:r w:rsidRPr="00D21AC1">
        <w:rPr>
          <w:rFonts w:hint="eastAsia"/>
          <w:szCs w:val="28"/>
        </w:rPr>
        <w:t>章）、《工廠及工業經營條例》（第</w:t>
      </w:r>
      <w:r w:rsidRPr="00D21AC1">
        <w:rPr>
          <w:szCs w:val="28"/>
        </w:rPr>
        <w:t>59</w:t>
      </w:r>
      <w:r w:rsidRPr="00D21AC1">
        <w:rPr>
          <w:rFonts w:hint="eastAsia"/>
          <w:szCs w:val="28"/>
        </w:rPr>
        <w:t>章）及其附屬規例</w:t>
      </w:r>
      <w:r>
        <w:rPr>
          <w:rFonts w:hint="eastAsia"/>
          <w:szCs w:val="28"/>
          <w:lang w:eastAsia="zh-HK"/>
        </w:rPr>
        <w:t>，</w:t>
      </w:r>
      <w:r w:rsidRPr="00D21AC1">
        <w:rPr>
          <w:rFonts w:hint="eastAsia"/>
          <w:szCs w:val="28"/>
        </w:rPr>
        <w:t>透過巡查執法、宣傳推廣及教育培訓繼續保障各行業僱員的職業安全及健康（職安健）。</w:t>
      </w:r>
      <w:r>
        <w:rPr>
          <w:rFonts w:hint="eastAsia"/>
          <w:szCs w:val="28"/>
        </w:rPr>
        <w:t>該</w:t>
      </w:r>
      <w:r w:rsidRPr="00D21AC1">
        <w:rPr>
          <w:rFonts w:hint="eastAsia"/>
          <w:szCs w:val="28"/>
        </w:rPr>
        <w:t>處亦會因應當前職業風險狀况不時調整策略。</w:t>
      </w:r>
    </w:p>
    <w:p w:rsidR="006D2061" w:rsidRPr="00D21AC1" w:rsidRDefault="006D2061" w:rsidP="008375BB">
      <w:pPr>
        <w:tabs>
          <w:tab w:val="left" w:pos="1440"/>
        </w:tabs>
        <w:autoSpaceDE w:val="0"/>
        <w:autoSpaceDN w:val="0"/>
        <w:adjustRightInd w:val="0"/>
        <w:snapToGrid w:val="0"/>
        <w:spacing w:line="400" w:lineRule="atLeast"/>
        <w:jc w:val="both"/>
        <w:rPr>
          <w:szCs w:val="28"/>
        </w:rPr>
      </w:pPr>
    </w:p>
    <w:p w:rsidR="006D2061" w:rsidRPr="00D21AC1" w:rsidRDefault="006D2061" w:rsidP="008375BB">
      <w:pPr>
        <w:keepNext/>
        <w:tabs>
          <w:tab w:val="left" w:pos="1440"/>
        </w:tabs>
        <w:autoSpaceDE w:val="0"/>
        <w:autoSpaceDN w:val="0"/>
        <w:adjustRightInd w:val="0"/>
        <w:snapToGrid w:val="0"/>
        <w:spacing w:line="400" w:lineRule="atLeast"/>
        <w:jc w:val="both"/>
        <w:rPr>
          <w:b/>
          <w:szCs w:val="28"/>
        </w:rPr>
      </w:pPr>
      <w:r w:rsidRPr="00D21AC1">
        <w:rPr>
          <w:rFonts w:hint="eastAsia"/>
          <w:b/>
          <w:szCs w:val="28"/>
        </w:rPr>
        <w:t>預防工業意外和職業病：法律保障</w:t>
      </w:r>
    </w:p>
    <w:p w:rsidR="006D2061" w:rsidRPr="00D21AC1" w:rsidRDefault="006D2061" w:rsidP="008375BB">
      <w:pPr>
        <w:keepNext/>
        <w:tabs>
          <w:tab w:val="left" w:pos="1440"/>
        </w:tabs>
        <w:autoSpaceDE w:val="0"/>
        <w:autoSpaceDN w:val="0"/>
        <w:adjustRightInd w:val="0"/>
        <w:snapToGrid w:val="0"/>
        <w:spacing w:line="400" w:lineRule="atLeast"/>
        <w:jc w:val="both"/>
        <w:rPr>
          <w:szCs w:val="28"/>
        </w:rPr>
      </w:pPr>
    </w:p>
    <w:p w:rsidR="006D2061" w:rsidRPr="00D21AC1" w:rsidRDefault="006D2061" w:rsidP="008375BB">
      <w:pPr>
        <w:tabs>
          <w:tab w:val="left" w:pos="1440"/>
        </w:tabs>
        <w:autoSpaceDE w:val="0"/>
        <w:autoSpaceDN w:val="0"/>
        <w:adjustRightInd w:val="0"/>
        <w:snapToGrid w:val="0"/>
        <w:spacing w:line="400" w:lineRule="atLeast"/>
        <w:jc w:val="both"/>
        <w:rPr>
          <w:szCs w:val="28"/>
        </w:rPr>
      </w:pPr>
      <w:r w:rsidRPr="00D21AC1">
        <w:rPr>
          <w:rFonts w:hint="eastAsia"/>
          <w:szCs w:val="28"/>
        </w:rPr>
        <w:t>7.</w:t>
      </w:r>
      <w:r>
        <w:rPr>
          <w:rFonts w:hint="eastAsia"/>
          <w:szCs w:val="28"/>
        </w:rPr>
        <w:t>2</w:t>
      </w:r>
      <w:r>
        <w:rPr>
          <w:szCs w:val="28"/>
        </w:rPr>
        <w:t>2</w:t>
      </w:r>
      <w:r w:rsidRPr="00D21AC1">
        <w:rPr>
          <w:rFonts w:hint="eastAsia"/>
          <w:szCs w:val="28"/>
        </w:rPr>
        <w:tab/>
      </w:r>
      <w:r w:rsidRPr="00D21AC1">
        <w:rPr>
          <w:rFonts w:hint="eastAsia"/>
          <w:szCs w:val="28"/>
        </w:rPr>
        <w:t>政府於</w:t>
      </w:r>
      <w:r w:rsidRPr="00D21AC1">
        <w:rPr>
          <w:rFonts w:hint="eastAsia"/>
          <w:szCs w:val="28"/>
        </w:rPr>
        <w:t>2014</w:t>
      </w:r>
      <w:r w:rsidRPr="00D21AC1">
        <w:rPr>
          <w:rFonts w:hint="eastAsia"/>
          <w:szCs w:val="28"/>
        </w:rPr>
        <w:t>年修訂《工廠及工業經營（石棉）規例》（第</w:t>
      </w:r>
      <w:r w:rsidRPr="00D21AC1">
        <w:rPr>
          <w:rFonts w:hint="eastAsia"/>
          <w:szCs w:val="28"/>
        </w:rPr>
        <w:t>59AD</w:t>
      </w:r>
      <w:r w:rsidRPr="00D21AC1">
        <w:rPr>
          <w:rFonts w:hint="eastAsia"/>
          <w:szCs w:val="28"/>
        </w:rPr>
        <w:t>章）加強管制在工業經營內使用石棉，包括禁止在工業經營內進行石棉工作，並規管移除或處置石棉作出，以及提高與使用石棉或進行石棉工作有關的若干罪行的罰則。如持責者無合理辯解而違反有關規例，最高可被判處罰款</w:t>
      </w:r>
      <w:r w:rsidRPr="00D21AC1">
        <w:rPr>
          <w:rFonts w:hint="eastAsia"/>
          <w:szCs w:val="28"/>
        </w:rPr>
        <w:t>20</w:t>
      </w:r>
      <w:r w:rsidRPr="00D21AC1">
        <w:rPr>
          <w:rFonts w:hint="eastAsia"/>
          <w:szCs w:val="28"/>
        </w:rPr>
        <w:t>萬元及監禁六個月。其他事項</w:t>
      </w:r>
      <w:r>
        <w:rPr>
          <w:rFonts w:hint="eastAsia"/>
          <w:szCs w:val="28"/>
          <w:lang w:eastAsia="zh-HK"/>
        </w:rPr>
        <w:t>的</w:t>
      </w:r>
      <w:r w:rsidRPr="00D21AC1">
        <w:rPr>
          <w:rFonts w:hint="eastAsia"/>
          <w:szCs w:val="28"/>
        </w:rPr>
        <w:t>情況與上</w:t>
      </w:r>
      <w:r w:rsidRPr="00A40644">
        <w:rPr>
          <w:szCs w:val="28"/>
        </w:rPr>
        <w:t>次</w:t>
      </w:r>
      <w:r w:rsidRPr="00D21AC1">
        <w:rPr>
          <w:rFonts w:hint="eastAsia"/>
          <w:szCs w:val="28"/>
        </w:rPr>
        <w:t>報告第</w:t>
      </w:r>
      <w:r w:rsidRPr="00D21AC1">
        <w:rPr>
          <w:rFonts w:hint="eastAsia"/>
          <w:szCs w:val="28"/>
        </w:rPr>
        <w:t>7.46</w:t>
      </w:r>
      <w:r w:rsidRPr="00D21AC1">
        <w:rPr>
          <w:rFonts w:hint="eastAsia"/>
          <w:szCs w:val="28"/>
        </w:rPr>
        <w:t>至</w:t>
      </w:r>
      <w:r w:rsidRPr="00D21AC1">
        <w:rPr>
          <w:rFonts w:hint="eastAsia"/>
          <w:szCs w:val="28"/>
        </w:rPr>
        <w:t>7.49</w:t>
      </w:r>
      <w:r w:rsidRPr="00D21AC1">
        <w:rPr>
          <w:rFonts w:hint="eastAsia"/>
          <w:szCs w:val="28"/>
        </w:rPr>
        <w:t>段所述相同。</w:t>
      </w:r>
    </w:p>
    <w:p w:rsidR="006D2061" w:rsidRPr="00D21AC1" w:rsidRDefault="006D2061" w:rsidP="008375BB">
      <w:pPr>
        <w:tabs>
          <w:tab w:val="left" w:pos="1440"/>
        </w:tabs>
        <w:autoSpaceDE w:val="0"/>
        <w:autoSpaceDN w:val="0"/>
        <w:adjustRightInd w:val="0"/>
        <w:snapToGrid w:val="0"/>
        <w:spacing w:line="400" w:lineRule="atLeast"/>
        <w:jc w:val="both"/>
        <w:rPr>
          <w:szCs w:val="28"/>
        </w:rPr>
      </w:pPr>
    </w:p>
    <w:p w:rsidR="006D2061" w:rsidRDefault="006D2061" w:rsidP="008375BB">
      <w:pPr>
        <w:tabs>
          <w:tab w:val="left" w:pos="1440"/>
        </w:tabs>
        <w:autoSpaceDE w:val="0"/>
        <w:autoSpaceDN w:val="0"/>
        <w:adjustRightInd w:val="0"/>
        <w:snapToGrid w:val="0"/>
        <w:spacing w:line="400" w:lineRule="atLeast"/>
        <w:jc w:val="both"/>
        <w:rPr>
          <w:szCs w:val="28"/>
        </w:rPr>
      </w:pPr>
      <w:r w:rsidRPr="00D21AC1">
        <w:rPr>
          <w:szCs w:val="28"/>
        </w:rPr>
        <w:t>7.</w:t>
      </w:r>
      <w:r>
        <w:rPr>
          <w:szCs w:val="28"/>
        </w:rPr>
        <w:t>23</w:t>
      </w:r>
      <w:r w:rsidRPr="00D21AC1">
        <w:rPr>
          <w:szCs w:val="28"/>
        </w:rPr>
        <w:tab/>
      </w:r>
      <w:r w:rsidRPr="00D21AC1">
        <w:rPr>
          <w:rFonts w:hint="eastAsia"/>
          <w:szCs w:val="28"/>
        </w:rPr>
        <w:t>《肺塵埃沉着病及間皮瘤（補償）條例》（第</w:t>
      </w:r>
      <w:r w:rsidRPr="00D21AC1">
        <w:rPr>
          <w:szCs w:val="28"/>
        </w:rPr>
        <w:t>360</w:t>
      </w:r>
      <w:r w:rsidRPr="00D21AC1">
        <w:rPr>
          <w:rFonts w:hint="eastAsia"/>
          <w:szCs w:val="28"/>
        </w:rPr>
        <w:t>章）及《職業性失聰（補償）條例》（第</w:t>
      </w:r>
      <w:r w:rsidRPr="00D21AC1">
        <w:rPr>
          <w:szCs w:val="28"/>
        </w:rPr>
        <w:t>469</w:t>
      </w:r>
      <w:r w:rsidRPr="00D21AC1">
        <w:rPr>
          <w:rFonts w:hint="eastAsia"/>
          <w:szCs w:val="28"/>
        </w:rPr>
        <w:t>章）繼續為肺塵埃沉着病及</w:t>
      </w:r>
      <w:r w:rsidRPr="005E3A70">
        <w:rPr>
          <w:rFonts w:hint="eastAsia"/>
          <w:szCs w:val="28"/>
        </w:rPr>
        <w:t>／</w:t>
      </w:r>
      <w:r w:rsidRPr="00D21AC1">
        <w:rPr>
          <w:rFonts w:hint="eastAsia"/>
          <w:szCs w:val="28"/>
        </w:rPr>
        <w:t>或間皮</w:t>
      </w:r>
      <w:r w:rsidRPr="006236BD">
        <w:rPr>
          <w:rFonts w:hint="eastAsia"/>
          <w:szCs w:val="28"/>
        </w:rPr>
        <w:t>瘤患者及職業性失聰人士提供補償，</w:t>
      </w:r>
      <w:r w:rsidRPr="00186E80">
        <w:rPr>
          <w:rFonts w:hint="eastAsia"/>
          <w:szCs w:val="28"/>
        </w:rPr>
        <w:t>詳見</w:t>
      </w:r>
      <w:r w:rsidRPr="00186E80">
        <w:rPr>
          <w:rFonts w:hint="eastAsia"/>
          <w:b/>
          <w:szCs w:val="28"/>
        </w:rPr>
        <w:t>附件</w:t>
      </w:r>
      <w:r w:rsidRPr="00186E80">
        <w:rPr>
          <w:rFonts w:hint="eastAsia"/>
          <w:b/>
          <w:szCs w:val="28"/>
        </w:rPr>
        <w:t>7</w:t>
      </w:r>
      <w:r w:rsidRPr="00186E80">
        <w:rPr>
          <w:b/>
          <w:szCs w:val="28"/>
        </w:rPr>
        <w:t>C</w:t>
      </w:r>
      <w:r>
        <w:rPr>
          <w:rFonts w:hint="eastAsia"/>
          <w:b/>
          <w:szCs w:val="28"/>
          <w:lang w:eastAsia="zh-HK"/>
        </w:rPr>
        <w:t>及</w:t>
      </w:r>
      <w:r w:rsidRPr="00186E80">
        <w:rPr>
          <w:rFonts w:hint="eastAsia"/>
          <w:b/>
          <w:szCs w:val="28"/>
        </w:rPr>
        <w:t>7D</w:t>
      </w:r>
      <w:r w:rsidRPr="006236BD">
        <w:rPr>
          <w:rFonts w:hint="eastAsia"/>
          <w:szCs w:val="28"/>
        </w:rPr>
        <w:t>。</w:t>
      </w:r>
    </w:p>
    <w:p w:rsidR="006D2061" w:rsidRPr="00CD1EF8" w:rsidRDefault="006D2061" w:rsidP="008375BB">
      <w:pPr>
        <w:tabs>
          <w:tab w:val="left" w:pos="1440"/>
        </w:tabs>
        <w:autoSpaceDE w:val="0"/>
        <w:autoSpaceDN w:val="0"/>
        <w:adjustRightInd w:val="0"/>
        <w:snapToGrid w:val="0"/>
        <w:spacing w:line="400" w:lineRule="atLeast"/>
        <w:jc w:val="both"/>
        <w:rPr>
          <w:szCs w:val="28"/>
        </w:rPr>
      </w:pPr>
    </w:p>
    <w:p w:rsidR="00646DE4" w:rsidRPr="00646DE4" w:rsidRDefault="00646DE4">
      <w:pPr>
        <w:widowControl/>
        <w:rPr>
          <w:b/>
          <w:szCs w:val="28"/>
        </w:rPr>
      </w:pPr>
      <w:r w:rsidRPr="00646DE4">
        <w:rPr>
          <w:b/>
          <w:szCs w:val="28"/>
        </w:rPr>
        <w:br w:type="page"/>
      </w:r>
    </w:p>
    <w:p w:rsidR="006D2061" w:rsidRPr="00040A80" w:rsidRDefault="006D2061" w:rsidP="008375BB">
      <w:pPr>
        <w:tabs>
          <w:tab w:val="left" w:pos="1440"/>
        </w:tabs>
        <w:snapToGrid w:val="0"/>
        <w:spacing w:line="400" w:lineRule="atLeast"/>
        <w:jc w:val="both"/>
        <w:rPr>
          <w:b/>
          <w:szCs w:val="28"/>
          <w:u w:val="single"/>
        </w:rPr>
      </w:pPr>
      <w:r w:rsidRPr="00040A80">
        <w:rPr>
          <w:b/>
          <w:szCs w:val="28"/>
          <w:u w:val="single"/>
        </w:rPr>
        <w:lastRenderedPageBreak/>
        <w:t>第八條：成為職工會會員的權利</w:t>
      </w:r>
    </w:p>
    <w:p w:rsidR="006D2061" w:rsidRPr="00040A80" w:rsidRDefault="006D2061" w:rsidP="008375BB">
      <w:pPr>
        <w:tabs>
          <w:tab w:val="left" w:pos="1440"/>
        </w:tabs>
        <w:snapToGrid w:val="0"/>
        <w:spacing w:line="400" w:lineRule="atLeast"/>
        <w:jc w:val="both"/>
        <w:rPr>
          <w:b/>
          <w:szCs w:val="28"/>
          <w:lang w:val="en-GB"/>
        </w:rPr>
      </w:pPr>
    </w:p>
    <w:p w:rsidR="006D2061" w:rsidRPr="00040A80" w:rsidRDefault="006D2061" w:rsidP="008375BB">
      <w:pPr>
        <w:tabs>
          <w:tab w:val="left" w:pos="1440"/>
        </w:tabs>
        <w:snapToGrid w:val="0"/>
        <w:spacing w:line="400" w:lineRule="atLeast"/>
        <w:jc w:val="both"/>
        <w:rPr>
          <w:b/>
          <w:szCs w:val="28"/>
        </w:rPr>
      </w:pPr>
      <w:r w:rsidRPr="00040A80">
        <w:rPr>
          <w:b/>
          <w:szCs w:val="28"/>
        </w:rPr>
        <w:t>《職工會條例》</w:t>
      </w:r>
      <w:r w:rsidRPr="00040A80">
        <w:rPr>
          <w:rFonts w:hint="eastAsia"/>
          <w:b/>
          <w:szCs w:val="28"/>
        </w:rPr>
        <w:t>（</w:t>
      </w:r>
      <w:r w:rsidRPr="00040A80">
        <w:rPr>
          <w:b/>
          <w:szCs w:val="28"/>
        </w:rPr>
        <w:t>第</w:t>
      </w:r>
      <w:r w:rsidRPr="00040A80">
        <w:rPr>
          <w:b/>
          <w:szCs w:val="28"/>
        </w:rPr>
        <w:t>332</w:t>
      </w:r>
      <w:r w:rsidRPr="00040A80">
        <w:rPr>
          <w:b/>
          <w:szCs w:val="28"/>
        </w:rPr>
        <w:t>章</w:t>
      </w:r>
      <w:r w:rsidRPr="00040A80">
        <w:rPr>
          <w:rFonts w:hint="eastAsia"/>
          <w:b/>
          <w:szCs w:val="28"/>
        </w:rPr>
        <w:t>）</w:t>
      </w:r>
    </w:p>
    <w:p w:rsidR="006D2061" w:rsidRPr="00040A80" w:rsidRDefault="006D2061" w:rsidP="008375BB">
      <w:pPr>
        <w:tabs>
          <w:tab w:val="left" w:pos="1440"/>
        </w:tabs>
        <w:snapToGrid w:val="0"/>
        <w:spacing w:line="400" w:lineRule="atLeast"/>
        <w:jc w:val="both"/>
        <w:rPr>
          <w:b/>
          <w:szCs w:val="28"/>
        </w:rPr>
      </w:pPr>
    </w:p>
    <w:p w:rsidR="006D2061" w:rsidRPr="00040A80" w:rsidRDefault="006D2061" w:rsidP="008375BB">
      <w:pPr>
        <w:pStyle w:val="4"/>
        <w:tabs>
          <w:tab w:val="left" w:pos="1440"/>
        </w:tabs>
        <w:spacing w:line="400" w:lineRule="atLeast"/>
        <w:ind w:right="32"/>
        <w:jc w:val="both"/>
        <w:rPr>
          <w:rFonts w:eastAsia="標楷體"/>
          <w:color w:val="000000"/>
          <w:szCs w:val="28"/>
          <w:lang w:val="en-GB"/>
        </w:rPr>
      </w:pPr>
      <w:r w:rsidRPr="00040A80">
        <w:rPr>
          <w:rFonts w:eastAsia="標楷體"/>
          <w:szCs w:val="28"/>
        </w:rPr>
        <w:t>8.1</w:t>
      </w:r>
      <w:r w:rsidRPr="00040A80">
        <w:rPr>
          <w:rFonts w:eastAsia="標楷體"/>
          <w:szCs w:val="28"/>
        </w:rPr>
        <w:tab/>
      </w:r>
      <w:r w:rsidRPr="00040A80">
        <w:rPr>
          <w:rFonts w:eastAsia="標楷體"/>
          <w:szCs w:val="28"/>
        </w:rPr>
        <w:t>情況與第一次報告第</w:t>
      </w:r>
      <w:r w:rsidRPr="00040A80">
        <w:rPr>
          <w:rFonts w:eastAsia="標楷體"/>
          <w:szCs w:val="28"/>
        </w:rPr>
        <w:t>120</w:t>
      </w:r>
      <w:r w:rsidRPr="00040A80">
        <w:rPr>
          <w:rFonts w:eastAsia="標楷體"/>
          <w:szCs w:val="28"/>
        </w:rPr>
        <w:t>至</w:t>
      </w:r>
      <w:r w:rsidRPr="00040A80">
        <w:rPr>
          <w:rFonts w:eastAsia="標楷體"/>
          <w:szCs w:val="28"/>
        </w:rPr>
        <w:t>126</w:t>
      </w:r>
      <w:r w:rsidRPr="00040A80">
        <w:rPr>
          <w:rFonts w:eastAsia="標楷體"/>
          <w:szCs w:val="28"/>
        </w:rPr>
        <w:t>段所闡釋的相同。</w:t>
      </w:r>
    </w:p>
    <w:p w:rsidR="006D2061" w:rsidRPr="00040A80" w:rsidRDefault="006D2061" w:rsidP="008375BB">
      <w:pPr>
        <w:tabs>
          <w:tab w:val="left" w:pos="1440"/>
        </w:tabs>
        <w:snapToGrid w:val="0"/>
        <w:spacing w:line="400" w:lineRule="atLeast"/>
        <w:jc w:val="both"/>
        <w:rPr>
          <w:b/>
          <w:szCs w:val="28"/>
          <w:lang w:val="en-GB"/>
        </w:rPr>
      </w:pPr>
    </w:p>
    <w:p w:rsidR="006D2061" w:rsidRPr="00040A80" w:rsidRDefault="006D2061" w:rsidP="008375BB">
      <w:pPr>
        <w:pStyle w:val="4"/>
        <w:tabs>
          <w:tab w:val="left" w:pos="1440"/>
        </w:tabs>
        <w:spacing w:line="400" w:lineRule="atLeast"/>
        <w:ind w:right="32"/>
        <w:jc w:val="both"/>
        <w:rPr>
          <w:rFonts w:eastAsia="標楷體"/>
          <w:b/>
          <w:szCs w:val="28"/>
        </w:rPr>
      </w:pPr>
      <w:r w:rsidRPr="00040A80">
        <w:rPr>
          <w:rFonts w:eastAsia="標楷體"/>
          <w:b/>
          <w:szCs w:val="28"/>
        </w:rPr>
        <w:t>《僱傭條例》有關</w:t>
      </w:r>
      <w:r w:rsidRPr="00040A80">
        <w:rPr>
          <w:rFonts w:eastAsia="標楷體" w:hint="eastAsia"/>
          <w:b/>
          <w:szCs w:val="28"/>
        </w:rPr>
        <w:t>參加</w:t>
      </w:r>
      <w:r w:rsidRPr="00040A80">
        <w:rPr>
          <w:rFonts w:eastAsia="標楷體"/>
          <w:b/>
          <w:szCs w:val="28"/>
        </w:rPr>
        <w:t>職工會</w:t>
      </w:r>
      <w:r w:rsidRPr="00040A80">
        <w:rPr>
          <w:rFonts w:eastAsia="標楷體" w:hint="eastAsia"/>
          <w:b/>
          <w:szCs w:val="28"/>
        </w:rPr>
        <w:t>及其活動</w:t>
      </w:r>
      <w:r w:rsidRPr="00040A80">
        <w:rPr>
          <w:rFonts w:eastAsia="標楷體"/>
          <w:b/>
          <w:szCs w:val="28"/>
        </w:rPr>
        <w:t>不受歧視的法律保障</w:t>
      </w:r>
    </w:p>
    <w:p w:rsidR="006D2061" w:rsidRPr="00040A80" w:rsidRDefault="006D2061" w:rsidP="008375BB">
      <w:pPr>
        <w:tabs>
          <w:tab w:val="left" w:pos="1440"/>
        </w:tabs>
        <w:snapToGrid w:val="0"/>
        <w:spacing w:line="400" w:lineRule="atLeast"/>
        <w:jc w:val="both"/>
      </w:pPr>
    </w:p>
    <w:p w:rsidR="006D2061" w:rsidRPr="00040A80" w:rsidRDefault="006D2061" w:rsidP="008375BB">
      <w:pPr>
        <w:pStyle w:val="4"/>
        <w:tabs>
          <w:tab w:val="left" w:pos="1440"/>
        </w:tabs>
        <w:spacing w:line="400" w:lineRule="atLeast"/>
        <w:ind w:right="32"/>
        <w:jc w:val="both"/>
        <w:rPr>
          <w:rFonts w:eastAsia="標楷體"/>
          <w:color w:val="000000"/>
          <w:szCs w:val="28"/>
          <w:lang w:val="en-GB"/>
        </w:rPr>
      </w:pPr>
      <w:r w:rsidRPr="00040A80">
        <w:rPr>
          <w:rFonts w:eastAsia="標楷體"/>
          <w:szCs w:val="28"/>
        </w:rPr>
        <w:t>8.2</w:t>
      </w:r>
      <w:r w:rsidRPr="00040A80">
        <w:rPr>
          <w:rFonts w:eastAsia="標楷體"/>
          <w:szCs w:val="28"/>
        </w:rPr>
        <w:tab/>
      </w:r>
      <w:r w:rsidRPr="00E4323E">
        <w:rPr>
          <w:rFonts w:eastAsia="標楷體" w:hint="eastAsia"/>
          <w:szCs w:val="28"/>
        </w:rPr>
        <w:t>委員會在上次審議結論中建議允許因參加職工會活動而被辭退的職工會成員復職。除了第一</w:t>
      </w:r>
      <w:r>
        <w:rPr>
          <w:rFonts w:eastAsia="標楷體" w:hint="eastAsia"/>
          <w:szCs w:val="28"/>
          <w:lang w:eastAsia="zh-HK"/>
        </w:rPr>
        <w:t>次</w:t>
      </w:r>
      <w:r w:rsidRPr="00E4323E">
        <w:rPr>
          <w:rFonts w:eastAsia="標楷體" w:hint="eastAsia"/>
          <w:szCs w:val="28"/>
        </w:rPr>
        <w:t>報告第</w:t>
      </w:r>
      <w:r w:rsidRPr="00E4323E">
        <w:rPr>
          <w:rFonts w:eastAsia="標楷體" w:hint="eastAsia"/>
          <w:szCs w:val="28"/>
        </w:rPr>
        <w:t>128</w:t>
      </w:r>
      <w:r w:rsidRPr="00E4323E">
        <w:rPr>
          <w:rFonts w:eastAsia="標楷體" w:hint="eastAsia"/>
          <w:szCs w:val="28"/>
        </w:rPr>
        <w:t>段所述有關僱主須就解僱、懲罰或歧視行使成為職工會會員和參加職工會活動權利的僱員負上刑事責任，如上文第</w:t>
      </w:r>
      <w:r w:rsidRPr="00E4323E">
        <w:rPr>
          <w:rFonts w:eastAsia="標楷體" w:hint="eastAsia"/>
          <w:szCs w:val="28"/>
        </w:rPr>
        <w:t>6.</w:t>
      </w:r>
      <w:r>
        <w:rPr>
          <w:rFonts w:eastAsia="標楷體"/>
          <w:szCs w:val="28"/>
        </w:rPr>
        <w:t>8</w:t>
      </w:r>
      <w:r w:rsidRPr="00E4323E">
        <w:rPr>
          <w:rFonts w:eastAsia="標楷體" w:hint="eastAsia"/>
          <w:szCs w:val="28"/>
        </w:rPr>
        <w:t>段所述，《僱傭條例》已加強保障僱員，如因行使職工會權利而遭不合理及不合法解僱的僱員尋求復職或再次聘用，法院或勞資審裁處可無須先取得僱主同意，</w:t>
      </w:r>
      <w:r>
        <w:rPr>
          <w:rFonts w:eastAsia="標楷體" w:hint="eastAsia"/>
          <w:szCs w:val="28"/>
          <w:lang w:eastAsia="zh-HK"/>
        </w:rPr>
        <w:t>而</w:t>
      </w:r>
      <w:r w:rsidRPr="00E4323E">
        <w:rPr>
          <w:rFonts w:eastAsia="標楷體" w:hint="eastAsia"/>
          <w:szCs w:val="28"/>
        </w:rPr>
        <w:t>作出復職或再次聘用的命令。</w:t>
      </w:r>
    </w:p>
    <w:p w:rsidR="006D2061" w:rsidRPr="00040A80" w:rsidRDefault="006D2061" w:rsidP="008375BB">
      <w:pPr>
        <w:tabs>
          <w:tab w:val="left" w:pos="1440"/>
        </w:tabs>
        <w:snapToGrid w:val="0"/>
        <w:spacing w:line="400" w:lineRule="atLeast"/>
        <w:jc w:val="both"/>
        <w:rPr>
          <w:b/>
          <w:szCs w:val="28"/>
        </w:rPr>
      </w:pPr>
    </w:p>
    <w:p w:rsidR="006D2061" w:rsidRPr="00040A80" w:rsidRDefault="006D2061" w:rsidP="008375BB">
      <w:pPr>
        <w:tabs>
          <w:tab w:val="left" w:pos="1440"/>
        </w:tabs>
        <w:snapToGrid w:val="0"/>
        <w:spacing w:line="400" w:lineRule="atLeast"/>
        <w:jc w:val="both"/>
        <w:rPr>
          <w:b/>
          <w:szCs w:val="28"/>
        </w:rPr>
      </w:pPr>
      <w:r w:rsidRPr="00040A80">
        <w:rPr>
          <w:b/>
          <w:szCs w:val="28"/>
        </w:rPr>
        <w:t>職工會數目與會員人數</w:t>
      </w:r>
    </w:p>
    <w:p w:rsidR="006D2061" w:rsidRPr="00040A80" w:rsidRDefault="006D2061" w:rsidP="008375BB">
      <w:pPr>
        <w:tabs>
          <w:tab w:val="left" w:pos="1440"/>
        </w:tabs>
        <w:snapToGrid w:val="0"/>
        <w:spacing w:line="400" w:lineRule="atLeast"/>
        <w:jc w:val="both"/>
        <w:rPr>
          <w:b/>
          <w:szCs w:val="28"/>
        </w:rPr>
      </w:pPr>
    </w:p>
    <w:p w:rsidR="006D2061" w:rsidRPr="00040A80" w:rsidRDefault="006D2061" w:rsidP="008375BB">
      <w:pPr>
        <w:pStyle w:val="4"/>
        <w:tabs>
          <w:tab w:val="left" w:pos="1440"/>
        </w:tabs>
        <w:spacing w:line="400" w:lineRule="atLeast"/>
        <w:ind w:right="32"/>
        <w:jc w:val="both"/>
        <w:rPr>
          <w:rFonts w:eastAsia="標楷體"/>
          <w:szCs w:val="28"/>
        </w:rPr>
      </w:pPr>
      <w:r w:rsidRPr="00040A80">
        <w:rPr>
          <w:rFonts w:eastAsia="標楷體"/>
          <w:szCs w:val="28"/>
        </w:rPr>
        <w:t>8.3</w:t>
      </w:r>
      <w:r w:rsidRPr="00040A80">
        <w:rPr>
          <w:rFonts w:eastAsia="標楷體"/>
          <w:szCs w:val="28"/>
        </w:rPr>
        <w:tab/>
      </w:r>
      <w:r w:rsidRPr="00E4323E">
        <w:rPr>
          <w:rFonts w:eastAsia="標楷體" w:hint="eastAsia"/>
          <w:szCs w:val="28"/>
        </w:rPr>
        <w:t>截至</w:t>
      </w:r>
      <w:r w:rsidRPr="00E4323E">
        <w:rPr>
          <w:rFonts w:eastAsia="標楷體"/>
          <w:szCs w:val="28"/>
        </w:rPr>
        <w:t>2017</w:t>
      </w:r>
      <w:r w:rsidRPr="00E4323E">
        <w:rPr>
          <w:rFonts w:eastAsia="標楷體" w:hint="eastAsia"/>
          <w:szCs w:val="28"/>
        </w:rPr>
        <w:t>年</w:t>
      </w:r>
      <w:r w:rsidRPr="00E4323E">
        <w:rPr>
          <w:rFonts w:eastAsia="標楷體"/>
          <w:szCs w:val="28"/>
        </w:rPr>
        <w:t>12</w:t>
      </w:r>
      <w:r w:rsidRPr="00E4323E">
        <w:rPr>
          <w:rFonts w:eastAsia="標楷體" w:hint="eastAsia"/>
          <w:szCs w:val="28"/>
        </w:rPr>
        <w:t>月</w:t>
      </w:r>
      <w:r w:rsidRPr="00E4323E">
        <w:rPr>
          <w:rFonts w:eastAsia="標楷體"/>
          <w:szCs w:val="28"/>
        </w:rPr>
        <w:t>31</w:t>
      </w:r>
      <w:r w:rsidRPr="00E4323E">
        <w:rPr>
          <w:rFonts w:eastAsia="標楷體" w:hint="eastAsia"/>
          <w:szCs w:val="28"/>
        </w:rPr>
        <w:t>日，香港特區僱員工會的數目與公布的會員人數</w:t>
      </w:r>
      <w:r>
        <w:rPr>
          <w:rFonts w:eastAsia="標楷體" w:hint="eastAsia"/>
          <w:szCs w:val="28"/>
          <w:lang w:eastAsia="zh-HK"/>
        </w:rPr>
        <w:t>見</w:t>
      </w:r>
      <w:r w:rsidRPr="00D83361">
        <w:rPr>
          <w:rFonts w:eastAsia="標楷體" w:hint="eastAsia"/>
          <w:b/>
          <w:szCs w:val="28"/>
          <w:lang w:eastAsia="zh-HK"/>
        </w:rPr>
        <w:t>附件</w:t>
      </w:r>
      <w:r w:rsidRPr="00D83361">
        <w:rPr>
          <w:rFonts w:eastAsia="標楷體" w:hint="eastAsia"/>
          <w:b/>
          <w:szCs w:val="28"/>
        </w:rPr>
        <w:t>8A</w:t>
      </w:r>
      <w:r>
        <w:rPr>
          <w:rFonts w:eastAsia="標楷體" w:hint="eastAsia"/>
          <w:szCs w:val="28"/>
        </w:rPr>
        <w:t>。</w:t>
      </w:r>
    </w:p>
    <w:p w:rsidR="006D2061" w:rsidRPr="00040A80" w:rsidRDefault="006D2061" w:rsidP="008375BB">
      <w:pPr>
        <w:tabs>
          <w:tab w:val="left" w:pos="1440"/>
        </w:tabs>
        <w:snapToGrid w:val="0"/>
        <w:spacing w:line="400" w:lineRule="atLeast"/>
        <w:jc w:val="both"/>
        <w:rPr>
          <w:b/>
          <w:szCs w:val="28"/>
        </w:rPr>
      </w:pPr>
    </w:p>
    <w:p w:rsidR="006D2061" w:rsidRPr="00040A80" w:rsidRDefault="006D2061" w:rsidP="008375BB">
      <w:pPr>
        <w:tabs>
          <w:tab w:val="left" w:pos="1440"/>
        </w:tabs>
        <w:snapToGrid w:val="0"/>
        <w:spacing w:line="400" w:lineRule="atLeast"/>
        <w:jc w:val="both"/>
        <w:rPr>
          <w:b/>
          <w:szCs w:val="28"/>
        </w:rPr>
      </w:pPr>
      <w:r w:rsidRPr="00040A80">
        <w:rPr>
          <w:b/>
          <w:szCs w:val="28"/>
        </w:rPr>
        <w:t>鼓勵勞資雙方有效溝通、諮詢和自願協商</w:t>
      </w:r>
    </w:p>
    <w:p w:rsidR="006D2061" w:rsidRPr="00040A80" w:rsidRDefault="006D2061" w:rsidP="008375BB">
      <w:pPr>
        <w:tabs>
          <w:tab w:val="left" w:pos="1440"/>
        </w:tabs>
        <w:snapToGrid w:val="0"/>
        <w:spacing w:line="400" w:lineRule="atLeast"/>
        <w:jc w:val="both"/>
        <w:rPr>
          <w:b/>
          <w:szCs w:val="28"/>
        </w:rPr>
      </w:pPr>
    </w:p>
    <w:p w:rsidR="006D2061" w:rsidRPr="00040A80" w:rsidRDefault="006D2061" w:rsidP="00646DE4">
      <w:pPr>
        <w:pStyle w:val="2"/>
        <w:tabs>
          <w:tab w:val="left" w:pos="1440"/>
        </w:tabs>
        <w:overflowPunct w:val="0"/>
        <w:snapToGrid w:val="0"/>
        <w:spacing w:after="0" w:line="400" w:lineRule="atLeast"/>
        <w:ind w:right="29"/>
        <w:jc w:val="both"/>
        <w:rPr>
          <w:rFonts w:eastAsia="標楷體"/>
          <w:sz w:val="28"/>
          <w:szCs w:val="28"/>
        </w:rPr>
      </w:pPr>
      <w:r w:rsidRPr="00646DE4">
        <w:rPr>
          <w:rFonts w:eastAsia="標楷體"/>
          <w:spacing w:val="4"/>
          <w:sz w:val="28"/>
          <w:szCs w:val="28"/>
        </w:rPr>
        <w:t>8.4</w:t>
      </w:r>
      <w:r w:rsidRPr="00646DE4">
        <w:rPr>
          <w:rFonts w:eastAsia="標楷體"/>
          <w:spacing w:val="4"/>
          <w:sz w:val="28"/>
          <w:szCs w:val="28"/>
        </w:rPr>
        <w:tab/>
      </w:r>
      <w:r w:rsidRPr="00646DE4">
        <w:rPr>
          <w:rFonts w:eastAsia="標楷體" w:hint="eastAsia"/>
          <w:spacing w:val="4"/>
          <w:sz w:val="28"/>
          <w:szCs w:val="28"/>
        </w:rPr>
        <w:t>委員會在上次審議結論建議就集體談判立法。政府深信，</w:t>
      </w:r>
      <w:r w:rsidRPr="00665152">
        <w:rPr>
          <w:rFonts w:eastAsia="標楷體" w:hint="eastAsia"/>
          <w:sz w:val="28"/>
          <w:szCs w:val="28"/>
        </w:rPr>
        <w:t>只有勞資雙方自願，集體談判才會有效。社會上對立法訂立集體談判權未有共識。立法會過去五度否決立法訂立集體談判制度的議案。</w:t>
      </w:r>
    </w:p>
    <w:p w:rsidR="006D2061" w:rsidRPr="00040A80" w:rsidRDefault="006D2061" w:rsidP="008375BB">
      <w:pPr>
        <w:pStyle w:val="2"/>
        <w:tabs>
          <w:tab w:val="left" w:pos="1440"/>
        </w:tabs>
        <w:snapToGrid w:val="0"/>
        <w:spacing w:after="0" w:line="400" w:lineRule="atLeast"/>
        <w:ind w:right="32"/>
        <w:jc w:val="both"/>
        <w:rPr>
          <w:rFonts w:eastAsia="標楷體"/>
          <w:sz w:val="28"/>
          <w:szCs w:val="28"/>
        </w:rPr>
      </w:pPr>
    </w:p>
    <w:p w:rsidR="006D2061" w:rsidRDefault="006D2061" w:rsidP="008375BB">
      <w:pPr>
        <w:pStyle w:val="2"/>
        <w:tabs>
          <w:tab w:val="left" w:pos="1440"/>
        </w:tabs>
        <w:snapToGrid w:val="0"/>
        <w:spacing w:after="0" w:line="400" w:lineRule="atLeast"/>
        <w:ind w:right="32"/>
        <w:jc w:val="both"/>
        <w:rPr>
          <w:rFonts w:eastAsia="標楷體"/>
          <w:bCs/>
          <w:sz w:val="28"/>
          <w:szCs w:val="28"/>
        </w:rPr>
      </w:pPr>
      <w:r w:rsidRPr="00646DE4">
        <w:rPr>
          <w:rFonts w:eastAsia="標楷體"/>
          <w:spacing w:val="2"/>
          <w:sz w:val="28"/>
          <w:szCs w:val="28"/>
        </w:rPr>
        <w:t>8.5</w:t>
      </w:r>
      <w:r w:rsidRPr="00646DE4">
        <w:rPr>
          <w:rFonts w:eastAsia="標楷體"/>
          <w:spacing w:val="2"/>
          <w:sz w:val="28"/>
          <w:szCs w:val="28"/>
        </w:rPr>
        <w:tab/>
      </w:r>
      <w:r w:rsidRPr="00646DE4">
        <w:rPr>
          <w:rFonts w:eastAsia="標楷體" w:hint="eastAsia"/>
          <w:spacing w:val="2"/>
          <w:sz w:val="28"/>
          <w:szCs w:val="28"/>
        </w:rPr>
        <w:t>僱主和僱員代表</w:t>
      </w:r>
      <w:r w:rsidRPr="00646DE4">
        <w:rPr>
          <w:rFonts w:eastAsia="標楷體" w:hint="eastAsia"/>
          <w:spacing w:val="2"/>
          <w:sz w:val="28"/>
          <w:szCs w:val="28"/>
          <w:lang w:eastAsia="zh-HK"/>
        </w:rPr>
        <w:t>和政</w:t>
      </w:r>
      <w:r w:rsidRPr="00646DE4">
        <w:rPr>
          <w:rFonts w:eastAsia="標楷體" w:hint="eastAsia"/>
          <w:spacing w:val="2"/>
          <w:sz w:val="28"/>
          <w:szCs w:val="28"/>
        </w:rPr>
        <w:t>府透過勞工顧問委員會（勞顧會）就</w:t>
      </w:r>
      <w:r w:rsidRPr="00665152">
        <w:rPr>
          <w:rFonts w:eastAsia="標楷體" w:hint="eastAsia"/>
          <w:sz w:val="28"/>
          <w:szCs w:val="28"/>
        </w:rPr>
        <w:t>勞工事務以平等地位進行有效的三方協商。由所有已登記的僱員工會投票選出勞顧會僱員代表的方法具高透明度，行之有效，且獲勞工界廣泛接納。</w:t>
      </w:r>
      <w:r>
        <w:rPr>
          <w:rFonts w:eastAsia="標楷體" w:hint="eastAsia"/>
          <w:bCs/>
          <w:sz w:val="28"/>
          <w:szCs w:val="28"/>
        </w:rPr>
        <w:t>該</w:t>
      </w:r>
      <w:r w:rsidRPr="00665152">
        <w:rPr>
          <w:rFonts w:eastAsia="標楷體" w:hint="eastAsia"/>
          <w:bCs/>
          <w:sz w:val="28"/>
          <w:szCs w:val="28"/>
        </w:rPr>
        <w:t>處亦致力在行業和企業層面鼓勵和促進勞資雙方或其所屬組織自願協商和有效溝通</w:t>
      </w:r>
      <w:r>
        <w:rPr>
          <w:rFonts w:eastAsia="標楷體" w:hint="eastAsia"/>
          <w:bCs/>
          <w:sz w:val="28"/>
          <w:szCs w:val="28"/>
        </w:rPr>
        <w:t>，</w:t>
      </w:r>
      <w:r>
        <w:rPr>
          <w:rFonts w:eastAsia="標楷體" w:hint="eastAsia"/>
          <w:bCs/>
          <w:sz w:val="28"/>
          <w:szCs w:val="28"/>
          <w:lang w:eastAsia="zh-HK"/>
        </w:rPr>
        <w:t>詳見</w:t>
      </w:r>
      <w:r w:rsidRPr="00D83361">
        <w:rPr>
          <w:rFonts w:eastAsia="標楷體" w:hint="eastAsia"/>
          <w:b/>
          <w:bCs/>
          <w:sz w:val="28"/>
          <w:szCs w:val="28"/>
          <w:lang w:eastAsia="zh-HK"/>
        </w:rPr>
        <w:t>附件</w:t>
      </w:r>
      <w:r w:rsidRPr="00D83361">
        <w:rPr>
          <w:rFonts w:eastAsia="標楷體" w:hint="eastAsia"/>
          <w:b/>
          <w:bCs/>
          <w:sz w:val="28"/>
          <w:szCs w:val="28"/>
        </w:rPr>
        <w:t>8B</w:t>
      </w:r>
      <w:r>
        <w:rPr>
          <w:rFonts w:eastAsia="標楷體" w:hint="eastAsia"/>
          <w:bCs/>
          <w:sz w:val="28"/>
          <w:szCs w:val="28"/>
        </w:rPr>
        <w:t>。</w:t>
      </w:r>
    </w:p>
    <w:p w:rsidR="006D2061" w:rsidRPr="00040A80" w:rsidRDefault="006D2061" w:rsidP="008375BB">
      <w:pPr>
        <w:tabs>
          <w:tab w:val="left" w:pos="1440"/>
        </w:tabs>
        <w:snapToGrid w:val="0"/>
        <w:spacing w:line="400" w:lineRule="atLeast"/>
        <w:ind w:right="32"/>
        <w:jc w:val="both"/>
        <w:rPr>
          <w:szCs w:val="28"/>
        </w:rPr>
      </w:pPr>
    </w:p>
    <w:p w:rsidR="006D2061" w:rsidRDefault="006D2061" w:rsidP="008375BB">
      <w:pPr>
        <w:tabs>
          <w:tab w:val="left" w:pos="1440"/>
        </w:tabs>
        <w:snapToGrid w:val="0"/>
        <w:spacing w:line="400" w:lineRule="atLeast"/>
        <w:ind w:right="32"/>
        <w:jc w:val="both"/>
        <w:rPr>
          <w:color w:val="000000"/>
          <w:szCs w:val="28"/>
          <w:lang w:val="en-GB"/>
        </w:rPr>
      </w:pPr>
      <w:r w:rsidRPr="00665152">
        <w:rPr>
          <w:rFonts w:hint="eastAsia"/>
          <w:color w:val="000000"/>
          <w:szCs w:val="28"/>
          <w:lang w:val="en-GB"/>
        </w:rPr>
        <w:lastRenderedPageBreak/>
        <w:t>8.</w:t>
      </w:r>
      <w:r>
        <w:rPr>
          <w:rFonts w:hint="eastAsia"/>
          <w:color w:val="000000"/>
          <w:szCs w:val="28"/>
          <w:lang w:val="en-GB"/>
        </w:rPr>
        <w:t>6</w:t>
      </w:r>
      <w:r>
        <w:rPr>
          <w:rFonts w:hint="eastAsia"/>
          <w:color w:val="000000"/>
          <w:szCs w:val="28"/>
          <w:lang w:val="en-GB"/>
        </w:rPr>
        <w:tab/>
      </w:r>
      <w:r w:rsidRPr="00665152">
        <w:rPr>
          <w:rFonts w:hint="eastAsia"/>
          <w:color w:val="000000"/>
          <w:szCs w:val="28"/>
          <w:lang w:val="en-GB"/>
        </w:rPr>
        <w:t>政府推廣僱主與僱員或其所屬組織進行自願和直接談判的方法，行之有效。勞資雙方自願協商，配合勞工處的調停服務，有助保持和諧勞資關係。在過去十年每年因停工事件而損失的平均工作日數為</w:t>
      </w:r>
      <w:r w:rsidRPr="00665152">
        <w:rPr>
          <w:rFonts w:hint="eastAsia"/>
          <w:color w:val="000000"/>
          <w:szCs w:val="28"/>
          <w:lang w:val="en-GB"/>
        </w:rPr>
        <w:t>0.56</w:t>
      </w:r>
      <w:r w:rsidRPr="00665152">
        <w:rPr>
          <w:rFonts w:hint="eastAsia"/>
          <w:color w:val="000000"/>
          <w:szCs w:val="28"/>
          <w:lang w:val="en-GB"/>
        </w:rPr>
        <w:t>天（以每千名受薪僱員計算），</w:t>
      </w:r>
      <w:r>
        <w:rPr>
          <w:rFonts w:hint="eastAsia"/>
          <w:color w:val="000000"/>
          <w:szCs w:val="28"/>
          <w:lang w:val="en-GB" w:eastAsia="zh-HK"/>
        </w:rPr>
        <w:t>屬</w:t>
      </w:r>
      <w:r w:rsidRPr="00665152">
        <w:rPr>
          <w:rFonts w:hint="eastAsia"/>
          <w:color w:val="000000"/>
          <w:szCs w:val="28"/>
          <w:lang w:val="en-GB"/>
        </w:rPr>
        <w:t>全球最少之一。</w:t>
      </w:r>
    </w:p>
    <w:p w:rsidR="006D2061" w:rsidRDefault="006D2061" w:rsidP="008375BB">
      <w:pPr>
        <w:tabs>
          <w:tab w:val="left" w:pos="1440"/>
        </w:tabs>
        <w:snapToGrid w:val="0"/>
        <w:spacing w:line="400" w:lineRule="atLeast"/>
        <w:ind w:right="32"/>
        <w:jc w:val="both"/>
        <w:rPr>
          <w:color w:val="000000"/>
          <w:szCs w:val="28"/>
          <w:lang w:val="en-GB"/>
        </w:rPr>
      </w:pPr>
    </w:p>
    <w:p w:rsidR="006D2061" w:rsidRPr="00040A80" w:rsidRDefault="006D2061" w:rsidP="008375BB">
      <w:pPr>
        <w:tabs>
          <w:tab w:val="left" w:pos="1440"/>
        </w:tabs>
        <w:snapToGrid w:val="0"/>
        <w:spacing w:line="400" w:lineRule="atLeast"/>
        <w:jc w:val="both"/>
        <w:rPr>
          <w:b/>
          <w:szCs w:val="28"/>
        </w:rPr>
      </w:pPr>
      <w:r w:rsidRPr="00040A80">
        <w:rPr>
          <w:b/>
          <w:szCs w:val="28"/>
        </w:rPr>
        <w:t>罷工的權利</w:t>
      </w:r>
    </w:p>
    <w:p w:rsidR="006D2061" w:rsidRPr="00040A80" w:rsidRDefault="006D2061" w:rsidP="008375BB">
      <w:pPr>
        <w:tabs>
          <w:tab w:val="left" w:pos="1440"/>
        </w:tabs>
        <w:snapToGrid w:val="0"/>
        <w:spacing w:line="400" w:lineRule="atLeast"/>
        <w:jc w:val="both"/>
        <w:rPr>
          <w:b/>
          <w:szCs w:val="28"/>
        </w:rPr>
      </w:pPr>
    </w:p>
    <w:p w:rsidR="006D2061" w:rsidRPr="00040A80" w:rsidRDefault="006D2061" w:rsidP="008375BB">
      <w:pPr>
        <w:tabs>
          <w:tab w:val="left" w:pos="1440"/>
        </w:tabs>
        <w:autoSpaceDE w:val="0"/>
        <w:autoSpaceDN w:val="0"/>
        <w:adjustRightInd w:val="0"/>
        <w:snapToGrid w:val="0"/>
        <w:spacing w:line="400" w:lineRule="atLeast"/>
        <w:jc w:val="both"/>
        <w:rPr>
          <w:color w:val="000000"/>
          <w:kern w:val="0"/>
          <w:szCs w:val="28"/>
        </w:rPr>
      </w:pPr>
      <w:r w:rsidRPr="00040A80">
        <w:rPr>
          <w:color w:val="000000"/>
          <w:kern w:val="0"/>
          <w:szCs w:val="28"/>
        </w:rPr>
        <w:t>8.</w:t>
      </w:r>
      <w:r>
        <w:rPr>
          <w:rFonts w:hint="eastAsia"/>
          <w:color w:val="000000"/>
          <w:kern w:val="0"/>
          <w:szCs w:val="28"/>
        </w:rPr>
        <w:t>7</w:t>
      </w:r>
      <w:r w:rsidRPr="00040A80">
        <w:rPr>
          <w:color w:val="000000"/>
          <w:kern w:val="0"/>
          <w:szCs w:val="28"/>
        </w:rPr>
        <w:tab/>
      </w:r>
      <w:r w:rsidRPr="00665152">
        <w:rPr>
          <w:rFonts w:hint="eastAsia"/>
          <w:color w:val="000000"/>
          <w:spacing w:val="20"/>
          <w:szCs w:val="28"/>
          <w:lang w:eastAsia="zh-HK"/>
        </w:rPr>
        <w:t>情況與上</w:t>
      </w:r>
      <w:r>
        <w:rPr>
          <w:rFonts w:hint="eastAsia"/>
          <w:color w:val="000000"/>
          <w:spacing w:val="20"/>
          <w:szCs w:val="28"/>
          <w:lang w:eastAsia="zh-HK"/>
        </w:rPr>
        <w:t>次</w:t>
      </w:r>
      <w:r w:rsidRPr="00665152">
        <w:rPr>
          <w:rFonts w:hint="eastAsia"/>
          <w:color w:val="000000"/>
          <w:spacing w:val="20"/>
          <w:szCs w:val="28"/>
          <w:lang w:eastAsia="zh-HK"/>
        </w:rPr>
        <w:t>報告第</w:t>
      </w:r>
      <w:r w:rsidRPr="00665152">
        <w:rPr>
          <w:color w:val="000000"/>
          <w:spacing w:val="20"/>
          <w:szCs w:val="28"/>
          <w:lang w:eastAsia="zh-HK"/>
        </w:rPr>
        <w:t>8.8</w:t>
      </w:r>
      <w:r w:rsidRPr="00665152">
        <w:rPr>
          <w:rFonts w:hint="eastAsia"/>
          <w:color w:val="000000"/>
          <w:spacing w:val="20"/>
          <w:szCs w:val="28"/>
          <w:lang w:eastAsia="zh-HK"/>
        </w:rPr>
        <w:t>至</w:t>
      </w:r>
      <w:r w:rsidRPr="00665152">
        <w:rPr>
          <w:color w:val="000000"/>
          <w:spacing w:val="20"/>
          <w:szCs w:val="28"/>
          <w:lang w:eastAsia="zh-HK"/>
        </w:rPr>
        <w:t>8.9</w:t>
      </w:r>
      <w:r w:rsidRPr="00665152">
        <w:rPr>
          <w:rFonts w:hint="eastAsia"/>
          <w:color w:val="000000"/>
          <w:spacing w:val="20"/>
          <w:szCs w:val="28"/>
          <w:lang w:eastAsia="zh-HK"/>
        </w:rPr>
        <w:t>段所闡釋的相同。</w:t>
      </w:r>
    </w:p>
    <w:p w:rsidR="006D2061" w:rsidRPr="00040A80" w:rsidRDefault="006D2061" w:rsidP="008375BB">
      <w:pPr>
        <w:tabs>
          <w:tab w:val="left" w:pos="1440"/>
        </w:tabs>
        <w:autoSpaceDE w:val="0"/>
        <w:autoSpaceDN w:val="0"/>
        <w:adjustRightInd w:val="0"/>
        <w:snapToGrid w:val="0"/>
        <w:spacing w:line="400" w:lineRule="atLeast"/>
        <w:jc w:val="both"/>
        <w:rPr>
          <w:color w:val="000000"/>
          <w:kern w:val="0"/>
          <w:szCs w:val="28"/>
        </w:rPr>
      </w:pPr>
    </w:p>
    <w:p w:rsidR="00646DE4" w:rsidRPr="00646DE4" w:rsidRDefault="00646DE4">
      <w:pPr>
        <w:widowControl/>
        <w:rPr>
          <w:szCs w:val="28"/>
        </w:rPr>
      </w:pPr>
      <w:r w:rsidRPr="00646DE4">
        <w:rPr>
          <w:szCs w:val="28"/>
        </w:rPr>
        <w:br w:type="page"/>
      </w:r>
    </w:p>
    <w:p w:rsidR="006D2061" w:rsidRPr="0015324B" w:rsidRDefault="006D2061" w:rsidP="008375BB">
      <w:pPr>
        <w:tabs>
          <w:tab w:val="left" w:pos="1440"/>
        </w:tabs>
        <w:snapToGrid w:val="0"/>
        <w:spacing w:line="400" w:lineRule="atLeast"/>
        <w:contextualSpacing/>
        <w:jc w:val="both"/>
        <w:rPr>
          <w:b/>
          <w:bCs/>
          <w:szCs w:val="28"/>
          <w:u w:val="single"/>
        </w:rPr>
      </w:pPr>
      <w:r w:rsidRPr="0015324B">
        <w:rPr>
          <w:b/>
          <w:szCs w:val="28"/>
          <w:u w:val="single"/>
        </w:rPr>
        <w:lastRenderedPageBreak/>
        <w:t>第九條</w:t>
      </w:r>
      <w:r w:rsidRPr="0015324B">
        <w:rPr>
          <w:rFonts w:hint="eastAsia"/>
          <w:b/>
          <w:szCs w:val="28"/>
          <w:u w:val="single"/>
        </w:rPr>
        <w:t>：</w:t>
      </w:r>
      <w:r w:rsidRPr="0015324B">
        <w:rPr>
          <w:b/>
          <w:szCs w:val="28"/>
          <w:u w:val="single"/>
        </w:rPr>
        <w:t>享有社會保障的權利</w:t>
      </w:r>
    </w:p>
    <w:p w:rsidR="006D2061" w:rsidRPr="0015324B" w:rsidRDefault="006D2061" w:rsidP="008375BB">
      <w:pPr>
        <w:tabs>
          <w:tab w:val="left" w:pos="1440"/>
        </w:tabs>
        <w:snapToGrid w:val="0"/>
        <w:spacing w:line="400" w:lineRule="atLeast"/>
        <w:contextualSpacing/>
        <w:jc w:val="both"/>
        <w:rPr>
          <w:szCs w:val="28"/>
        </w:rPr>
      </w:pPr>
    </w:p>
    <w:p w:rsidR="006D2061" w:rsidRPr="0015324B" w:rsidRDefault="006D2061" w:rsidP="008375BB">
      <w:pPr>
        <w:tabs>
          <w:tab w:val="left" w:pos="1440"/>
        </w:tabs>
        <w:snapToGrid w:val="0"/>
        <w:spacing w:line="400" w:lineRule="atLeast"/>
        <w:contextualSpacing/>
        <w:jc w:val="both"/>
        <w:rPr>
          <w:b/>
          <w:szCs w:val="28"/>
        </w:rPr>
      </w:pPr>
      <w:r w:rsidRPr="0015324B">
        <w:rPr>
          <w:b/>
          <w:szCs w:val="28"/>
        </w:rPr>
        <w:t>香港社會保障制度概覽</w:t>
      </w:r>
    </w:p>
    <w:p w:rsidR="006D2061" w:rsidRPr="0015324B" w:rsidRDefault="006D2061" w:rsidP="008375BB">
      <w:pPr>
        <w:pStyle w:val="2"/>
        <w:tabs>
          <w:tab w:val="left" w:pos="1440"/>
        </w:tabs>
        <w:snapToGrid w:val="0"/>
        <w:spacing w:line="400" w:lineRule="atLeast"/>
        <w:contextualSpacing/>
        <w:jc w:val="both"/>
        <w:rPr>
          <w:rFonts w:eastAsia="標楷體"/>
          <w:szCs w:val="28"/>
        </w:rPr>
      </w:pPr>
    </w:p>
    <w:p w:rsidR="006D2061" w:rsidRPr="00646DE4" w:rsidRDefault="006D2061" w:rsidP="008375BB">
      <w:pPr>
        <w:pStyle w:val="2"/>
        <w:tabs>
          <w:tab w:val="left" w:pos="1440"/>
        </w:tabs>
        <w:snapToGrid w:val="0"/>
        <w:spacing w:before="240" w:line="400" w:lineRule="atLeast"/>
        <w:contextualSpacing/>
        <w:jc w:val="both"/>
        <w:rPr>
          <w:rFonts w:eastAsia="標楷體"/>
          <w:sz w:val="28"/>
          <w:szCs w:val="28"/>
        </w:rPr>
      </w:pPr>
      <w:r w:rsidRPr="00646DE4">
        <w:rPr>
          <w:rFonts w:eastAsia="標楷體"/>
          <w:sz w:val="28"/>
          <w:szCs w:val="28"/>
        </w:rPr>
        <w:t>9.1</w:t>
      </w:r>
      <w:r w:rsidRPr="00646DE4">
        <w:rPr>
          <w:rFonts w:eastAsia="標楷體"/>
          <w:sz w:val="28"/>
          <w:szCs w:val="28"/>
        </w:rPr>
        <w:tab/>
      </w:r>
      <w:r w:rsidRPr="00646DE4">
        <w:rPr>
          <w:rFonts w:eastAsia="標楷體"/>
          <w:sz w:val="28"/>
          <w:szCs w:val="28"/>
        </w:rPr>
        <w:t>政府設有毋須供款的社會保障制度（包括綜合社會保障援助計劃（綜援）和公共福利金計劃）照顧市民的基本及特別需要。社會保障受助人可按需要，選擇領取綜援或公共福利金計劃下的其中一項津貼。各項社會保障金額及其經濟審查限額（如適用</w:t>
      </w:r>
      <w:bookmarkStart w:id="9" w:name="_Hlk7911326"/>
      <w:r w:rsidRPr="00646DE4">
        <w:rPr>
          <w:rFonts w:eastAsia="標楷體"/>
          <w:sz w:val="28"/>
          <w:szCs w:val="28"/>
        </w:rPr>
        <w:t>）</w:t>
      </w:r>
      <w:bookmarkEnd w:id="9"/>
      <w:r w:rsidRPr="00646DE4">
        <w:rPr>
          <w:rFonts w:eastAsia="標楷體"/>
          <w:sz w:val="28"/>
          <w:szCs w:val="28"/>
        </w:rPr>
        <w:t>會按年調整以反映物價變動。有關金額自</w:t>
      </w:r>
      <w:r w:rsidRPr="00646DE4">
        <w:rPr>
          <w:rFonts w:eastAsia="標楷體"/>
          <w:sz w:val="28"/>
          <w:szCs w:val="28"/>
        </w:rPr>
        <w:t>2010</w:t>
      </w:r>
      <w:r w:rsidRPr="00646DE4">
        <w:rPr>
          <w:rFonts w:eastAsia="標楷體"/>
          <w:sz w:val="28"/>
          <w:szCs w:val="28"/>
        </w:rPr>
        <w:t>年以來已上調約</w:t>
      </w:r>
      <w:r w:rsidRPr="00646DE4">
        <w:rPr>
          <w:rFonts w:eastAsia="標楷體"/>
          <w:sz w:val="28"/>
          <w:szCs w:val="28"/>
        </w:rPr>
        <w:t>35%</w:t>
      </w:r>
      <w:r w:rsidRPr="00646DE4">
        <w:rPr>
          <w:rFonts w:eastAsia="標楷體"/>
          <w:sz w:val="28"/>
          <w:szCs w:val="28"/>
        </w:rPr>
        <w:t>。</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9.2</w:t>
      </w:r>
      <w:r w:rsidRPr="00646DE4">
        <w:rPr>
          <w:rFonts w:eastAsia="標楷體"/>
          <w:sz w:val="28"/>
          <w:szCs w:val="28"/>
        </w:rPr>
        <w:tab/>
      </w:r>
      <w:r w:rsidRPr="00646DE4">
        <w:rPr>
          <w:rFonts w:eastAsia="標楷體"/>
          <w:sz w:val="28"/>
          <w:szCs w:val="28"/>
        </w:rPr>
        <w:t>綜援及公共福利金計劃在</w:t>
      </w:r>
      <w:r w:rsidRPr="00646DE4">
        <w:rPr>
          <w:rFonts w:eastAsia="標楷體"/>
          <w:sz w:val="28"/>
          <w:szCs w:val="28"/>
        </w:rPr>
        <w:t>2018-19</w:t>
      </w:r>
      <w:r w:rsidRPr="00646DE4">
        <w:rPr>
          <w:rFonts w:eastAsia="標楷體"/>
          <w:sz w:val="28"/>
          <w:szCs w:val="28"/>
        </w:rPr>
        <w:t>年度的預算經常開支合共約為</w:t>
      </w:r>
      <w:r w:rsidRPr="00646DE4">
        <w:rPr>
          <w:rFonts w:eastAsia="標楷體"/>
          <w:sz w:val="28"/>
          <w:szCs w:val="28"/>
        </w:rPr>
        <w:t>520</w:t>
      </w:r>
      <w:r w:rsidRPr="00646DE4">
        <w:rPr>
          <w:rFonts w:eastAsia="標楷體"/>
          <w:sz w:val="28"/>
          <w:szCs w:val="28"/>
        </w:rPr>
        <w:t>億元，佔政府經常開支約</w:t>
      </w:r>
      <w:r w:rsidRPr="00646DE4">
        <w:rPr>
          <w:rFonts w:eastAsia="標楷體"/>
          <w:sz w:val="28"/>
          <w:szCs w:val="28"/>
        </w:rPr>
        <w:t>13%</w:t>
      </w:r>
      <w:r w:rsidRPr="00646DE4">
        <w:rPr>
          <w:rFonts w:eastAsia="標楷體"/>
          <w:sz w:val="28"/>
          <w:szCs w:val="28"/>
        </w:rPr>
        <w:t>，較</w:t>
      </w:r>
      <w:r w:rsidRPr="00646DE4">
        <w:rPr>
          <w:rFonts w:eastAsia="標楷體"/>
          <w:sz w:val="28"/>
          <w:szCs w:val="28"/>
        </w:rPr>
        <w:t>2009-10</w:t>
      </w:r>
      <w:r w:rsidRPr="00646DE4">
        <w:rPr>
          <w:rFonts w:eastAsia="標楷體"/>
          <w:sz w:val="28"/>
          <w:szCs w:val="28"/>
        </w:rPr>
        <w:t>年度的約</w:t>
      </w:r>
      <w:r w:rsidRPr="00646DE4">
        <w:rPr>
          <w:rFonts w:eastAsia="標楷體"/>
          <w:sz w:val="28"/>
          <w:szCs w:val="28"/>
        </w:rPr>
        <w:t>260</w:t>
      </w:r>
      <w:r w:rsidRPr="00646DE4">
        <w:rPr>
          <w:rFonts w:eastAsia="標楷體"/>
          <w:sz w:val="28"/>
          <w:szCs w:val="28"/>
        </w:rPr>
        <w:t>億元顯著上升一倍。</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9.3</w:t>
      </w:r>
      <w:r w:rsidRPr="00646DE4">
        <w:rPr>
          <w:rFonts w:eastAsia="標楷體"/>
          <w:sz w:val="28"/>
          <w:szCs w:val="28"/>
        </w:rPr>
        <w:tab/>
      </w:r>
      <w:r w:rsidRPr="00646DE4">
        <w:rPr>
          <w:rFonts w:eastAsia="標楷體"/>
          <w:sz w:val="28"/>
          <w:szCs w:val="28"/>
        </w:rPr>
        <w:t>綜援旨在為因年老、殘疾、患病、失業和低收入等原因在經濟上無法自給自足的人士，提供最後的安全網。不同類別的綜援受助人可獲發不同的標準金額</w:t>
      </w:r>
      <w:r w:rsidRPr="00646DE4">
        <w:rPr>
          <w:rFonts w:eastAsia="標楷體"/>
          <w:sz w:val="28"/>
          <w:szCs w:val="28"/>
          <w:lang w:eastAsia="zh-HK"/>
        </w:rPr>
        <w:t>、</w:t>
      </w:r>
      <w:r w:rsidRPr="00646DE4">
        <w:rPr>
          <w:rFonts w:eastAsia="標楷體"/>
          <w:sz w:val="28"/>
          <w:szCs w:val="28"/>
        </w:rPr>
        <w:t>額外的補助金（例如單親補助金、社區生活補助金、交通補助金和院舍照顧補助金等）及特別津貼（例如租金津貼、醫療及復康津貼等）。受助人同時可獲豁免公營醫療服務的收費。</w:t>
      </w:r>
      <w:r w:rsidRPr="00646DE4">
        <w:rPr>
          <w:rFonts w:eastAsia="標楷體"/>
          <w:sz w:val="28"/>
          <w:szCs w:val="28"/>
          <w:lang w:eastAsia="zh-HK"/>
        </w:rPr>
        <w:t>最新情</w:t>
      </w:r>
      <w:r w:rsidRPr="00646DE4">
        <w:rPr>
          <w:rFonts w:eastAsia="標楷體"/>
          <w:sz w:val="28"/>
          <w:szCs w:val="28"/>
        </w:rPr>
        <w:t>況</w:t>
      </w:r>
      <w:r w:rsidRPr="00646DE4">
        <w:rPr>
          <w:rFonts w:eastAsia="標楷體"/>
          <w:sz w:val="28"/>
          <w:szCs w:val="28"/>
          <w:lang w:eastAsia="zh-HK"/>
        </w:rPr>
        <w:t>見</w:t>
      </w:r>
      <w:r w:rsidRPr="00646DE4">
        <w:rPr>
          <w:rFonts w:eastAsia="標楷體"/>
          <w:b/>
          <w:sz w:val="28"/>
          <w:szCs w:val="28"/>
          <w:lang w:eastAsia="zh-HK"/>
        </w:rPr>
        <w:t>附件</w:t>
      </w:r>
      <w:r w:rsidRPr="00646DE4">
        <w:rPr>
          <w:rFonts w:eastAsia="標楷體"/>
          <w:b/>
          <w:sz w:val="28"/>
          <w:szCs w:val="28"/>
        </w:rPr>
        <w:t>9</w:t>
      </w:r>
      <w:r w:rsidRPr="00646DE4">
        <w:rPr>
          <w:rFonts w:eastAsia="標楷體"/>
          <w:b/>
          <w:sz w:val="28"/>
          <w:szCs w:val="28"/>
          <w:lang w:eastAsia="zh-HK"/>
        </w:rPr>
        <w:t>A</w:t>
      </w:r>
      <w:r w:rsidRPr="00646DE4">
        <w:rPr>
          <w:rFonts w:eastAsia="標楷體"/>
          <w:sz w:val="28"/>
          <w:szCs w:val="28"/>
        </w:rPr>
        <w:t>。</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9.4</w:t>
      </w:r>
      <w:r w:rsidRPr="00646DE4">
        <w:rPr>
          <w:rFonts w:eastAsia="標楷體"/>
          <w:sz w:val="28"/>
          <w:szCs w:val="28"/>
        </w:rPr>
        <w:tab/>
      </w:r>
      <w:r w:rsidRPr="00646DE4">
        <w:rPr>
          <w:rFonts w:eastAsia="標楷體"/>
          <w:sz w:val="28"/>
          <w:szCs w:val="28"/>
          <w:lang w:eastAsia="zh-HK"/>
        </w:rPr>
        <w:t>上次</w:t>
      </w:r>
      <w:r w:rsidRPr="00646DE4">
        <w:rPr>
          <w:rFonts w:eastAsia="標楷體"/>
          <w:sz w:val="28"/>
          <w:szCs w:val="28"/>
        </w:rPr>
        <w:t>審議結論第</w:t>
      </w:r>
      <w:r w:rsidRPr="00646DE4">
        <w:rPr>
          <w:rFonts w:eastAsia="標楷體"/>
          <w:sz w:val="28"/>
          <w:szCs w:val="28"/>
        </w:rPr>
        <w:t>45</w:t>
      </w:r>
      <w:r w:rsidRPr="00646DE4">
        <w:rPr>
          <w:rFonts w:eastAsia="標楷體"/>
          <w:sz w:val="28"/>
          <w:szCs w:val="28"/>
        </w:rPr>
        <w:t>段中提及綜援的居港規定，我們必須強調，政府已按終審法院在</w:t>
      </w:r>
      <w:r w:rsidRPr="00646DE4">
        <w:rPr>
          <w:rFonts w:eastAsia="標楷體"/>
          <w:sz w:val="28"/>
          <w:szCs w:val="28"/>
        </w:rPr>
        <w:t>2013</w:t>
      </w:r>
      <w:r w:rsidRPr="00646DE4">
        <w:rPr>
          <w:rFonts w:eastAsia="標楷體"/>
          <w:sz w:val="28"/>
          <w:szCs w:val="28"/>
        </w:rPr>
        <w:t>年的裁決放寬了相關規定</w:t>
      </w:r>
      <w:r w:rsidRPr="00646DE4">
        <w:rPr>
          <w:rStyle w:val="a9"/>
          <w:rFonts w:eastAsia="標楷體"/>
          <w:sz w:val="28"/>
          <w:szCs w:val="28"/>
        </w:rPr>
        <w:footnoteReference w:id="1"/>
      </w:r>
      <w:r w:rsidRPr="00646DE4">
        <w:rPr>
          <w:rFonts w:eastAsia="標楷體"/>
          <w:sz w:val="28"/>
          <w:szCs w:val="28"/>
        </w:rPr>
        <w:t>，即除滿足其他申請資格外，任何人士如滿足居港一年（而非早前的七年）的規定後，便符合申領綜援的資格。這項規定旨在確保津貼領取者與香港有確切及長期聯繫。我們須平衡社會利益，顧及社會保障制度的長期持續性及為如何分配公共資源提供基礎。然而，社會福利署（社署）署長在特殊情況下可酌情向未符合居港規定的人士發放綜援。一如以往，</w:t>
      </w:r>
      <w:r w:rsidRPr="00646DE4">
        <w:rPr>
          <w:rFonts w:eastAsia="標楷體"/>
          <w:sz w:val="28"/>
          <w:szCs w:val="28"/>
        </w:rPr>
        <w:t>18</w:t>
      </w:r>
      <w:r w:rsidRPr="00646DE4">
        <w:rPr>
          <w:rFonts w:eastAsia="標楷體"/>
          <w:sz w:val="28"/>
          <w:szCs w:val="28"/>
        </w:rPr>
        <w:t>歲以下的人士亦可獲豁免於居港規定。</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9.5</w:t>
      </w:r>
      <w:r w:rsidRPr="00646DE4">
        <w:rPr>
          <w:rFonts w:eastAsia="標楷體"/>
          <w:sz w:val="28"/>
          <w:szCs w:val="28"/>
        </w:rPr>
        <w:tab/>
      </w:r>
      <w:r w:rsidRPr="00646DE4">
        <w:rPr>
          <w:rFonts w:eastAsia="標楷體"/>
          <w:sz w:val="28"/>
          <w:szCs w:val="28"/>
        </w:rPr>
        <w:t>綜援同時鼓勵健全人士透過就業自力更生。繼上次報告第</w:t>
      </w:r>
      <w:r w:rsidRPr="00646DE4">
        <w:rPr>
          <w:rFonts w:eastAsia="標楷體"/>
          <w:sz w:val="28"/>
          <w:szCs w:val="28"/>
        </w:rPr>
        <w:t>9.14</w:t>
      </w:r>
      <w:r w:rsidRPr="00646DE4">
        <w:rPr>
          <w:rFonts w:eastAsia="標楷體"/>
          <w:sz w:val="28"/>
          <w:szCs w:val="28"/>
        </w:rPr>
        <w:t>至</w:t>
      </w:r>
      <w:r w:rsidRPr="00646DE4">
        <w:rPr>
          <w:rFonts w:eastAsia="標楷體"/>
          <w:sz w:val="28"/>
          <w:szCs w:val="28"/>
        </w:rPr>
        <w:t>9.16</w:t>
      </w:r>
      <w:r w:rsidRPr="00646DE4">
        <w:rPr>
          <w:rFonts w:eastAsia="標楷體"/>
          <w:sz w:val="28"/>
          <w:szCs w:val="28"/>
        </w:rPr>
        <w:t>段所述經優化的自力更生支援計劃，政府在</w:t>
      </w:r>
      <w:r w:rsidRPr="00646DE4">
        <w:rPr>
          <w:rFonts w:eastAsia="標楷體"/>
          <w:sz w:val="28"/>
          <w:szCs w:val="28"/>
        </w:rPr>
        <w:t>2013</w:t>
      </w:r>
      <w:r w:rsidRPr="00646DE4">
        <w:rPr>
          <w:rFonts w:eastAsia="標楷體"/>
          <w:sz w:val="28"/>
          <w:szCs w:val="28"/>
        </w:rPr>
        <w:t>年</w:t>
      </w:r>
      <w:r w:rsidRPr="00646DE4">
        <w:rPr>
          <w:rFonts w:eastAsia="標楷體"/>
          <w:sz w:val="28"/>
          <w:szCs w:val="28"/>
        </w:rPr>
        <w:t>1</w:t>
      </w:r>
      <w:r w:rsidRPr="00646DE4">
        <w:rPr>
          <w:rFonts w:eastAsia="標楷體"/>
          <w:sz w:val="28"/>
          <w:szCs w:val="28"/>
        </w:rPr>
        <w:t>月</w:t>
      </w:r>
      <w:r w:rsidRPr="00646DE4">
        <w:rPr>
          <w:rFonts w:eastAsia="標楷體"/>
          <w:sz w:val="28"/>
          <w:szCs w:val="28"/>
        </w:rPr>
        <w:lastRenderedPageBreak/>
        <w:t>推出「自力更生綜合就業援助計劃」，整合和優化綜援計劃下的各項就業援助服務，以進一步鼓勵自立，並協助失業的健全綜援受助人重投工作。</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9.6</w:t>
      </w:r>
      <w:r w:rsidRPr="00646DE4">
        <w:rPr>
          <w:rFonts w:eastAsia="標楷體"/>
          <w:sz w:val="28"/>
          <w:szCs w:val="28"/>
        </w:rPr>
        <w:tab/>
      </w:r>
      <w:r w:rsidRPr="00646DE4">
        <w:rPr>
          <w:rFonts w:eastAsia="標楷體"/>
          <w:sz w:val="28"/>
          <w:szCs w:val="28"/>
        </w:rPr>
        <w:t>公共福利金計劃下設有不同津貼，以照顧申請人的不同需要，</w:t>
      </w:r>
      <w:r w:rsidRPr="00646DE4">
        <w:rPr>
          <w:rFonts w:eastAsia="標楷體"/>
          <w:sz w:val="28"/>
          <w:szCs w:val="28"/>
          <w:lang w:eastAsia="zh-HK"/>
        </w:rPr>
        <w:t>詳見</w:t>
      </w:r>
      <w:r w:rsidRPr="00646DE4">
        <w:rPr>
          <w:rFonts w:eastAsia="標楷體"/>
          <w:b/>
          <w:sz w:val="28"/>
          <w:szCs w:val="28"/>
          <w:lang w:eastAsia="zh-HK"/>
        </w:rPr>
        <w:t>附件</w:t>
      </w:r>
      <w:r w:rsidRPr="00646DE4">
        <w:rPr>
          <w:rFonts w:eastAsia="標楷體"/>
          <w:b/>
          <w:sz w:val="28"/>
          <w:szCs w:val="28"/>
        </w:rPr>
        <w:t>9B</w:t>
      </w:r>
      <w:r w:rsidRPr="00646DE4">
        <w:rPr>
          <w:rFonts w:eastAsia="標楷體"/>
          <w:sz w:val="28"/>
          <w:szCs w:val="28"/>
        </w:rPr>
        <w:t>。該計劃在</w:t>
      </w:r>
      <w:r w:rsidRPr="00646DE4">
        <w:rPr>
          <w:rFonts w:eastAsia="標楷體"/>
          <w:sz w:val="28"/>
          <w:szCs w:val="28"/>
        </w:rPr>
        <w:t>2018-19</w:t>
      </w:r>
      <w:r w:rsidRPr="00646DE4">
        <w:rPr>
          <w:rFonts w:eastAsia="標楷體"/>
          <w:sz w:val="28"/>
          <w:szCs w:val="28"/>
        </w:rPr>
        <w:t>年的預計經常開支約為</w:t>
      </w:r>
      <w:r w:rsidRPr="00646DE4">
        <w:rPr>
          <w:rFonts w:eastAsia="標楷體"/>
          <w:sz w:val="28"/>
          <w:szCs w:val="28"/>
        </w:rPr>
        <w:t>320</w:t>
      </w:r>
      <w:r w:rsidRPr="00646DE4">
        <w:rPr>
          <w:rFonts w:eastAsia="標楷體"/>
          <w:sz w:val="28"/>
          <w:szCs w:val="28"/>
        </w:rPr>
        <w:t>億元，較</w:t>
      </w:r>
      <w:r w:rsidRPr="00646DE4">
        <w:rPr>
          <w:rFonts w:eastAsia="標楷體"/>
          <w:sz w:val="28"/>
          <w:szCs w:val="28"/>
        </w:rPr>
        <w:t>2009-10</w:t>
      </w:r>
      <w:r w:rsidRPr="00646DE4">
        <w:rPr>
          <w:rFonts w:eastAsia="標楷體"/>
          <w:sz w:val="28"/>
          <w:szCs w:val="28"/>
        </w:rPr>
        <w:t>年約</w:t>
      </w:r>
      <w:r w:rsidRPr="00646DE4">
        <w:rPr>
          <w:rFonts w:eastAsia="標楷體"/>
          <w:sz w:val="28"/>
          <w:szCs w:val="28"/>
        </w:rPr>
        <w:t>80</w:t>
      </w:r>
      <w:r w:rsidRPr="00646DE4">
        <w:rPr>
          <w:rFonts w:eastAsia="標楷體"/>
          <w:sz w:val="28"/>
          <w:szCs w:val="28"/>
        </w:rPr>
        <w:t>億元增加約</w:t>
      </w:r>
      <w:r w:rsidRPr="00646DE4">
        <w:rPr>
          <w:rFonts w:eastAsia="標楷體"/>
          <w:sz w:val="28"/>
          <w:szCs w:val="28"/>
        </w:rPr>
        <w:t>300%</w:t>
      </w:r>
      <w:r w:rsidRPr="00646DE4">
        <w:rPr>
          <w:rFonts w:eastAsia="標楷體"/>
          <w:sz w:val="28"/>
          <w:szCs w:val="28"/>
        </w:rPr>
        <w:t>。</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b/>
          <w:sz w:val="28"/>
          <w:szCs w:val="28"/>
        </w:rPr>
      </w:pPr>
      <w:r w:rsidRPr="00646DE4">
        <w:rPr>
          <w:rFonts w:eastAsia="標楷體"/>
          <w:b/>
          <w:sz w:val="28"/>
          <w:szCs w:val="28"/>
        </w:rPr>
        <w:t>工資保障及法定權益</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9.7</w:t>
      </w:r>
      <w:r w:rsidRPr="00646DE4">
        <w:rPr>
          <w:rFonts w:eastAsia="標楷體"/>
          <w:sz w:val="28"/>
          <w:szCs w:val="28"/>
        </w:rPr>
        <w:tab/>
      </w:r>
      <w:r w:rsidRPr="00646DE4">
        <w:rPr>
          <w:rFonts w:eastAsia="標楷體"/>
          <w:sz w:val="28"/>
          <w:szCs w:val="28"/>
        </w:rPr>
        <w:t>有關工資及各種法定權益及福利的保障，情況與上次報告第</w:t>
      </w:r>
      <w:r w:rsidRPr="00646DE4">
        <w:rPr>
          <w:rFonts w:eastAsia="標楷體"/>
          <w:sz w:val="28"/>
          <w:szCs w:val="28"/>
        </w:rPr>
        <w:t>9.22</w:t>
      </w:r>
      <w:r w:rsidRPr="00646DE4">
        <w:rPr>
          <w:rFonts w:eastAsia="標楷體"/>
          <w:sz w:val="28"/>
          <w:szCs w:val="28"/>
        </w:rPr>
        <w:t>至</w:t>
      </w:r>
      <w:r w:rsidRPr="00646DE4">
        <w:rPr>
          <w:rFonts w:eastAsia="標楷體"/>
          <w:sz w:val="28"/>
          <w:szCs w:val="28"/>
        </w:rPr>
        <w:t>9.27</w:t>
      </w:r>
      <w:r w:rsidRPr="00646DE4">
        <w:rPr>
          <w:rFonts w:eastAsia="標楷體"/>
          <w:sz w:val="28"/>
          <w:szCs w:val="28"/>
        </w:rPr>
        <w:t>段所闡釋的大致相同。於</w:t>
      </w:r>
      <w:r w:rsidRPr="00646DE4">
        <w:rPr>
          <w:rFonts w:eastAsia="標楷體"/>
          <w:sz w:val="28"/>
          <w:szCs w:val="28"/>
        </w:rPr>
        <w:t>2010</w:t>
      </w:r>
      <w:r w:rsidRPr="00646DE4">
        <w:rPr>
          <w:rFonts w:eastAsia="標楷體"/>
          <w:sz w:val="28"/>
          <w:szCs w:val="28"/>
        </w:rPr>
        <w:t>年</w:t>
      </w:r>
      <w:r w:rsidRPr="00646DE4">
        <w:rPr>
          <w:rFonts w:eastAsia="標楷體"/>
          <w:sz w:val="28"/>
          <w:szCs w:val="28"/>
        </w:rPr>
        <w:t>10</w:t>
      </w:r>
      <w:r w:rsidRPr="00646DE4">
        <w:rPr>
          <w:rFonts w:eastAsia="標楷體"/>
          <w:sz w:val="28"/>
          <w:szCs w:val="28"/>
        </w:rPr>
        <w:t>月實施的《</w:t>
      </w:r>
      <w:r w:rsidRPr="00646DE4">
        <w:rPr>
          <w:rFonts w:eastAsia="標楷體"/>
          <w:sz w:val="28"/>
          <w:szCs w:val="28"/>
        </w:rPr>
        <w:t>2010</w:t>
      </w:r>
      <w:r w:rsidRPr="00646DE4">
        <w:rPr>
          <w:rFonts w:eastAsia="標楷體"/>
          <w:sz w:val="28"/>
          <w:szCs w:val="28"/>
        </w:rPr>
        <w:t>年僱傭（修訂）條例》加強僱員的工資保障：僱主若故意及無合理辯解而不支付勞資審裁處或小額薪酬索償仲裁處的裁斷款項，而有關款項包括《僱傭條例》下附有刑事制裁的工資及權利，可被檢控，最高刑罰為罰款</w:t>
      </w:r>
      <w:r w:rsidRPr="00646DE4">
        <w:rPr>
          <w:rFonts w:eastAsia="標楷體"/>
          <w:sz w:val="28"/>
          <w:szCs w:val="28"/>
        </w:rPr>
        <w:t>35</w:t>
      </w:r>
      <w:r w:rsidRPr="00646DE4">
        <w:rPr>
          <w:rFonts w:eastAsia="標楷體"/>
          <w:sz w:val="28"/>
          <w:szCs w:val="28"/>
        </w:rPr>
        <w:t>萬元及監禁三年。</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b/>
          <w:sz w:val="28"/>
          <w:szCs w:val="28"/>
        </w:rPr>
      </w:pPr>
      <w:r w:rsidRPr="00646DE4">
        <w:rPr>
          <w:rFonts w:eastAsia="標楷體"/>
          <w:b/>
          <w:sz w:val="28"/>
          <w:szCs w:val="28"/>
        </w:rPr>
        <w:t>僱員補償</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9.8</w:t>
      </w:r>
      <w:r w:rsidRPr="00646DE4">
        <w:rPr>
          <w:rFonts w:eastAsia="標楷體"/>
          <w:sz w:val="28"/>
          <w:szCs w:val="28"/>
        </w:rPr>
        <w:tab/>
      </w:r>
      <w:r w:rsidRPr="00646DE4">
        <w:rPr>
          <w:rFonts w:eastAsia="標楷體"/>
          <w:sz w:val="28"/>
          <w:szCs w:val="28"/>
        </w:rPr>
        <w:t>一般情況與上次報告第</w:t>
      </w:r>
      <w:r w:rsidRPr="00646DE4">
        <w:rPr>
          <w:rFonts w:eastAsia="標楷體"/>
          <w:sz w:val="28"/>
          <w:szCs w:val="28"/>
        </w:rPr>
        <w:t>9.28</w:t>
      </w:r>
      <w:r w:rsidRPr="00646DE4">
        <w:rPr>
          <w:rFonts w:eastAsia="標楷體"/>
          <w:sz w:val="28"/>
          <w:szCs w:val="28"/>
        </w:rPr>
        <w:t>至</w:t>
      </w:r>
      <w:r w:rsidRPr="00646DE4">
        <w:rPr>
          <w:rFonts w:eastAsia="標楷體"/>
          <w:sz w:val="28"/>
          <w:szCs w:val="28"/>
        </w:rPr>
        <w:t>9.31</w:t>
      </w:r>
      <w:r w:rsidRPr="00646DE4">
        <w:rPr>
          <w:rFonts w:eastAsia="標楷體"/>
          <w:sz w:val="28"/>
          <w:szCs w:val="28"/>
        </w:rPr>
        <w:t>段所述相同。政府在適當情況下按機制每兩年調整《僱員補償條例》（</w:t>
      </w:r>
      <w:r w:rsidRPr="00646DE4">
        <w:rPr>
          <w:rFonts w:eastAsia="標楷體"/>
          <w:sz w:val="28"/>
          <w:szCs w:val="28"/>
          <w:lang w:eastAsia="zh-HK"/>
        </w:rPr>
        <w:t>第</w:t>
      </w:r>
      <w:r w:rsidRPr="00646DE4">
        <w:rPr>
          <w:rFonts w:eastAsia="標楷體"/>
          <w:sz w:val="28"/>
          <w:szCs w:val="28"/>
        </w:rPr>
        <w:t>282</w:t>
      </w:r>
      <w:r w:rsidRPr="00646DE4">
        <w:rPr>
          <w:rFonts w:eastAsia="標楷體"/>
          <w:sz w:val="28"/>
          <w:szCs w:val="28"/>
          <w:lang w:eastAsia="zh-HK"/>
        </w:rPr>
        <w:t>章</w:t>
      </w:r>
      <w:r w:rsidRPr="00646DE4">
        <w:rPr>
          <w:rFonts w:eastAsia="標楷體"/>
          <w:sz w:val="28"/>
          <w:szCs w:val="28"/>
        </w:rPr>
        <w:t>）所規定的補償金額，現行補償金額載於</w:t>
      </w:r>
      <w:r w:rsidRPr="00646DE4">
        <w:rPr>
          <w:rFonts w:eastAsia="標楷體"/>
          <w:b/>
          <w:sz w:val="28"/>
          <w:szCs w:val="28"/>
        </w:rPr>
        <w:t>附件</w:t>
      </w:r>
      <w:r w:rsidRPr="00646DE4">
        <w:rPr>
          <w:rFonts w:eastAsia="標楷體"/>
          <w:b/>
          <w:sz w:val="28"/>
          <w:szCs w:val="28"/>
        </w:rPr>
        <w:t>9C</w:t>
      </w:r>
      <w:r w:rsidRPr="00646DE4">
        <w:rPr>
          <w:rFonts w:eastAsia="標楷體"/>
          <w:sz w:val="28"/>
          <w:szCs w:val="28"/>
        </w:rPr>
        <w:t>。</w:t>
      </w:r>
      <w:r w:rsidRPr="00646DE4">
        <w:rPr>
          <w:rFonts w:eastAsia="標楷體"/>
          <w:sz w:val="28"/>
          <w:szCs w:val="28"/>
        </w:rPr>
        <w:t xml:space="preserve"> </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9.9</w:t>
      </w:r>
      <w:r w:rsidRPr="00646DE4">
        <w:rPr>
          <w:rFonts w:eastAsia="標楷體"/>
          <w:sz w:val="28"/>
          <w:szCs w:val="28"/>
        </w:rPr>
        <w:tab/>
      </w:r>
      <w:r w:rsidRPr="00646DE4">
        <w:rPr>
          <w:rFonts w:eastAsia="標楷體"/>
          <w:sz w:val="28"/>
          <w:szCs w:val="28"/>
          <w:lang w:eastAsia="zh-HK"/>
        </w:rPr>
        <w:t>關</w:t>
      </w:r>
      <w:r w:rsidRPr="00646DE4">
        <w:rPr>
          <w:rFonts w:eastAsia="標楷體"/>
          <w:sz w:val="28"/>
          <w:szCs w:val="28"/>
        </w:rPr>
        <w:t>於肺塵埃沉着病及間皮瘤</w:t>
      </w:r>
      <w:r w:rsidRPr="00646DE4">
        <w:rPr>
          <w:rFonts w:eastAsia="標楷體"/>
          <w:sz w:val="28"/>
          <w:szCs w:val="28"/>
          <w:lang w:eastAsia="zh-HK"/>
        </w:rPr>
        <w:t>及職業性失聰補償詳見</w:t>
      </w:r>
      <w:r w:rsidRPr="00646DE4">
        <w:rPr>
          <w:rFonts w:eastAsia="標楷體"/>
          <w:b/>
          <w:sz w:val="28"/>
          <w:szCs w:val="28"/>
          <w:lang w:eastAsia="zh-HK"/>
        </w:rPr>
        <w:t>附件</w:t>
      </w:r>
      <w:r w:rsidRPr="00646DE4">
        <w:rPr>
          <w:rFonts w:eastAsia="標楷體"/>
          <w:b/>
          <w:sz w:val="28"/>
          <w:szCs w:val="28"/>
          <w:lang w:eastAsia="zh-HK"/>
        </w:rPr>
        <w:t>7C</w:t>
      </w:r>
      <w:r w:rsidRPr="00646DE4">
        <w:rPr>
          <w:rFonts w:eastAsia="標楷體"/>
          <w:b/>
          <w:sz w:val="28"/>
          <w:szCs w:val="28"/>
          <w:lang w:eastAsia="zh-HK"/>
        </w:rPr>
        <w:t>及</w:t>
      </w:r>
      <w:r w:rsidRPr="00646DE4">
        <w:rPr>
          <w:rFonts w:eastAsia="標楷體"/>
          <w:b/>
          <w:sz w:val="28"/>
          <w:szCs w:val="28"/>
          <w:lang w:eastAsia="zh-HK"/>
        </w:rPr>
        <w:t>7D</w:t>
      </w:r>
      <w:r w:rsidRPr="00646DE4">
        <w:rPr>
          <w:rFonts w:eastAsia="標楷體"/>
          <w:sz w:val="28"/>
          <w:szCs w:val="28"/>
        </w:rPr>
        <w:t>。</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b/>
          <w:sz w:val="28"/>
          <w:szCs w:val="28"/>
        </w:rPr>
      </w:pPr>
      <w:r w:rsidRPr="00646DE4">
        <w:rPr>
          <w:rFonts w:eastAsia="標楷體"/>
          <w:b/>
          <w:sz w:val="28"/>
          <w:szCs w:val="28"/>
        </w:rPr>
        <w:t>退休福利及保障</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9.10</w:t>
      </w:r>
      <w:r w:rsidRPr="00646DE4">
        <w:rPr>
          <w:rFonts w:eastAsia="標楷體"/>
          <w:sz w:val="28"/>
          <w:szCs w:val="28"/>
        </w:rPr>
        <w:tab/>
      </w:r>
      <w:r w:rsidRPr="00646DE4">
        <w:rPr>
          <w:rFonts w:eastAsia="標楷體"/>
          <w:sz w:val="28"/>
          <w:szCs w:val="28"/>
        </w:rPr>
        <w:t>香港現時採納多根支柱模式的退休保障制度，包括由公帑支付的社會保障制度、與職業掛鈎的強制性退休保障計劃（包括強積金計劃）、自願性儲蓄，以及公共服務、家庭支援及個人資產。政府</w:t>
      </w:r>
      <w:r w:rsidRPr="008D209A">
        <w:rPr>
          <w:rFonts w:eastAsia="標楷體"/>
          <w:spacing w:val="2"/>
          <w:sz w:val="28"/>
          <w:szCs w:val="28"/>
        </w:rPr>
        <w:t>不時強化每根支柱，使它們更能彼此配合補足，照顧長者的退休需要。</w:t>
      </w:r>
      <w:r w:rsidRPr="00646DE4">
        <w:rPr>
          <w:rFonts w:eastAsia="標楷體"/>
          <w:sz w:val="28"/>
          <w:szCs w:val="28"/>
        </w:rPr>
        <w:t>在</w:t>
      </w:r>
      <w:r w:rsidRPr="00646DE4">
        <w:rPr>
          <w:rFonts w:eastAsia="標楷體"/>
          <w:sz w:val="28"/>
          <w:szCs w:val="28"/>
        </w:rPr>
        <w:t>2015</w:t>
      </w:r>
      <w:r w:rsidRPr="00646DE4">
        <w:rPr>
          <w:rFonts w:eastAsia="標楷體"/>
          <w:sz w:val="28"/>
          <w:szCs w:val="28"/>
        </w:rPr>
        <w:t>年</w:t>
      </w:r>
      <w:r w:rsidRPr="00646DE4">
        <w:rPr>
          <w:rFonts w:eastAsia="標楷體"/>
          <w:sz w:val="28"/>
          <w:szCs w:val="28"/>
        </w:rPr>
        <w:t>12</w:t>
      </w:r>
      <w:r w:rsidRPr="00646DE4">
        <w:rPr>
          <w:rFonts w:eastAsia="標楷體"/>
          <w:sz w:val="28"/>
          <w:szCs w:val="28"/>
        </w:rPr>
        <w:t>月進行了為期六個月的公眾諮詢後，政府宣布了多項的改善措施，包括優化長者生活津貼（即放寬普通長者生活津貼的</w:t>
      </w:r>
      <w:r w:rsidRPr="00646DE4">
        <w:rPr>
          <w:rFonts w:eastAsia="標楷體"/>
          <w:sz w:val="28"/>
          <w:szCs w:val="28"/>
        </w:rPr>
        <w:lastRenderedPageBreak/>
        <w:t>資產上限及實施高額長者生活津貼）；讓領取高額長者生活津貼的</w:t>
      </w:r>
      <w:r w:rsidRPr="00646DE4">
        <w:rPr>
          <w:rFonts w:eastAsia="標楷體"/>
          <w:sz w:val="28"/>
          <w:szCs w:val="28"/>
        </w:rPr>
        <w:t>75</w:t>
      </w:r>
      <w:r w:rsidRPr="00646DE4">
        <w:rPr>
          <w:rFonts w:eastAsia="標楷體"/>
          <w:sz w:val="28"/>
          <w:szCs w:val="28"/>
        </w:rPr>
        <w:t>歲或以上的長者免費接受公營醫療服務及降低長者醫療券的合資格年齡以加強長者醫療；以及推出公共年金計劃，為年長市民提供多一項理財選擇。</w:t>
      </w: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p>
    <w:p w:rsidR="006D2061" w:rsidRPr="00646DE4" w:rsidRDefault="006D2061" w:rsidP="008375BB">
      <w:pPr>
        <w:pStyle w:val="2"/>
        <w:tabs>
          <w:tab w:val="left" w:pos="1440"/>
        </w:tabs>
        <w:snapToGrid w:val="0"/>
        <w:spacing w:line="400" w:lineRule="atLeast"/>
        <w:contextualSpacing/>
        <w:jc w:val="both"/>
        <w:rPr>
          <w:rFonts w:eastAsia="標楷體"/>
          <w:sz w:val="28"/>
          <w:szCs w:val="28"/>
        </w:rPr>
      </w:pPr>
      <w:r w:rsidRPr="00646DE4">
        <w:rPr>
          <w:rFonts w:eastAsia="標楷體"/>
          <w:sz w:val="28"/>
          <w:szCs w:val="28"/>
        </w:rPr>
        <w:t>9.11</w:t>
      </w:r>
      <w:r w:rsidRPr="00646DE4">
        <w:rPr>
          <w:rFonts w:eastAsia="標楷體"/>
          <w:sz w:val="28"/>
          <w:szCs w:val="28"/>
        </w:rPr>
        <w:tab/>
      </w:r>
      <w:r w:rsidRPr="00646DE4">
        <w:rPr>
          <w:rFonts w:eastAsia="標楷體"/>
          <w:sz w:val="28"/>
          <w:szCs w:val="28"/>
        </w:rPr>
        <w:t>政府會繼續在社會保障、醫療服務、社區服務及財務管理等多方面照顧長者的需要，並繼續落實各項強化措施，為退休長者提供更適切及聚焦的保障。</w:t>
      </w:r>
    </w:p>
    <w:p w:rsidR="006D2061" w:rsidRDefault="006D2061" w:rsidP="008375BB">
      <w:pPr>
        <w:pStyle w:val="2"/>
        <w:tabs>
          <w:tab w:val="left" w:pos="1440"/>
        </w:tabs>
        <w:snapToGrid w:val="0"/>
        <w:spacing w:line="400" w:lineRule="atLeast"/>
        <w:contextualSpacing/>
        <w:jc w:val="both"/>
        <w:rPr>
          <w:rFonts w:eastAsia="標楷體"/>
          <w:szCs w:val="28"/>
        </w:rPr>
      </w:pPr>
    </w:p>
    <w:p w:rsidR="008D209A" w:rsidRPr="008D209A" w:rsidRDefault="008D209A">
      <w:pPr>
        <w:widowControl/>
        <w:rPr>
          <w:szCs w:val="28"/>
        </w:rPr>
      </w:pPr>
      <w:r w:rsidRPr="008D209A">
        <w:rPr>
          <w:szCs w:val="28"/>
        </w:rPr>
        <w:br w:type="page"/>
      </w:r>
    </w:p>
    <w:p w:rsidR="006D2061" w:rsidRPr="00CB733C" w:rsidRDefault="006D2061" w:rsidP="008375BB">
      <w:pPr>
        <w:tabs>
          <w:tab w:val="left" w:pos="1440"/>
        </w:tabs>
        <w:adjustRightInd w:val="0"/>
        <w:snapToGrid w:val="0"/>
        <w:spacing w:line="400" w:lineRule="atLeast"/>
        <w:jc w:val="both"/>
        <w:rPr>
          <w:b/>
          <w:szCs w:val="28"/>
          <w:u w:val="single"/>
        </w:rPr>
      </w:pPr>
      <w:r w:rsidRPr="00CB733C">
        <w:rPr>
          <w:b/>
          <w:szCs w:val="28"/>
          <w:u w:val="single"/>
        </w:rPr>
        <w:lastRenderedPageBreak/>
        <w:t>第十條：對家庭的保護</w:t>
      </w:r>
    </w:p>
    <w:p w:rsidR="006D2061" w:rsidRPr="00CB733C" w:rsidRDefault="006D2061" w:rsidP="008375BB">
      <w:pPr>
        <w:pStyle w:val="Web"/>
        <w:tabs>
          <w:tab w:val="left" w:pos="1440"/>
        </w:tabs>
        <w:adjustRightInd w:val="0"/>
        <w:snapToGrid w:val="0"/>
        <w:spacing w:before="0" w:beforeAutospacing="0" w:after="0" w:afterAutospacing="0" w:line="400" w:lineRule="atLeast"/>
        <w:jc w:val="both"/>
        <w:rPr>
          <w:rFonts w:ascii="Times New Roman" w:eastAsia="標楷體" w:hAnsi="Times New Roman" w:cs="Times New Roman"/>
          <w:b/>
          <w:bCs/>
          <w:sz w:val="28"/>
          <w:szCs w:val="28"/>
        </w:rPr>
      </w:pPr>
    </w:p>
    <w:p w:rsidR="006D2061" w:rsidRPr="00CB733C" w:rsidRDefault="006D2061" w:rsidP="008375BB">
      <w:pPr>
        <w:pStyle w:val="Web"/>
        <w:tabs>
          <w:tab w:val="left" w:pos="1440"/>
        </w:tabs>
        <w:adjustRightInd w:val="0"/>
        <w:snapToGrid w:val="0"/>
        <w:spacing w:before="0" w:beforeAutospacing="0" w:after="0" w:afterAutospacing="0" w:line="400" w:lineRule="atLeast"/>
        <w:jc w:val="both"/>
        <w:rPr>
          <w:rFonts w:ascii="Times New Roman" w:eastAsia="標楷體" w:hAnsi="Times New Roman" w:cs="Times New Roman"/>
          <w:b/>
          <w:bCs/>
          <w:sz w:val="28"/>
          <w:szCs w:val="28"/>
        </w:rPr>
      </w:pPr>
      <w:r w:rsidRPr="00CB733C">
        <w:rPr>
          <w:rFonts w:ascii="Times New Roman" w:eastAsia="標楷體" w:hAnsi="Times New Roman" w:cs="Times New Roman"/>
          <w:b/>
          <w:bCs/>
          <w:sz w:val="28"/>
          <w:szCs w:val="28"/>
        </w:rPr>
        <w:t>家庭</w:t>
      </w:r>
    </w:p>
    <w:p w:rsidR="006D2061" w:rsidRPr="00CB733C" w:rsidRDefault="006D2061" w:rsidP="008375BB">
      <w:pPr>
        <w:tabs>
          <w:tab w:val="left" w:pos="1440"/>
        </w:tabs>
        <w:adjustRightInd w:val="0"/>
        <w:snapToGrid w:val="0"/>
        <w:spacing w:line="400" w:lineRule="atLeast"/>
        <w:jc w:val="both"/>
        <w:rPr>
          <w:szCs w:val="28"/>
        </w:rPr>
      </w:pPr>
    </w:p>
    <w:p w:rsidR="006D2061" w:rsidRPr="00CB733C" w:rsidRDefault="006D2061" w:rsidP="008375BB">
      <w:pPr>
        <w:tabs>
          <w:tab w:val="left" w:pos="1440"/>
        </w:tabs>
        <w:adjustRightInd w:val="0"/>
        <w:snapToGrid w:val="0"/>
        <w:spacing w:line="400" w:lineRule="atLeast"/>
        <w:jc w:val="both"/>
        <w:rPr>
          <w:i/>
          <w:szCs w:val="28"/>
        </w:rPr>
      </w:pPr>
      <w:r w:rsidRPr="00CB733C">
        <w:rPr>
          <w:szCs w:val="28"/>
        </w:rPr>
        <w:t>10.1</w:t>
      </w:r>
      <w:r w:rsidRPr="00CB733C">
        <w:rPr>
          <w:szCs w:val="28"/>
        </w:rPr>
        <w:tab/>
      </w:r>
      <w:r w:rsidRPr="00CB733C">
        <w:rPr>
          <w:rFonts w:hint="eastAsia"/>
          <w:szCs w:val="28"/>
        </w:rPr>
        <w:t>情況</w:t>
      </w:r>
      <w:r>
        <w:rPr>
          <w:rFonts w:hint="eastAsia"/>
          <w:szCs w:val="28"/>
        </w:rPr>
        <w:t>(</w:t>
      </w:r>
      <w:r w:rsidRPr="00CB733C">
        <w:rPr>
          <w:rFonts w:hint="eastAsia"/>
          <w:szCs w:val="28"/>
        </w:rPr>
        <w:t>包括</w:t>
      </w:r>
      <w:r>
        <w:rPr>
          <w:szCs w:val="28"/>
        </w:rPr>
        <w:t>“</w:t>
      </w:r>
      <w:r w:rsidRPr="00CB733C">
        <w:rPr>
          <w:szCs w:val="28"/>
        </w:rPr>
        <w:t>家庭</w:t>
      </w:r>
      <w:r>
        <w:rPr>
          <w:szCs w:val="28"/>
        </w:rPr>
        <w:t>”</w:t>
      </w:r>
      <w:r w:rsidRPr="00CB733C">
        <w:rPr>
          <w:szCs w:val="28"/>
        </w:rPr>
        <w:t>的定義</w:t>
      </w:r>
      <w:r w:rsidRPr="00CB733C">
        <w:rPr>
          <w:bCs/>
          <w:szCs w:val="28"/>
        </w:rPr>
        <w:t>和情況</w:t>
      </w:r>
      <w:r>
        <w:rPr>
          <w:rFonts w:hint="eastAsia"/>
          <w:bCs/>
          <w:szCs w:val="28"/>
        </w:rPr>
        <w:t>)</w:t>
      </w:r>
      <w:r w:rsidRPr="00CB733C">
        <w:rPr>
          <w:szCs w:val="28"/>
        </w:rPr>
        <w:t>如第一次報告的第</w:t>
      </w:r>
      <w:r w:rsidRPr="00CB733C">
        <w:rPr>
          <w:szCs w:val="28"/>
        </w:rPr>
        <w:t>198</w:t>
      </w:r>
      <w:r>
        <w:rPr>
          <w:rFonts w:hint="eastAsia"/>
          <w:szCs w:val="28"/>
        </w:rPr>
        <w:t>及</w:t>
      </w:r>
      <w:r w:rsidRPr="00CB733C">
        <w:rPr>
          <w:szCs w:val="28"/>
        </w:rPr>
        <w:t>199</w:t>
      </w:r>
      <w:r w:rsidRPr="00CB733C">
        <w:rPr>
          <w:szCs w:val="28"/>
        </w:rPr>
        <w:t>段所述</w:t>
      </w:r>
      <w:r w:rsidRPr="00CB733C">
        <w:rPr>
          <w:i/>
          <w:szCs w:val="28"/>
        </w:rPr>
        <w:t>。</w:t>
      </w:r>
    </w:p>
    <w:p w:rsidR="006D2061" w:rsidRPr="005E7589"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sidRPr="00CB733C">
        <w:rPr>
          <w:szCs w:val="28"/>
        </w:rPr>
        <w:t>10.2</w:t>
      </w:r>
      <w:r w:rsidRPr="00CB733C">
        <w:rPr>
          <w:szCs w:val="28"/>
        </w:rPr>
        <w:tab/>
      </w:r>
      <w:r w:rsidRPr="00A94EFB">
        <w:rPr>
          <w:szCs w:val="28"/>
        </w:rPr>
        <w:t>2016</w:t>
      </w:r>
      <w:r w:rsidRPr="00A94EFB">
        <w:rPr>
          <w:rFonts w:hint="eastAsia"/>
          <w:szCs w:val="28"/>
        </w:rPr>
        <w:t>年中期人口統計數字顯示，核心家庭住戶由根據</w:t>
      </w:r>
      <w:r w:rsidRPr="00A94EFB">
        <w:rPr>
          <w:szCs w:val="28"/>
        </w:rPr>
        <w:t>2011</w:t>
      </w:r>
      <w:r w:rsidRPr="00A94EFB">
        <w:rPr>
          <w:rFonts w:hint="eastAsia"/>
          <w:szCs w:val="28"/>
        </w:rPr>
        <w:t>年香港人口普查的</w:t>
      </w:r>
      <w:r w:rsidRPr="00A94EFB">
        <w:rPr>
          <w:szCs w:val="28"/>
        </w:rPr>
        <w:t>66.3%</w:t>
      </w:r>
      <w:r w:rsidRPr="00A94EFB">
        <w:rPr>
          <w:rFonts w:hint="eastAsia"/>
          <w:szCs w:val="28"/>
        </w:rPr>
        <w:t>減至</w:t>
      </w:r>
      <w:r w:rsidRPr="00A94EFB">
        <w:rPr>
          <w:szCs w:val="28"/>
        </w:rPr>
        <w:t>2016</w:t>
      </w:r>
      <w:r w:rsidRPr="00A94EFB">
        <w:rPr>
          <w:rFonts w:hint="eastAsia"/>
          <w:szCs w:val="28"/>
        </w:rPr>
        <w:t>年的</w:t>
      </w:r>
      <w:r w:rsidRPr="00A94EFB">
        <w:rPr>
          <w:szCs w:val="28"/>
        </w:rPr>
        <w:t>64.0%</w:t>
      </w:r>
      <w:r w:rsidRPr="00A94EFB">
        <w:rPr>
          <w:rFonts w:hint="eastAsia"/>
          <w:szCs w:val="28"/>
        </w:rPr>
        <w:t>。家庭成員的平均人數則由</w:t>
      </w:r>
      <w:r w:rsidRPr="00A94EFB">
        <w:rPr>
          <w:szCs w:val="28"/>
        </w:rPr>
        <w:t>3.2</w:t>
      </w:r>
      <w:r w:rsidRPr="00A94EFB">
        <w:rPr>
          <w:rFonts w:hint="eastAsia"/>
          <w:szCs w:val="28"/>
        </w:rPr>
        <w:t>人下降至</w:t>
      </w:r>
      <w:r w:rsidRPr="00A94EFB">
        <w:rPr>
          <w:szCs w:val="28"/>
        </w:rPr>
        <w:t>3.1</w:t>
      </w:r>
      <w:r w:rsidRPr="00A94EFB">
        <w:rPr>
          <w:rFonts w:hint="eastAsia"/>
          <w:szCs w:val="28"/>
        </w:rPr>
        <w:t>人。</w:t>
      </w:r>
      <w:r>
        <w:rPr>
          <w:rFonts w:hint="eastAsia"/>
          <w:szCs w:val="28"/>
          <w:lang w:eastAsia="zh-HK"/>
        </w:rPr>
        <w:t>有</w:t>
      </w:r>
      <w:r>
        <w:rPr>
          <w:rFonts w:hint="eastAsia"/>
          <w:szCs w:val="28"/>
        </w:rPr>
        <w:t>關</w:t>
      </w:r>
      <w:r>
        <w:rPr>
          <w:rFonts w:hint="eastAsia"/>
          <w:szCs w:val="28"/>
          <w:lang w:eastAsia="zh-HK"/>
        </w:rPr>
        <w:t>單親家</w:t>
      </w:r>
      <w:r>
        <w:rPr>
          <w:rFonts w:hint="eastAsia"/>
          <w:szCs w:val="28"/>
        </w:rPr>
        <w:t>庭</w:t>
      </w:r>
      <w:r>
        <w:rPr>
          <w:rFonts w:hint="eastAsia"/>
          <w:szCs w:val="28"/>
          <w:lang w:eastAsia="zh-HK"/>
        </w:rPr>
        <w:t>的情</w:t>
      </w:r>
      <w:r>
        <w:rPr>
          <w:rFonts w:hint="eastAsia"/>
          <w:szCs w:val="28"/>
        </w:rPr>
        <w:t>況</w:t>
      </w:r>
      <w:r>
        <w:rPr>
          <w:rFonts w:hint="eastAsia"/>
          <w:szCs w:val="28"/>
          <w:lang w:eastAsia="zh-HK"/>
        </w:rPr>
        <w:t>見</w:t>
      </w:r>
      <w:r w:rsidRPr="005E7589">
        <w:rPr>
          <w:rFonts w:hint="eastAsia"/>
          <w:b/>
          <w:szCs w:val="28"/>
          <w:lang w:eastAsia="zh-HK"/>
        </w:rPr>
        <w:t>附件</w:t>
      </w:r>
      <w:r w:rsidRPr="005E7589">
        <w:rPr>
          <w:rFonts w:hint="eastAsia"/>
          <w:b/>
          <w:szCs w:val="28"/>
        </w:rPr>
        <w:t>10A</w:t>
      </w:r>
      <w:r>
        <w:rPr>
          <w:rFonts w:hint="eastAsia"/>
          <w:szCs w:val="28"/>
        </w:rPr>
        <w:t>。</w:t>
      </w:r>
    </w:p>
    <w:p w:rsidR="006D2061" w:rsidRPr="00CB733C" w:rsidRDefault="006D2061" w:rsidP="008375BB">
      <w:pPr>
        <w:tabs>
          <w:tab w:val="left" w:pos="1440"/>
        </w:tabs>
        <w:adjustRightInd w:val="0"/>
        <w:snapToGrid w:val="0"/>
        <w:spacing w:line="400" w:lineRule="atLeast"/>
        <w:jc w:val="both"/>
        <w:rPr>
          <w:bCs/>
          <w:szCs w:val="28"/>
        </w:rPr>
      </w:pPr>
    </w:p>
    <w:p w:rsidR="006D2061" w:rsidRPr="00CB733C" w:rsidRDefault="006D2061" w:rsidP="008375BB">
      <w:pPr>
        <w:tabs>
          <w:tab w:val="left" w:pos="1440"/>
          <w:tab w:val="left" w:pos="1680"/>
        </w:tabs>
        <w:adjustRightInd w:val="0"/>
        <w:snapToGrid w:val="0"/>
        <w:spacing w:line="400" w:lineRule="atLeast"/>
        <w:jc w:val="both"/>
        <w:rPr>
          <w:bCs/>
          <w:szCs w:val="28"/>
        </w:rPr>
      </w:pPr>
      <w:r w:rsidRPr="00CB733C">
        <w:rPr>
          <w:bCs/>
          <w:szCs w:val="28"/>
        </w:rPr>
        <w:t>10.</w:t>
      </w:r>
      <w:r>
        <w:rPr>
          <w:bCs/>
          <w:szCs w:val="28"/>
        </w:rPr>
        <w:t>3</w:t>
      </w:r>
      <w:r w:rsidRPr="00CB733C">
        <w:rPr>
          <w:bCs/>
          <w:szCs w:val="28"/>
        </w:rPr>
        <w:tab/>
      </w:r>
      <w:r w:rsidRPr="00A94EFB">
        <w:rPr>
          <w:rFonts w:hint="eastAsia"/>
          <w:bCs/>
          <w:szCs w:val="28"/>
        </w:rPr>
        <w:t>至於在法律下兒童的定義，我們已在香港特區根據《兒童權利公約》提交的第二次報告中的第</w:t>
      </w:r>
      <w:r w:rsidRPr="00A94EFB">
        <w:rPr>
          <w:bCs/>
          <w:szCs w:val="28"/>
        </w:rPr>
        <w:t>II</w:t>
      </w:r>
      <w:r w:rsidRPr="00A94EFB">
        <w:rPr>
          <w:rFonts w:hint="eastAsia"/>
          <w:bCs/>
          <w:szCs w:val="28"/>
        </w:rPr>
        <w:t>部第</w:t>
      </w:r>
      <w:r w:rsidRPr="00A94EFB">
        <w:rPr>
          <w:bCs/>
          <w:szCs w:val="28"/>
        </w:rPr>
        <w:t>II</w:t>
      </w:r>
      <w:r w:rsidRPr="00A94EFB">
        <w:rPr>
          <w:rFonts w:hint="eastAsia"/>
          <w:bCs/>
          <w:szCs w:val="28"/>
        </w:rPr>
        <w:t>章內作出討論。</w:t>
      </w:r>
    </w:p>
    <w:p w:rsidR="006D2061" w:rsidRDefault="006D2061" w:rsidP="008375BB">
      <w:pPr>
        <w:pStyle w:val="Web"/>
        <w:tabs>
          <w:tab w:val="left" w:pos="1440"/>
        </w:tabs>
        <w:adjustRightInd w:val="0"/>
        <w:snapToGrid w:val="0"/>
        <w:spacing w:before="0" w:beforeAutospacing="0" w:after="0" w:afterAutospacing="0" w:line="400" w:lineRule="atLeast"/>
        <w:jc w:val="both"/>
        <w:rPr>
          <w:rFonts w:ascii="Times New Roman" w:eastAsia="標楷體" w:hAnsi="Times New Roman" w:cs="Times New Roman"/>
          <w:bCs/>
          <w:sz w:val="28"/>
          <w:szCs w:val="28"/>
          <w:u w:val="single"/>
        </w:rPr>
      </w:pPr>
    </w:p>
    <w:p w:rsidR="006D2061" w:rsidRPr="00BA5A55" w:rsidRDefault="006D2061" w:rsidP="008375BB">
      <w:pPr>
        <w:pStyle w:val="Web"/>
        <w:tabs>
          <w:tab w:val="left" w:pos="1440"/>
        </w:tabs>
        <w:adjustRightInd w:val="0"/>
        <w:snapToGrid w:val="0"/>
        <w:spacing w:before="0" w:beforeAutospacing="0" w:after="0" w:afterAutospacing="0" w:line="400" w:lineRule="atLeast"/>
        <w:jc w:val="both"/>
        <w:rPr>
          <w:rFonts w:ascii="Times New Roman" w:eastAsia="標楷體" w:hAnsi="Times New Roman" w:cs="Times New Roman"/>
          <w:b/>
          <w:sz w:val="28"/>
          <w:szCs w:val="28"/>
        </w:rPr>
      </w:pPr>
      <w:r w:rsidRPr="00BA5A55">
        <w:rPr>
          <w:rFonts w:ascii="Times New Roman" w:eastAsia="標楷體" w:hAnsi="Times New Roman" w:cs="Times New Roman"/>
          <w:b/>
          <w:bCs/>
          <w:sz w:val="28"/>
          <w:szCs w:val="28"/>
        </w:rPr>
        <w:t>家庭議會</w:t>
      </w:r>
    </w:p>
    <w:p w:rsidR="006D2061" w:rsidRPr="00946587" w:rsidRDefault="006D2061" w:rsidP="008375BB">
      <w:pPr>
        <w:tabs>
          <w:tab w:val="left" w:pos="1440"/>
        </w:tabs>
        <w:adjustRightInd w:val="0"/>
        <w:snapToGrid w:val="0"/>
        <w:spacing w:line="400" w:lineRule="atLeast"/>
        <w:jc w:val="both"/>
        <w:rPr>
          <w:szCs w:val="28"/>
        </w:rPr>
      </w:pPr>
    </w:p>
    <w:p w:rsidR="006D2061" w:rsidRPr="00CB733C" w:rsidRDefault="006D2061" w:rsidP="008375BB">
      <w:pPr>
        <w:tabs>
          <w:tab w:val="left" w:pos="1440"/>
          <w:tab w:val="left" w:pos="1680"/>
        </w:tabs>
        <w:adjustRightInd w:val="0"/>
        <w:snapToGrid w:val="0"/>
        <w:spacing w:line="400" w:lineRule="atLeast"/>
        <w:jc w:val="both"/>
        <w:rPr>
          <w:rFonts w:cs="SimSun"/>
          <w:bCs/>
          <w:szCs w:val="26"/>
        </w:rPr>
      </w:pPr>
      <w:r w:rsidRPr="00CB733C">
        <w:rPr>
          <w:szCs w:val="28"/>
        </w:rPr>
        <w:t>10.</w:t>
      </w:r>
      <w:r>
        <w:rPr>
          <w:szCs w:val="28"/>
        </w:rPr>
        <w:t>4</w:t>
      </w:r>
      <w:r w:rsidRPr="00CB733C">
        <w:rPr>
          <w:szCs w:val="28"/>
        </w:rPr>
        <w:tab/>
      </w:r>
      <w:r w:rsidRPr="00A94EFB">
        <w:rPr>
          <w:rFonts w:hint="eastAsia"/>
          <w:szCs w:val="28"/>
        </w:rPr>
        <w:t>政府認同家庭是社會的基石，於</w:t>
      </w:r>
      <w:r w:rsidRPr="00A94EFB">
        <w:rPr>
          <w:szCs w:val="28"/>
        </w:rPr>
        <w:t>2007</w:t>
      </w:r>
      <w:r w:rsidRPr="00A94EFB">
        <w:rPr>
          <w:rFonts w:hint="eastAsia"/>
          <w:szCs w:val="28"/>
        </w:rPr>
        <w:t>年</w:t>
      </w:r>
      <w:r w:rsidRPr="00A94EFB">
        <w:rPr>
          <w:szCs w:val="28"/>
        </w:rPr>
        <w:t>12</w:t>
      </w:r>
      <w:r w:rsidRPr="00A94EFB">
        <w:rPr>
          <w:rFonts w:hint="eastAsia"/>
          <w:szCs w:val="28"/>
        </w:rPr>
        <w:t>月成立</w:t>
      </w:r>
      <w:r>
        <w:rPr>
          <w:rFonts w:hint="eastAsia"/>
          <w:szCs w:val="28"/>
        </w:rPr>
        <w:t>的</w:t>
      </w:r>
      <w:r w:rsidRPr="00A94EFB">
        <w:rPr>
          <w:rFonts w:hint="eastAsia"/>
          <w:szCs w:val="28"/>
        </w:rPr>
        <w:t>家</w:t>
      </w:r>
      <w:r w:rsidRPr="008D209A">
        <w:rPr>
          <w:rFonts w:hint="eastAsia"/>
          <w:spacing w:val="-4"/>
          <w:szCs w:val="28"/>
        </w:rPr>
        <w:t>庭議會提供跨界別及跨政策局的平台，研究與家庭有關的事宜，並推</w:t>
      </w:r>
      <w:r w:rsidRPr="00A94EFB">
        <w:rPr>
          <w:rFonts w:hint="eastAsia"/>
          <w:szCs w:val="28"/>
        </w:rPr>
        <w:t>廣</w:t>
      </w:r>
      <w:r w:rsidRPr="00363489">
        <w:rPr>
          <w:rFonts w:hint="eastAsia"/>
          <w:spacing w:val="2"/>
          <w:szCs w:val="28"/>
        </w:rPr>
        <w:t>關愛家庭的文化（議會</w:t>
      </w:r>
      <w:r w:rsidRPr="00363489">
        <w:rPr>
          <w:rFonts w:hint="eastAsia"/>
          <w:spacing w:val="2"/>
          <w:szCs w:val="28"/>
          <w:lang w:eastAsia="zh-HK"/>
        </w:rPr>
        <w:t>的最新情況見</w:t>
      </w:r>
      <w:r w:rsidRPr="00363489">
        <w:rPr>
          <w:rFonts w:hint="eastAsia"/>
          <w:b/>
          <w:spacing w:val="2"/>
          <w:szCs w:val="28"/>
          <w:lang w:eastAsia="zh-HK"/>
        </w:rPr>
        <w:t>附件</w:t>
      </w:r>
      <w:r w:rsidRPr="00363489">
        <w:rPr>
          <w:rFonts w:hint="eastAsia"/>
          <w:b/>
          <w:spacing w:val="2"/>
          <w:szCs w:val="28"/>
          <w:lang w:eastAsia="zh-HK"/>
        </w:rPr>
        <w:t>10B</w:t>
      </w:r>
      <w:r w:rsidRPr="00363489">
        <w:rPr>
          <w:rFonts w:hint="eastAsia"/>
          <w:spacing w:val="2"/>
          <w:szCs w:val="28"/>
        </w:rPr>
        <w:t>）。家庭影響評估自</w:t>
      </w:r>
      <w:r w:rsidRPr="00363489">
        <w:rPr>
          <w:spacing w:val="2"/>
          <w:szCs w:val="28"/>
        </w:rPr>
        <w:t>2013</w:t>
      </w:r>
      <w:r w:rsidRPr="00A94EFB">
        <w:rPr>
          <w:rFonts w:hint="eastAsia"/>
          <w:szCs w:val="28"/>
        </w:rPr>
        <w:t>年</w:t>
      </w:r>
      <w:r w:rsidRPr="00A94EFB">
        <w:rPr>
          <w:szCs w:val="28"/>
        </w:rPr>
        <w:t>4</w:t>
      </w:r>
      <w:r w:rsidRPr="00A94EFB">
        <w:rPr>
          <w:rFonts w:hint="eastAsia"/>
          <w:szCs w:val="28"/>
        </w:rPr>
        <w:t>月</w:t>
      </w:r>
      <w:r w:rsidRPr="00A94EFB">
        <w:rPr>
          <w:szCs w:val="28"/>
        </w:rPr>
        <w:t>1</w:t>
      </w:r>
      <w:r w:rsidRPr="00A94EFB">
        <w:rPr>
          <w:rFonts w:hint="eastAsia"/>
          <w:szCs w:val="28"/>
        </w:rPr>
        <w:t>日起已成為政府制訂政策過程中必不可</w:t>
      </w:r>
      <w:r>
        <w:rPr>
          <w:rFonts w:hint="eastAsia"/>
          <w:szCs w:val="28"/>
          <w:lang w:eastAsia="zh-HK"/>
        </w:rPr>
        <w:t>少</w:t>
      </w:r>
      <w:r w:rsidRPr="00A94EFB">
        <w:rPr>
          <w:rFonts w:hint="eastAsia"/>
          <w:szCs w:val="28"/>
        </w:rPr>
        <w:t>的部分，並於</w:t>
      </w:r>
      <w:r w:rsidRPr="00A94EFB">
        <w:rPr>
          <w:szCs w:val="28"/>
        </w:rPr>
        <w:t>2018</w:t>
      </w:r>
      <w:r w:rsidRPr="00A94EFB">
        <w:rPr>
          <w:rFonts w:hint="eastAsia"/>
          <w:szCs w:val="28"/>
        </w:rPr>
        <w:t>年</w:t>
      </w:r>
      <w:r w:rsidRPr="00A94EFB">
        <w:rPr>
          <w:szCs w:val="28"/>
        </w:rPr>
        <w:t>8</w:t>
      </w:r>
      <w:r w:rsidRPr="00A94EFB">
        <w:rPr>
          <w:rFonts w:hint="eastAsia"/>
          <w:szCs w:val="28"/>
        </w:rPr>
        <w:t>月起正式採用家庭影響評估清單，以便各</w:t>
      </w:r>
      <w:r>
        <w:rPr>
          <w:rFonts w:hint="eastAsia"/>
          <w:szCs w:val="28"/>
          <w:lang w:eastAsia="zh-HK"/>
        </w:rPr>
        <w:t>政</w:t>
      </w:r>
      <w:r w:rsidRPr="00A94EFB">
        <w:rPr>
          <w:rFonts w:hint="eastAsia"/>
          <w:szCs w:val="28"/>
        </w:rPr>
        <w:t>策局和部門更有效和全面地評估政策對家庭的影響。</w:t>
      </w:r>
    </w:p>
    <w:p w:rsidR="006D2061" w:rsidRPr="00CB733C" w:rsidRDefault="006D2061" w:rsidP="008375BB">
      <w:pPr>
        <w:tabs>
          <w:tab w:val="left" w:pos="1440"/>
        </w:tabs>
        <w:adjustRightInd w:val="0"/>
        <w:snapToGrid w:val="0"/>
        <w:spacing w:line="400" w:lineRule="atLeast"/>
        <w:jc w:val="both"/>
        <w:rPr>
          <w:szCs w:val="28"/>
        </w:rPr>
      </w:pPr>
    </w:p>
    <w:p w:rsidR="006D2061" w:rsidRPr="00BA5A55" w:rsidRDefault="006D2061" w:rsidP="008375BB">
      <w:pPr>
        <w:tabs>
          <w:tab w:val="left" w:pos="1440"/>
        </w:tabs>
        <w:adjustRightInd w:val="0"/>
        <w:snapToGrid w:val="0"/>
        <w:spacing w:line="400" w:lineRule="atLeast"/>
        <w:jc w:val="both"/>
        <w:rPr>
          <w:b/>
          <w:szCs w:val="28"/>
        </w:rPr>
      </w:pPr>
      <w:r w:rsidRPr="00BA5A55">
        <w:rPr>
          <w:rFonts w:hint="eastAsia"/>
          <w:b/>
          <w:szCs w:val="28"/>
        </w:rPr>
        <w:t>兒童事務委員會</w:t>
      </w:r>
    </w:p>
    <w:p w:rsidR="006D2061"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Pr>
          <w:rFonts w:hint="eastAsia"/>
          <w:szCs w:val="28"/>
        </w:rPr>
        <w:t>10.</w:t>
      </w:r>
      <w:r>
        <w:rPr>
          <w:szCs w:val="28"/>
        </w:rPr>
        <w:t>5</w:t>
      </w:r>
      <w:r>
        <w:rPr>
          <w:szCs w:val="28"/>
        </w:rPr>
        <w:tab/>
      </w:r>
      <w:r w:rsidRPr="00BA5A55">
        <w:rPr>
          <w:rFonts w:hint="eastAsia"/>
          <w:szCs w:val="28"/>
        </w:rPr>
        <w:t>政府在</w:t>
      </w:r>
      <w:r w:rsidRPr="00BA5A55">
        <w:rPr>
          <w:szCs w:val="28"/>
        </w:rPr>
        <w:t>2018</w:t>
      </w:r>
      <w:r w:rsidRPr="00BA5A55">
        <w:rPr>
          <w:rFonts w:hint="eastAsia"/>
          <w:szCs w:val="28"/>
        </w:rPr>
        <w:t>年</w:t>
      </w:r>
      <w:r w:rsidRPr="00BA5A55">
        <w:rPr>
          <w:szCs w:val="28"/>
        </w:rPr>
        <w:t>6</w:t>
      </w:r>
      <w:r w:rsidRPr="00BA5A55">
        <w:rPr>
          <w:rFonts w:hint="eastAsia"/>
          <w:szCs w:val="28"/>
        </w:rPr>
        <w:t>月</w:t>
      </w:r>
      <w:r w:rsidRPr="00BA5A55">
        <w:rPr>
          <w:szCs w:val="28"/>
        </w:rPr>
        <w:t>1</w:t>
      </w:r>
      <w:r w:rsidRPr="00BA5A55">
        <w:rPr>
          <w:rFonts w:hint="eastAsia"/>
          <w:szCs w:val="28"/>
        </w:rPr>
        <w:t>日成立</w:t>
      </w:r>
      <w:bookmarkStart w:id="10" w:name="_Hlk6357357"/>
      <w:bookmarkStart w:id="11" w:name="_Hlk6357420"/>
      <w:r w:rsidRPr="00BA5A55">
        <w:rPr>
          <w:rFonts w:hint="eastAsia"/>
          <w:szCs w:val="28"/>
        </w:rPr>
        <w:t>兒童事務</w:t>
      </w:r>
      <w:bookmarkStart w:id="12" w:name="_Hlk6357346"/>
      <w:bookmarkEnd w:id="10"/>
      <w:r w:rsidRPr="00BA5A55">
        <w:rPr>
          <w:rFonts w:hint="eastAsia"/>
          <w:szCs w:val="28"/>
        </w:rPr>
        <w:t>委員會</w:t>
      </w:r>
      <w:bookmarkEnd w:id="11"/>
      <w:bookmarkEnd w:id="12"/>
      <w:r>
        <w:rPr>
          <w:rFonts w:hint="eastAsia"/>
          <w:szCs w:val="28"/>
        </w:rPr>
        <w:t>，</w:t>
      </w:r>
      <w:r w:rsidRPr="00BA5A55">
        <w:rPr>
          <w:rFonts w:hint="eastAsia"/>
          <w:szCs w:val="28"/>
        </w:rPr>
        <w:t>由政務司司長擔任主席，勞福局局長擔任副主席</w:t>
      </w:r>
      <w:r>
        <w:rPr>
          <w:rFonts w:hint="eastAsia"/>
          <w:szCs w:val="28"/>
        </w:rPr>
        <w:t>，</w:t>
      </w:r>
      <w:r w:rsidRPr="00BA5A55">
        <w:rPr>
          <w:rFonts w:hint="eastAsia"/>
          <w:szCs w:val="28"/>
        </w:rPr>
        <w:t>推動及監察政策局／部門推行與兒童事務相關的各項政策措施。</w:t>
      </w:r>
      <w:r>
        <w:rPr>
          <w:rFonts w:hint="eastAsia"/>
          <w:szCs w:val="28"/>
          <w:lang w:eastAsia="zh-HK"/>
        </w:rPr>
        <w:t>詳見</w:t>
      </w:r>
      <w:r w:rsidRPr="005E7589">
        <w:rPr>
          <w:rFonts w:hint="eastAsia"/>
          <w:b/>
          <w:szCs w:val="28"/>
          <w:lang w:eastAsia="zh-HK"/>
        </w:rPr>
        <w:t>附件</w:t>
      </w:r>
      <w:r w:rsidRPr="005E7589">
        <w:rPr>
          <w:rFonts w:hint="eastAsia"/>
          <w:b/>
          <w:szCs w:val="28"/>
        </w:rPr>
        <w:t>10</w:t>
      </w:r>
      <w:r>
        <w:rPr>
          <w:rFonts w:hint="eastAsia"/>
          <w:b/>
          <w:szCs w:val="28"/>
        </w:rPr>
        <w:t>C</w:t>
      </w:r>
      <w:r>
        <w:rPr>
          <w:rFonts w:hint="eastAsia"/>
          <w:szCs w:val="28"/>
        </w:rPr>
        <w:t>。</w:t>
      </w:r>
    </w:p>
    <w:p w:rsidR="006D2061" w:rsidRDefault="006D2061" w:rsidP="008375BB">
      <w:pPr>
        <w:tabs>
          <w:tab w:val="left" w:pos="1440"/>
        </w:tabs>
        <w:adjustRightInd w:val="0"/>
        <w:snapToGrid w:val="0"/>
        <w:spacing w:line="400" w:lineRule="atLeast"/>
        <w:jc w:val="both"/>
        <w:rPr>
          <w:szCs w:val="28"/>
        </w:rPr>
      </w:pPr>
    </w:p>
    <w:p w:rsidR="006D2061" w:rsidRPr="00BA5A55" w:rsidRDefault="006D2061" w:rsidP="008375BB">
      <w:pPr>
        <w:tabs>
          <w:tab w:val="left" w:pos="1440"/>
        </w:tabs>
        <w:adjustRightInd w:val="0"/>
        <w:snapToGrid w:val="0"/>
        <w:spacing w:line="400" w:lineRule="atLeast"/>
        <w:jc w:val="both"/>
        <w:rPr>
          <w:b/>
          <w:szCs w:val="28"/>
        </w:rPr>
      </w:pPr>
      <w:r w:rsidRPr="00BA5A55">
        <w:rPr>
          <w:rFonts w:hint="eastAsia"/>
          <w:b/>
          <w:szCs w:val="28"/>
        </w:rPr>
        <w:t>向家庭提供的福利服務</w:t>
      </w:r>
    </w:p>
    <w:p w:rsidR="006D2061" w:rsidRDefault="006D2061" w:rsidP="008375BB">
      <w:pPr>
        <w:tabs>
          <w:tab w:val="left" w:pos="1440"/>
        </w:tabs>
        <w:adjustRightInd w:val="0"/>
        <w:snapToGrid w:val="0"/>
        <w:spacing w:line="400" w:lineRule="atLeast"/>
        <w:jc w:val="both"/>
        <w:rPr>
          <w:szCs w:val="28"/>
        </w:rPr>
      </w:pPr>
    </w:p>
    <w:p w:rsidR="006D2061" w:rsidRPr="00BA5A55" w:rsidRDefault="006D2061" w:rsidP="008375BB">
      <w:pPr>
        <w:tabs>
          <w:tab w:val="left" w:pos="1440"/>
        </w:tabs>
        <w:adjustRightInd w:val="0"/>
        <w:snapToGrid w:val="0"/>
        <w:spacing w:line="400" w:lineRule="atLeast"/>
        <w:jc w:val="both"/>
        <w:rPr>
          <w:szCs w:val="28"/>
          <w:lang w:eastAsia="zh-HK"/>
        </w:rPr>
      </w:pPr>
      <w:r>
        <w:rPr>
          <w:rFonts w:hint="eastAsia"/>
          <w:szCs w:val="28"/>
        </w:rPr>
        <w:t>10.</w:t>
      </w:r>
      <w:r>
        <w:rPr>
          <w:szCs w:val="28"/>
        </w:rPr>
        <w:t>6</w:t>
      </w:r>
      <w:r>
        <w:rPr>
          <w:szCs w:val="28"/>
        </w:rPr>
        <w:tab/>
      </w:r>
      <w:r>
        <w:rPr>
          <w:rFonts w:hint="eastAsia"/>
          <w:szCs w:val="28"/>
          <w:lang w:eastAsia="zh-HK"/>
        </w:rPr>
        <w:t>政</w:t>
      </w:r>
      <w:r>
        <w:rPr>
          <w:rFonts w:hint="eastAsia"/>
          <w:szCs w:val="28"/>
        </w:rPr>
        <w:t>府</w:t>
      </w:r>
      <w:r>
        <w:rPr>
          <w:rFonts w:hint="eastAsia"/>
          <w:szCs w:val="28"/>
          <w:lang w:eastAsia="zh-HK"/>
        </w:rPr>
        <w:t>向</w:t>
      </w:r>
      <w:r w:rsidRPr="00946587">
        <w:rPr>
          <w:rFonts w:hint="eastAsia"/>
          <w:szCs w:val="28"/>
          <w:lang w:eastAsia="zh-HK"/>
        </w:rPr>
        <w:t>家庭提供的福利服務</w:t>
      </w:r>
      <w:r>
        <w:rPr>
          <w:rFonts w:hint="eastAsia"/>
          <w:szCs w:val="28"/>
        </w:rPr>
        <w:t>，</w:t>
      </w:r>
      <w:r>
        <w:rPr>
          <w:rFonts w:hint="eastAsia"/>
          <w:szCs w:val="28"/>
          <w:lang w:eastAsia="zh-HK"/>
        </w:rPr>
        <w:t>包</w:t>
      </w:r>
      <w:r>
        <w:rPr>
          <w:rFonts w:hint="eastAsia"/>
          <w:szCs w:val="28"/>
        </w:rPr>
        <w:t>括</w:t>
      </w:r>
      <w:r w:rsidRPr="00946587">
        <w:rPr>
          <w:rFonts w:hint="eastAsia"/>
          <w:szCs w:val="28"/>
        </w:rPr>
        <w:t>綜合家庭服務中心</w:t>
      </w:r>
      <w:r w:rsidRPr="00946587">
        <w:rPr>
          <w:rFonts w:hint="eastAsia"/>
          <w:szCs w:val="28"/>
          <w:lang w:eastAsia="zh-HK"/>
        </w:rPr>
        <w:t>、熱線服務、幼兒照顧服務等</w:t>
      </w:r>
      <w:r w:rsidRPr="00946587">
        <w:rPr>
          <w:rFonts w:hint="eastAsia"/>
          <w:szCs w:val="28"/>
        </w:rPr>
        <w:t>，</w:t>
      </w:r>
      <w:r w:rsidRPr="00946587">
        <w:rPr>
          <w:rFonts w:hint="eastAsia"/>
          <w:szCs w:val="28"/>
          <w:lang w:eastAsia="zh-HK"/>
        </w:rPr>
        <w:t>詳見</w:t>
      </w:r>
      <w:r w:rsidRPr="00946587">
        <w:rPr>
          <w:rFonts w:hint="eastAsia"/>
          <w:b/>
          <w:szCs w:val="28"/>
          <w:lang w:eastAsia="zh-HK"/>
        </w:rPr>
        <w:t>附件</w:t>
      </w:r>
      <w:r w:rsidRPr="00946587">
        <w:rPr>
          <w:rFonts w:hint="eastAsia"/>
          <w:b/>
          <w:szCs w:val="28"/>
        </w:rPr>
        <w:t>10</w:t>
      </w:r>
      <w:r>
        <w:rPr>
          <w:rFonts w:hint="eastAsia"/>
          <w:b/>
          <w:szCs w:val="28"/>
        </w:rPr>
        <w:t>D</w:t>
      </w:r>
      <w:r w:rsidRPr="00946587">
        <w:rPr>
          <w:rFonts w:hint="eastAsia"/>
          <w:szCs w:val="28"/>
        </w:rPr>
        <w:t>。</w:t>
      </w:r>
    </w:p>
    <w:p w:rsidR="006D2061" w:rsidRDefault="006D2061" w:rsidP="008375BB">
      <w:pPr>
        <w:tabs>
          <w:tab w:val="left" w:pos="1440"/>
        </w:tabs>
        <w:adjustRightInd w:val="0"/>
        <w:snapToGrid w:val="0"/>
        <w:spacing w:line="400" w:lineRule="atLeast"/>
        <w:jc w:val="both"/>
        <w:rPr>
          <w:szCs w:val="28"/>
          <w:u w:val="single"/>
        </w:rPr>
      </w:pPr>
    </w:p>
    <w:p w:rsidR="006D2061" w:rsidRPr="00774BCF" w:rsidRDefault="006D2061" w:rsidP="008375BB">
      <w:pPr>
        <w:tabs>
          <w:tab w:val="left" w:pos="1440"/>
        </w:tabs>
        <w:adjustRightInd w:val="0"/>
        <w:snapToGrid w:val="0"/>
        <w:spacing w:line="400" w:lineRule="atLeast"/>
        <w:jc w:val="both"/>
        <w:rPr>
          <w:b/>
          <w:szCs w:val="28"/>
        </w:rPr>
      </w:pPr>
      <w:r w:rsidRPr="00774BCF">
        <w:rPr>
          <w:rFonts w:hint="eastAsia"/>
          <w:b/>
          <w:szCs w:val="28"/>
        </w:rPr>
        <w:lastRenderedPageBreak/>
        <w:t>生育保障</w:t>
      </w:r>
    </w:p>
    <w:p w:rsidR="006D2061" w:rsidRPr="00774BCF" w:rsidRDefault="006D2061" w:rsidP="008375BB">
      <w:pPr>
        <w:tabs>
          <w:tab w:val="left" w:pos="1440"/>
        </w:tabs>
        <w:adjustRightInd w:val="0"/>
        <w:snapToGrid w:val="0"/>
        <w:spacing w:line="400" w:lineRule="atLeast"/>
        <w:jc w:val="both"/>
        <w:rPr>
          <w:szCs w:val="28"/>
        </w:rPr>
      </w:pPr>
    </w:p>
    <w:p w:rsidR="006D2061" w:rsidRPr="00774BCF" w:rsidRDefault="006D2061" w:rsidP="008375BB">
      <w:pPr>
        <w:tabs>
          <w:tab w:val="left" w:pos="1440"/>
          <w:tab w:val="left" w:pos="1680"/>
        </w:tabs>
        <w:adjustRightInd w:val="0"/>
        <w:snapToGrid w:val="0"/>
        <w:spacing w:line="400" w:lineRule="atLeast"/>
        <w:jc w:val="both"/>
        <w:rPr>
          <w:szCs w:val="28"/>
        </w:rPr>
      </w:pPr>
      <w:r w:rsidRPr="00774BCF">
        <w:rPr>
          <w:szCs w:val="28"/>
        </w:rPr>
        <w:t>10.</w:t>
      </w:r>
      <w:r>
        <w:rPr>
          <w:szCs w:val="28"/>
        </w:rPr>
        <w:t>7</w:t>
      </w:r>
      <w:r>
        <w:rPr>
          <w:szCs w:val="28"/>
        </w:rPr>
        <w:tab/>
      </w:r>
      <w:r w:rsidRPr="00774BCF">
        <w:rPr>
          <w:rFonts w:hint="eastAsia"/>
          <w:szCs w:val="28"/>
        </w:rPr>
        <w:t>《僱傭條例》下的生育保障與上次報告第</w:t>
      </w:r>
      <w:r w:rsidRPr="00774BCF">
        <w:rPr>
          <w:szCs w:val="28"/>
        </w:rPr>
        <w:t>10.22</w:t>
      </w:r>
      <w:r w:rsidRPr="00774BCF">
        <w:rPr>
          <w:rFonts w:hint="eastAsia"/>
          <w:szCs w:val="28"/>
        </w:rPr>
        <w:t>至</w:t>
      </w:r>
      <w:r w:rsidRPr="00774BCF">
        <w:rPr>
          <w:szCs w:val="28"/>
        </w:rPr>
        <w:t>10.27</w:t>
      </w:r>
      <w:r w:rsidRPr="00774BCF">
        <w:rPr>
          <w:rFonts w:hint="eastAsia"/>
          <w:szCs w:val="28"/>
        </w:rPr>
        <w:t>段所闡釋的大致相同。《行政長官</w:t>
      </w:r>
      <w:r w:rsidRPr="00774BCF">
        <w:rPr>
          <w:szCs w:val="28"/>
        </w:rPr>
        <w:t>2018</w:t>
      </w:r>
      <w:r w:rsidRPr="00774BCF">
        <w:rPr>
          <w:rFonts w:hint="eastAsia"/>
          <w:szCs w:val="28"/>
        </w:rPr>
        <w:t>年施政報告》公布，政府會將法定產假由現時</w:t>
      </w:r>
      <w:r>
        <w:rPr>
          <w:szCs w:val="28"/>
          <w:lang w:val="en-GB"/>
        </w:rPr>
        <w:t>10</w:t>
      </w:r>
      <w:r w:rsidRPr="00774BCF">
        <w:rPr>
          <w:rFonts w:hint="eastAsia"/>
          <w:szCs w:val="28"/>
        </w:rPr>
        <w:t>個星期增至</w:t>
      </w:r>
      <w:r w:rsidRPr="00774BCF">
        <w:rPr>
          <w:szCs w:val="28"/>
        </w:rPr>
        <w:t>14</w:t>
      </w:r>
      <w:r w:rsidRPr="00774BCF">
        <w:rPr>
          <w:rFonts w:hint="eastAsia"/>
          <w:szCs w:val="28"/>
        </w:rPr>
        <w:t>個星期，並會承擔該項產假薪酬的額外開支</w:t>
      </w:r>
      <w:r>
        <w:rPr>
          <w:rFonts w:hint="eastAsia"/>
          <w:szCs w:val="28"/>
        </w:rPr>
        <w:t>，</w:t>
      </w:r>
      <w:r w:rsidRPr="00774BCF">
        <w:rPr>
          <w:rFonts w:hint="eastAsia"/>
          <w:szCs w:val="28"/>
        </w:rPr>
        <w:t>目標是在</w:t>
      </w:r>
      <w:r w:rsidRPr="00774BCF">
        <w:rPr>
          <w:szCs w:val="28"/>
        </w:rPr>
        <w:t>2019</w:t>
      </w:r>
      <w:r w:rsidRPr="00774BCF">
        <w:rPr>
          <w:rFonts w:hint="eastAsia"/>
          <w:szCs w:val="28"/>
        </w:rPr>
        <w:t>年年底將有關法案提交立法會。</w:t>
      </w:r>
    </w:p>
    <w:p w:rsidR="006D2061" w:rsidRPr="00774BCF"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sidRPr="00DC523A">
        <w:rPr>
          <w:szCs w:val="28"/>
        </w:rPr>
        <w:t>10.</w:t>
      </w:r>
      <w:r>
        <w:rPr>
          <w:szCs w:val="28"/>
        </w:rPr>
        <w:t>8</w:t>
      </w:r>
      <w:r w:rsidRPr="00DC523A">
        <w:rPr>
          <w:szCs w:val="28"/>
        </w:rPr>
        <w:tab/>
      </w:r>
      <w:r w:rsidRPr="00DC523A">
        <w:rPr>
          <w:rFonts w:hint="eastAsia"/>
          <w:szCs w:val="28"/>
        </w:rPr>
        <w:t>《性別歧視條例》就免受基於婚姻狀況及懷孕的歧視提供保障如上次報告第</w:t>
      </w:r>
      <w:r w:rsidRPr="00DC523A">
        <w:rPr>
          <w:rFonts w:hint="eastAsia"/>
          <w:szCs w:val="28"/>
        </w:rPr>
        <w:t>1</w:t>
      </w:r>
      <w:r w:rsidRPr="00DC523A">
        <w:rPr>
          <w:szCs w:val="28"/>
        </w:rPr>
        <w:t>0.28</w:t>
      </w:r>
      <w:r w:rsidRPr="00DC523A">
        <w:rPr>
          <w:rFonts w:hint="eastAsia"/>
          <w:szCs w:val="28"/>
        </w:rPr>
        <w:t>段所述。</w:t>
      </w:r>
      <w:r>
        <w:rPr>
          <w:rFonts w:hint="eastAsia"/>
          <w:szCs w:val="28"/>
        </w:rPr>
        <w:t>有關</w:t>
      </w:r>
      <w:r w:rsidRPr="005E7589">
        <w:rPr>
          <w:rFonts w:hint="eastAsia"/>
          <w:szCs w:val="28"/>
        </w:rPr>
        <w:t>其他適用法律條文的</w:t>
      </w:r>
      <w:r w:rsidRPr="00774BCF">
        <w:rPr>
          <w:rFonts w:hint="eastAsia"/>
          <w:szCs w:val="28"/>
        </w:rPr>
        <w:t>情況與上</w:t>
      </w:r>
      <w:r>
        <w:rPr>
          <w:rFonts w:hint="eastAsia"/>
          <w:szCs w:val="28"/>
          <w:lang w:eastAsia="zh-HK"/>
        </w:rPr>
        <w:t>次</w:t>
      </w:r>
      <w:r w:rsidRPr="00774BCF">
        <w:rPr>
          <w:rFonts w:hint="eastAsia"/>
          <w:szCs w:val="28"/>
        </w:rPr>
        <w:t>報告第</w:t>
      </w:r>
      <w:r w:rsidRPr="00774BCF">
        <w:rPr>
          <w:szCs w:val="28"/>
        </w:rPr>
        <w:t>10.29</w:t>
      </w:r>
      <w:r w:rsidRPr="00774BCF">
        <w:rPr>
          <w:rFonts w:hint="eastAsia"/>
          <w:szCs w:val="28"/>
        </w:rPr>
        <w:t>至</w:t>
      </w:r>
      <w:r w:rsidRPr="00774BCF">
        <w:rPr>
          <w:szCs w:val="28"/>
        </w:rPr>
        <w:t>10.31</w:t>
      </w:r>
      <w:r w:rsidRPr="00774BCF">
        <w:rPr>
          <w:rFonts w:hint="eastAsia"/>
          <w:szCs w:val="28"/>
        </w:rPr>
        <w:t>段所述的相同。</w:t>
      </w:r>
    </w:p>
    <w:p w:rsidR="006D2061"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Pr>
          <w:rFonts w:hint="eastAsia"/>
          <w:szCs w:val="28"/>
        </w:rPr>
        <w:t>10.</w:t>
      </w:r>
      <w:r>
        <w:rPr>
          <w:szCs w:val="28"/>
        </w:rPr>
        <w:t>9</w:t>
      </w:r>
      <w:r>
        <w:rPr>
          <w:szCs w:val="28"/>
        </w:rPr>
        <w:tab/>
      </w:r>
      <w:r w:rsidRPr="00521D5B">
        <w:rPr>
          <w:rFonts w:hint="eastAsia"/>
          <w:szCs w:val="28"/>
        </w:rPr>
        <w:t>有關懷孕在囚人士的情況大致如第一次報告第</w:t>
      </w:r>
      <w:r w:rsidRPr="00521D5B">
        <w:rPr>
          <w:szCs w:val="28"/>
        </w:rPr>
        <w:t>242</w:t>
      </w:r>
      <w:r w:rsidRPr="00521D5B">
        <w:rPr>
          <w:rFonts w:hint="eastAsia"/>
          <w:szCs w:val="28"/>
        </w:rPr>
        <w:t>至</w:t>
      </w:r>
      <w:r w:rsidRPr="00521D5B">
        <w:rPr>
          <w:szCs w:val="28"/>
        </w:rPr>
        <w:t>245</w:t>
      </w:r>
      <w:r w:rsidRPr="00521D5B">
        <w:rPr>
          <w:rFonts w:hint="eastAsia"/>
          <w:szCs w:val="28"/>
        </w:rPr>
        <w:t>段所述，即懷孕在囚人士獲得日夜特別照顧，並獲安排每隔適當時間及有需要時，前往監獄外的醫院接受產前護理及產科醫生檢查。在</w:t>
      </w:r>
      <w:r w:rsidRPr="00521D5B">
        <w:rPr>
          <w:szCs w:val="28"/>
        </w:rPr>
        <w:t>2017</w:t>
      </w:r>
      <w:r w:rsidRPr="00521D5B">
        <w:rPr>
          <w:rFonts w:hint="eastAsia"/>
          <w:szCs w:val="28"/>
        </w:rPr>
        <w:t>及</w:t>
      </w:r>
      <w:r w:rsidRPr="00521D5B">
        <w:rPr>
          <w:szCs w:val="28"/>
        </w:rPr>
        <w:t>2018</w:t>
      </w:r>
      <w:r w:rsidRPr="00521D5B">
        <w:rPr>
          <w:rFonts w:hint="eastAsia"/>
          <w:szCs w:val="28"/>
        </w:rPr>
        <w:t>年分別有</w:t>
      </w:r>
      <w:r w:rsidRPr="00521D5B">
        <w:rPr>
          <w:szCs w:val="28"/>
        </w:rPr>
        <w:t>24</w:t>
      </w:r>
      <w:r w:rsidRPr="00521D5B">
        <w:rPr>
          <w:rFonts w:hint="eastAsia"/>
          <w:szCs w:val="28"/>
        </w:rPr>
        <w:t>及</w:t>
      </w:r>
      <w:r w:rsidRPr="00521D5B">
        <w:rPr>
          <w:szCs w:val="28"/>
        </w:rPr>
        <w:t>12</w:t>
      </w:r>
      <w:r w:rsidRPr="00521D5B">
        <w:rPr>
          <w:rFonts w:hint="eastAsia"/>
          <w:szCs w:val="28"/>
        </w:rPr>
        <w:t>宗懷孕在囚人士在政府醫院開放式病房分娩的個案，該兩年亦分別有</w:t>
      </w:r>
      <w:r w:rsidRPr="00521D5B">
        <w:rPr>
          <w:szCs w:val="28"/>
        </w:rPr>
        <w:t>68</w:t>
      </w:r>
      <w:r w:rsidRPr="00521D5B">
        <w:rPr>
          <w:rFonts w:hint="eastAsia"/>
          <w:szCs w:val="28"/>
        </w:rPr>
        <w:t>及</w:t>
      </w:r>
      <w:r w:rsidRPr="00521D5B">
        <w:rPr>
          <w:szCs w:val="28"/>
        </w:rPr>
        <w:t>57</w:t>
      </w:r>
      <w:r w:rsidRPr="00521D5B">
        <w:rPr>
          <w:rFonts w:hint="eastAsia"/>
          <w:szCs w:val="28"/>
        </w:rPr>
        <w:t>名嬰兒獲准在正常哺乳期間隨母親留在獄中。</w:t>
      </w:r>
    </w:p>
    <w:p w:rsidR="006D2061" w:rsidRPr="00521D5B"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sidRPr="00521D5B">
        <w:rPr>
          <w:szCs w:val="28"/>
        </w:rPr>
        <w:t>10.</w:t>
      </w:r>
      <w:r>
        <w:rPr>
          <w:szCs w:val="28"/>
        </w:rPr>
        <w:t>10</w:t>
      </w:r>
      <w:r>
        <w:rPr>
          <w:szCs w:val="28"/>
        </w:rPr>
        <w:tab/>
      </w:r>
      <w:r w:rsidRPr="00521D5B">
        <w:rPr>
          <w:rFonts w:hint="eastAsia"/>
          <w:szCs w:val="28"/>
        </w:rPr>
        <w:t>法定侍產假於</w:t>
      </w:r>
      <w:r w:rsidRPr="00521D5B">
        <w:rPr>
          <w:szCs w:val="28"/>
        </w:rPr>
        <w:t>2015</w:t>
      </w:r>
      <w:r w:rsidRPr="00521D5B">
        <w:rPr>
          <w:rFonts w:hint="eastAsia"/>
          <w:szCs w:val="28"/>
        </w:rPr>
        <w:t>年</w:t>
      </w:r>
      <w:r w:rsidRPr="00521D5B">
        <w:rPr>
          <w:szCs w:val="28"/>
        </w:rPr>
        <w:t>2</w:t>
      </w:r>
      <w:r w:rsidRPr="00521D5B">
        <w:rPr>
          <w:rFonts w:hint="eastAsia"/>
          <w:szCs w:val="28"/>
        </w:rPr>
        <w:t>月實施，合資格的男性僱員可就其配偶／伴侶每次分娩享有三天侍產假，可一次過或分開逐日放取。如僱員符合法例其他規定，可獲得每日平均工資五分之四的侍產假薪</w:t>
      </w:r>
      <w:r w:rsidRPr="00A24DF6">
        <w:rPr>
          <w:rFonts w:hint="eastAsia"/>
          <w:szCs w:val="28"/>
        </w:rPr>
        <w:t>酬。如上文第</w:t>
      </w:r>
      <w:r w:rsidRPr="005E7589">
        <w:rPr>
          <w:szCs w:val="28"/>
        </w:rPr>
        <w:t>7</w:t>
      </w:r>
      <w:r w:rsidRPr="005E7589">
        <w:rPr>
          <w:rFonts w:hint="eastAsia"/>
          <w:szCs w:val="28"/>
        </w:rPr>
        <w:t>.2</w:t>
      </w:r>
      <w:r>
        <w:rPr>
          <w:szCs w:val="28"/>
        </w:rPr>
        <w:t>0</w:t>
      </w:r>
      <w:r w:rsidRPr="005E7589">
        <w:rPr>
          <w:rFonts w:hint="eastAsia"/>
          <w:szCs w:val="28"/>
        </w:rPr>
        <w:t>段所述，五天侍產假由</w:t>
      </w:r>
      <w:r w:rsidRPr="005E7589">
        <w:rPr>
          <w:szCs w:val="28"/>
        </w:rPr>
        <w:t>2019</w:t>
      </w:r>
      <w:r w:rsidRPr="005E7589">
        <w:rPr>
          <w:rFonts w:hint="eastAsia"/>
          <w:szCs w:val="28"/>
        </w:rPr>
        <w:t>年</w:t>
      </w:r>
      <w:r w:rsidRPr="005E7589">
        <w:rPr>
          <w:szCs w:val="28"/>
        </w:rPr>
        <w:t>1</w:t>
      </w:r>
      <w:r w:rsidRPr="005E7589">
        <w:rPr>
          <w:rFonts w:hint="eastAsia"/>
          <w:szCs w:val="28"/>
        </w:rPr>
        <w:t>月</w:t>
      </w:r>
      <w:r w:rsidRPr="005E7589">
        <w:rPr>
          <w:szCs w:val="28"/>
        </w:rPr>
        <w:t>18</w:t>
      </w:r>
      <w:r w:rsidRPr="005E7589">
        <w:rPr>
          <w:rFonts w:hint="eastAsia"/>
          <w:szCs w:val="28"/>
        </w:rPr>
        <w:t>日起實施。</w:t>
      </w:r>
      <w:r>
        <w:rPr>
          <w:rFonts w:hint="eastAsia"/>
          <w:szCs w:val="28"/>
        </w:rPr>
        <w:t>這</w:t>
      </w:r>
      <w:r w:rsidRPr="00521D5B">
        <w:rPr>
          <w:rFonts w:hint="eastAsia"/>
          <w:szCs w:val="28"/>
        </w:rPr>
        <w:t>有助締造建立及照顧家庭的環境，讓男性僱員有更多時間分擔家庭責任。</w:t>
      </w:r>
    </w:p>
    <w:p w:rsidR="006D2061"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s>
        <w:adjustRightInd w:val="0"/>
        <w:snapToGrid w:val="0"/>
        <w:spacing w:line="400" w:lineRule="atLeast"/>
        <w:jc w:val="both"/>
        <w:rPr>
          <w:szCs w:val="28"/>
        </w:rPr>
      </w:pPr>
      <w:r w:rsidRPr="005312A9">
        <w:rPr>
          <w:rFonts w:hint="eastAsia"/>
          <w:b/>
          <w:szCs w:val="28"/>
          <w:lang w:eastAsia="zh-HK"/>
        </w:rPr>
        <w:t>內地新來港</w:t>
      </w:r>
      <w:r>
        <w:rPr>
          <w:rFonts w:hint="eastAsia"/>
          <w:b/>
          <w:szCs w:val="28"/>
          <w:lang w:eastAsia="zh-HK"/>
        </w:rPr>
        <w:t>定居</w:t>
      </w:r>
      <w:r w:rsidRPr="005312A9">
        <w:rPr>
          <w:rFonts w:hint="eastAsia"/>
          <w:b/>
          <w:szCs w:val="28"/>
          <w:lang w:eastAsia="zh-HK"/>
        </w:rPr>
        <w:t>人士</w:t>
      </w:r>
    </w:p>
    <w:p w:rsidR="006D2061"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sidRPr="00521D5B">
        <w:rPr>
          <w:szCs w:val="28"/>
        </w:rPr>
        <w:t>10.</w:t>
      </w:r>
      <w:r>
        <w:rPr>
          <w:szCs w:val="28"/>
        </w:rPr>
        <w:t>11</w:t>
      </w:r>
      <w:r>
        <w:rPr>
          <w:szCs w:val="28"/>
        </w:rPr>
        <w:tab/>
      </w:r>
      <w:r w:rsidRPr="00521D5B">
        <w:rPr>
          <w:rFonts w:hint="eastAsia"/>
          <w:szCs w:val="28"/>
        </w:rPr>
        <w:t>接近</w:t>
      </w:r>
      <w:r>
        <w:rPr>
          <w:rFonts w:hint="eastAsia"/>
          <w:szCs w:val="28"/>
        </w:rPr>
        <w:t>98</w:t>
      </w:r>
      <w:r w:rsidRPr="00521D5B">
        <w:rPr>
          <w:szCs w:val="28"/>
        </w:rPr>
        <w:t>0</w:t>
      </w:r>
      <w:r>
        <w:rPr>
          <w:szCs w:val="28"/>
        </w:rPr>
        <w:t> </w:t>
      </w:r>
      <w:r w:rsidRPr="00521D5B">
        <w:rPr>
          <w:szCs w:val="28"/>
        </w:rPr>
        <w:t>000</w:t>
      </w:r>
      <w:r w:rsidRPr="00521D5B">
        <w:rPr>
          <w:rFonts w:hint="eastAsia"/>
          <w:szCs w:val="28"/>
        </w:rPr>
        <w:t>人在</w:t>
      </w:r>
      <w:r w:rsidRPr="00521D5B">
        <w:rPr>
          <w:szCs w:val="28"/>
        </w:rPr>
        <w:t>1998</w:t>
      </w:r>
      <w:r w:rsidRPr="00521D5B">
        <w:rPr>
          <w:rFonts w:hint="eastAsia"/>
          <w:szCs w:val="28"/>
        </w:rPr>
        <w:t>年</w:t>
      </w:r>
      <w:r w:rsidRPr="00521D5B">
        <w:rPr>
          <w:szCs w:val="28"/>
        </w:rPr>
        <w:t>7</w:t>
      </w:r>
      <w:r w:rsidRPr="00521D5B">
        <w:rPr>
          <w:rFonts w:hint="eastAsia"/>
          <w:szCs w:val="28"/>
        </w:rPr>
        <w:t>月</w:t>
      </w:r>
      <w:r w:rsidRPr="00521D5B">
        <w:rPr>
          <w:szCs w:val="28"/>
        </w:rPr>
        <w:t>1</w:t>
      </w:r>
      <w:r w:rsidRPr="00521D5B">
        <w:rPr>
          <w:rFonts w:hint="eastAsia"/>
          <w:szCs w:val="28"/>
        </w:rPr>
        <w:t>日及</w:t>
      </w:r>
      <w:r w:rsidRPr="00521D5B">
        <w:rPr>
          <w:szCs w:val="28"/>
        </w:rPr>
        <w:t>20</w:t>
      </w:r>
      <w:r>
        <w:rPr>
          <w:szCs w:val="28"/>
        </w:rPr>
        <w:t>18</w:t>
      </w:r>
      <w:r w:rsidRPr="00521D5B">
        <w:rPr>
          <w:rFonts w:hint="eastAsia"/>
          <w:szCs w:val="28"/>
        </w:rPr>
        <w:t>年</w:t>
      </w:r>
      <w:r w:rsidRPr="00521D5B">
        <w:rPr>
          <w:szCs w:val="28"/>
        </w:rPr>
        <w:t>12</w:t>
      </w:r>
      <w:r w:rsidRPr="00521D5B">
        <w:rPr>
          <w:rFonts w:hint="eastAsia"/>
          <w:szCs w:val="28"/>
        </w:rPr>
        <w:t>月</w:t>
      </w:r>
      <w:r w:rsidRPr="00521D5B">
        <w:rPr>
          <w:szCs w:val="28"/>
        </w:rPr>
        <w:t>31</w:t>
      </w:r>
      <w:r w:rsidRPr="00521D5B">
        <w:rPr>
          <w:rFonts w:hint="eastAsia"/>
          <w:szCs w:val="28"/>
        </w:rPr>
        <w:t>日期間從內地來港定居。如上次報告第</w:t>
      </w:r>
      <w:r w:rsidRPr="00521D5B">
        <w:rPr>
          <w:szCs w:val="28"/>
        </w:rPr>
        <w:t>10.37</w:t>
      </w:r>
      <w:r w:rsidRPr="00521D5B">
        <w:rPr>
          <w:rFonts w:hint="eastAsia"/>
          <w:szCs w:val="28"/>
        </w:rPr>
        <w:t>段所述，政府重視讓新來港定居人士盡快融入社會</w:t>
      </w:r>
      <w:r>
        <w:rPr>
          <w:rFonts w:hint="eastAsia"/>
          <w:szCs w:val="28"/>
        </w:rPr>
        <w:t>，他們</w:t>
      </w:r>
      <w:r w:rsidRPr="00521D5B">
        <w:rPr>
          <w:rFonts w:hint="eastAsia"/>
          <w:szCs w:val="28"/>
        </w:rPr>
        <w:t>與本地居民一樣</w:t>
      </w:r>
      <w:r>
        <w:rPr>
          <w:rFonts w:hint="eastAsia"/>
          <w:szCs w:val="28"/>
        </w:rPr>
        <w:t>同</w:t>
      </w:r>
      <w:r w:rsidRPr="00521D5B">
        <w:rPr>
          <w:rFonts w:hint="eastAsia"/>
          <w:szCs w:val="28"/>
        </w:rPr>
        <w:t>有權享用各項福利服務，如幼兒照顧、社區支援、經濟援助等</w:t>
      </w:r>
      <w:r>
        <w:rPr>
          <w:rFonts w:hint="eastAsia"/>
          <w:szCs w:val="28"/>
        </w:rPr>
        <w:t>，並</w:t>
      </w:r>
      <w:r w:rsidRPr="00521D5B">
        <w:rPr>
          <w:rFonts w:hint="eastAsia"/>
          <w:szCs w:val="28"/>
        </w:rPr>
        <w:t>可在全港的綜合家庭服務中心接受全面的家庭服務。香港國際社會服務社在社署的資助下提供「跨境及國際社會服務」，為新來港定居家庭及個人提供服務，以協助處理和解決因分隔本港與內</w:t>
      </w:r>
      <w:r>
        <w:rPr>
          <w:rFonts w:hint="eastAsia"/>
          <w:szCs w:val="28"/>
          <w:lang w:eastAsia="zh-HK"/>
        </w:rPr>
        <w:t>地</w:t>
      </w:r>
      <w:r w:rsidRPr="00521D5B">
        <w:rPr>
          <w:rFonts w:hint="eastAsia"/>
          <w:szCs w:val="28"/>
        </w:rPr>
        <w:t>其他地方／其他國家而出現的</w:t>
      </w:r>
      <w:r w:rsidRPr="00521D5B">
        <w:rPr>
          <w:rFonts w:hint="eastAsia"/>
          <w:szCs w:val="28"/>
        </w:rPr>
        <w:lastRenderedPageBreak/>
        <w:t>問題。</w:t>
      </w:r>
      <w:r w:rsidRPr="007B1025">
        <w:rPr>
          <w:rFonts w:hint="eastAsia"/>
          <w:szCs w:val="28"/>
        </w:rPr>
        <w:t>民政事務總署</w:t>
      </w:r>
      <w:r>
        <w:rPr>
          <w:rFonts w:hint="eastAsia"/>
          <w:szCs w:val="28"/>
          <w:lang w:eastAsia="zh-HK"/>
        </w:rPr>
        <w:t>亦</w:t>
      </w:r>
      <w:r w:rsidRPr="007B1025">
        <w:rPr>
          <w:rFonts w:hint="eastAsia"/>
          <w:szCs w:val="28"/>
        </w:rPr>
        <w:t>為</w:t>
      </w:r>
      <w:r>
        <w:rPr>
          <w:rFonts w:hint="eastAsia"/>
          <w:szCs w:val="28"/>
        </w:rPr>
        <w:t>他們</w:t>
      </w:r>
      <w:r w:rsidRPr="007B1025">
        <w:rPr>
          <w:rFonts w:hint="eastAsia"/>
          <w:szCs w:val="28"/>
        </w:rPr>
        <w:t>提供支援，協助他們融入社區。</w:t>
      </w:r>
      <w:r>
        <w:rPr>
          <w:rFonts w:hint="eastAsia"/>
          <w:szCs w:val="28"/>
          <w:lang w:eastAsia="zh-HK"/>
        </w:rPr>
        <w:t>有</w:t>
      </w:r>
      <w:r>
        <w:rPr>
          <w:rFonts w:hint="eastAsia"/>
          <w:szCs w:val="28"/>
        </w:rPr>
        <w:t>關</w:t>
      </w:r>
      <w:r>
        <w:rPr>
          <w:rFonts w:hint="eastAsia"/>
          <w:szCs w:val="28"/>
          <w:lang w:eastAsia="zh-HK"/>
        </w:rPr>
        <w:t>支</w:t>
      </w:r>
      <w:r>
        <w:rPr>
          <w:rFonts w:hint="eastAsia"/>
          <w:szCs w:val="28"/>
        </w:rPr>
        <w:t>援</w:t>
      </w:r>
      <w:r>
        <w:rPr>
          <w:rFonts w:hint="eastAsia"/>
          <w:szCs w:val="28"/>
          <w:lang w:eastAsia="zh-HK"/>
        </w:rPr>
        <w:t>的詳</w:t>
      </w:r>
      <w:r>
        <w:rPr>
          <w:rFonts w:hint="eastAsia"/>
          <w:szCs w:val="28"/>
        </w:rPr>
        <w:t>情</w:t>
      </w:r>
      <w:r>
        <w:rPr>
          <w:rFonts w:hint="eastAsia"/>
          <w:szCs w:val="28"/>
          <w:lang w:eastAsia="zh-HK"/>
        </w:rPr>
        <w:t>見</w:t>
      </w:r>
      <w:r w:rsidRPr="00946587">
        <w:rPr>
          <w:rFonts w:hint="eastAsia"/>
          <w:b/>
          <w:szCs w:val="28"/>
          <w:lang w:eastAsia="zh-HK"/>
        </w:rPr>
        <w:t>附件</w:t>
      </w:r>
      <w:r w:rsidRPr="00946587">
        <w:rPr>
          <w:rFonts w:hint="eastAsia"/>
          <w:b/>
          <w:szCs w:val="28"/>
        </w:rPr>
        <w:t>1</w:t>
      </w:r>
      <w:r>
        <w:rPr>
          <w:b/>
          <w:szCs w:val="28"/>
        </w:rPr>
        <w:t>0</w:t>
      </w:r>
      <w:r>
        <w:rPr>
          <w:rFonts w:hint="eastAsia"/>
          <w:b/>
          <w:szCs w:val="28"/>
        </w:rPr>
        <w:t>E</w:t>
      </w:r>
      <w:r>
        <w:rPr>
          <w:rFonts w:hint="eastAsia"/>
          <w:szCs w:val="28"/>
        </w:rPr>
        <w:t>。</w:t>
      </w:r>
    </w:p>
    <w:p w:rsidR="006D2061" w:rsidRDefault="006D2061" w:rsidP="008375BB">
      <w:pPr>
        <w:tabs>
          <w:tab w:val="left" w:pos="1440"/>
          <w:tab w:val="left" w:pos="1680"/>
        </w:tabs>
        <w:adjustRightInd w:val="0"/>
        <w:snapToGrid w:val="0"/>
        <w:spacing w:line="400" w:lineRule="atLeast"/>
        <w:jc w:val="both"/>
        <w:rPr>
          <w:szCs w:val="28"/>
        </w:rPr>
      </w:pPr>
    </w:p>
    <w:p w:rsidR="006D2061" w:rsidRPr="007B1025" w:rsidRDefault="006D2061" w:rsidP="008375BB">
      <w:pPr>
        <w:tabs>
          <w:tab w:val="left" w:pos="1440"/>
        </w:tabs>
        <w:adjustRightInd w:val="0"/>
        <w:snapToGrid w:val="0"/>
        <w:spacing w:line="400" w:lineRule="atLeast"/>
        <w:jc w:val="both"/>
        <w:rPr>
          <w:b/>
          <w:szCs w:val="28"/>
        </w:rPr>
      </w:pPr>
      <w:r w:rsidRPr="007B1025">
        <w:rPr>
          <w:rFonts w:hint="eastAsia"/>
          <w:b/>
          <w:szCs w:val="28"/>
        </w:rPr>
        <w:t>單親及分離家庭</w:t>
      </w:r>
    </w:p>
    <w:p w:rsidR="006D2061" w:rsidRPr="007B1025" w:rsidRDefault="006D2061" w:rsidP="008375BB">
      <w:pPr>
        <w:tabs>
          <w:tab w:val="left" w:pos="1440"/>
        </w:tabs>
        <w:adjustRightInd w:val="0"/>
        <w:snapToGrid w:val="0"/>
        <w:spacing w:line="400" w:lineRule="atLeast"/>
        <w:jc w:val="both"/>
        <w:rPr>
          <w:szCs w:val="28"/>
        </w:rPr>
      </w:pPr>
    </w:p>
    <w:p w:rsidR="006D2061" w:rsidRPr="007B1025" w:rsidRDefault="006D2061" w:rsidP="008375BB">
      <w:pPr>
        <w:tabs>
          <w:tab w:val="left" w:pos="1440"/>
          <w:tab w:val="left" w:pos="1680"/>
        </w:tabs>
        <w:adjustRightInd w:val="0"/>
        <w:snapToGrid w:val="0"/>
        <w:spacing w:line="400" w:lineRule="atLeast"/>
        <w:jc w:val="both"/>
        <w:rPr>
          <w:szCs w:val="28"/>
        </w:rPr>
      </w:pPr>
      <w:r w:rsidRPr="007B1025">
        <w:rPr>
          <w:szCs w:val="28"/>
        </w:rPr>
        <w:t>10.</w:t>
      </w:r>
      <w:r>
        <w:rPr>
          <w:szCs w:val="28"/>
        </w:rPr>
        <w:t>12</w:t>
      </w:r>
      <w:r w:rsidRPr="007B1025">
        <w:rPr>
          <w:szCs w:val="28"/>
        </w:rPr>
        <w:tab/>
      </w:r>
      <w:r w:rsidRPr="007B1025">
        <w:rPr>
          <w:rFonts w:hint="eastAsia"/>
          <w:szCs w:val="28"/>
        </w:rPr>
        <w:t>如上次報告的第</w:t>
      </w:r>
      <w:r w:rsidRPr="007B1025">
        <w:rPr>
          <w:szCs w:val="28"/>
        </w:rPr>
        <w:t>10.38</w:t>
      </w:r>
      <w:r w:rsidRPr="007B1025">
        <w:rPr>
          <w:rFonts w:hint="eastAsia"/>
          <w:szCs w:val="28"/>
        </w:rPr>
        <w:t>段闡述，香港的單親及分離家庭可在全港</w:t>
      </w:r>
      <w:r w:rsidRPr="007B1025">
        <w:rPr>
          <w:szCs w:val="28"/>
        </w:rPr>
        <w:t>65</w:t>
      </w:r>
      <w:r w:rsidRPr="007B1025">
        <w:rPr>
          <w:rFonts w:hint="eastAsia"/>
          <w:szCs w:val="28"/>
        </w:rPr>
        <w:t>間綜合家庭服務中心及兩間綜合服務中心一站式接受全面的家庭服務。家庭支援網絡隊繼續透過盡早識別及介入，為有需要人士（包括單親及分離家庭）提供協助。</w:t>
      </w:r>
      <w:r>
        <w:rPr>
          <w:rFonts w:hint="eastAsia"/>
          <w:szCs w:val="28"/>
          <w:lang w:eastAsia="zh-HK"/>
        </w:rPr>
        <w:t>政府向</w:t>
      </w:r>
      <w:r w:rsidRPr="007B1025">
        <w:rPr>
          <w:rFonts w:hint="eastAsia"/>
          <w:szCs w:val="28"/>
        </w:rPr>
        <w:t>單親</w:t>
      </w:r>
      <w:r>
        <w:rPr>
          <w:rFonts w:hint="eastAsia"/>
          <w:szCs w:val="28"/>
          <w:lang w:eastAsia="zh-HK"/>
        </w:rPr>
        <w:t>及分離家</w:t>
      </w:r>
      <w:r>
        <w:rPr>
          <w:rFonts w:hint="eastAsia"/>
          <w:szCs w:val="28"/>
        </w:rPr>
        <w:t>庭</w:t>
      </w:r>
      <w:r>
        <w:rPr>
          <w:rFonts w:hint="eastAsia"/>
          <w:szCs w:val="28"/>
          <w:lang w:eastAsia="zh-HK"/>
        </w:rPr>
        <w:t>提供的支</w:t>
      </w:r>
      <w:r>
        <w:rPr>
          <w:rFonts w:hint="eastAsia"/>
          <w:szCs w:val="28"/>
        </w:rPr>
        <w:t>援</w:t>
      </w:r>
      <w:r w:rsidRPr="007B1025">
        <w:rPr>
          <w:rFonts w:hint="eastAsia"/>
          <w:szCs w:val="28"/>
        </w:rPr>
        <w:t>如上次報告第</w:t>
      </w:r>
      <w:r w:rsidRPr="00946587">
        <w:rPr>
          <w:szCs w:val="28"/>
        </w:rPr>
        <w:t>10.39</w:t>
      </w:r>
      <w:r w:rsidRPr="00946587">
        <w:rPr>
          <w:rFonts w:hint="eastAsia"/>
          <w:szCs w:val="28"/>
        </w:rPr>
        <w:t>段</w:t>
      </w:r>
      <w:r w:rsidRPr="007B1025">
        <w:rPr>
          <w:rFonts w:hint="eastAsia"/>
          <w:szCs w:val="28"/>
        </w:rPr>
        <w:t>所述</w:t>
      </w:r>
      <w:r>
        <w:rPr>
          <w:rFonts w:hint="eastAsia"/>
          <w:szCs w:val="28"/>
          <w:lang w:eastAsia="zh-HK"/>
        </w:rPr>
        <w:t>相同</w:t>
      </w:r>
      <w:r>
        <w:rPr>
          <w:rFonts w:hint="eastAsia"/>
          <w:szCs w:val="28"/>
        </w:rPr>
        <w:t>。</w:t>
      </w:r>
    </w:p>
    <w:p w:rsidR="006D2061" w:rsidRPr="007B1025" w:rsidRDefault="006D2061" w:rsidP="008375BB">
      <w:pPr>
        <w:tabs>
          <w:tab w:val="left" w:pos="1440"/>
        </w:tabs>
        <w:adjustRightInd w:val="0"/>
        <w:snapToGrid w:val="0"/>
        <w:spacing w:line="400" w:lineRule="atLeast"/>
        <w:jc w:val="both"/>
        <w:rPr>
          <w:szCs w:val="28"/>
        </w:rPr>
      </w:pPr>
    </w:p>
    <w:p w:rsidR="006D2061" w:rsidRPr="007B1025" w:rsidRDefault="006D2061" w:rsidP="008375BB">
      <w:pPr>
        <w:tabs>
          <w:tab w:val="left" w:pos="1440"/>
          <w:tab w:val="left" w:pos="1680"/>
        </w:tabs>
        <w:adjustRightInd w:val="0"/>
        <w:snapToGrid w:val="0"/>
        <w:spacing w:line="400" w:lineRule="atLeast"/>
        <w:jc w:val="both"/>
        <w:rPr>
          <w:szCs w:val="28"/>
        </w:rPr>
      </w:pPr>
      <w:r w:rsidRPr="007B1025">
        <w:rPr>
          <w:szCs w:val="28"/>
        </w:rPr>
        <w:t>10.</w:t>
      </w:r>
      <w:r>
        <w:rPr>
          <w:szCs w:val="28"/>
        </w:rPr>
        <w:t>13</w:t>
      </w:r>
      <w:r>
        <w:rPr>
          <w:szCs w:val="28"/>
        </w:rPr>
        <w:tab/>
      </w:r>
      <w:r w:rsidRPr="007B1025">
        <w:rPr>
          <w:rFonts w:hint="eastAsia"/>
          <w:szCs w:val="28"/>
        </w:rPr>
        <w:t>為加強對離異／正辦理離婚／分居的家庭的支援，社署在</w:t>
      </w:r>
      <w:r w:rsidRPr="007B1025">
        <w:rPr>
          <w:szCs w:val="28"/>
        </w:rPr>
        <w:t>2019-20</w:t>
      </w:r>
      <w:r w:rsidRPr="007B1025">
        <w:rPr>
          <w:rFonts w:hint="eastAsia"/>
          <w:szCs w:val="28"/>
        </w:rPr>
        <w:t>年度會在全港五個區域設立由非政府機構營辦的共享親職支援中心，為離異父母及其子女提供一站式的共享親職支援服務，包括共享親職輔導和親職協調服務、有系統的親職小組或活動、兒童為本的輔導、小組或活動，以及子女探視服務。</w:t>
      </w:r>
    </w:p>
    <w:p w:rsidR="006D2061" w:rsidRPr="007B1025" w:rsidRDefault="006D2061" w:rsidP="008375BB">
      <w:pPr>
        <w:tabs>
          <w:tab w:val="left" w:pos="1440"/>
        </w:tabs>
        <w:adjustRightInd w:val="0"/>
        <w:snapToGrid w:val="0"/>
        <w:spacing w:line="400" w:lineRule="atLeast"/>
        <w:jc w:val="both"/>
        <w:rPr>
          <w:szCs w:val="28"/>
        </w:rPr>
      </w:pPr>
    </w:p>
    <w:p w:rsidR="006D2061" w:rsidRPr="007B1025" w:rsidRDefault="006D2061" w:rsidP="008375BB">
      <w:pPr>
        <w:tabs>
          <w:tab w:val="left" w:pos="1440"/>
          <w:tab w:val="left" w:pos="1680"/>
        </w:tabs>
        <w:adjustRightInd w:val="0"/>
        <w:snapToGrid w:val="0"/>
        <w:spacing w:line="400" w:lineRule="atLeast"/>
        <w:jc w:val="both"/>
        <w:rPr>
          <w:szCs w:val="28"/>
        </w:rPr>
      </w:pPr>
      <w:r>
        <w:rPr>
          <w:rFonts w:hint="eastAsia"/>
          <w:szCs w:val="28"/>
        </w:rPr>
        <w:t>10.</w:t>
      </w:r>
      <w:r>
        <w:rPr>
          <w:szCs w:val="28"/>
        </w:rPr>
        <w:t>14</w:t>
      </w:r>
      <w:r>
        <w:rPr>
          <w:szCs w:val="28"/>
        </w:rPr>
        <w:tab/>
      </w:r>
      <w:r w:rsidRPr="007B1025">
        <w:rPr>
          <w:rFonts w:hint="eastAsia"/>
          <w:szCs w:val="28"/>
        </w:rPr>
        <w:t>委員會在上次審議結論第</w:t>
      </w:r>
      <w:r w:rsidRPr="007B1025">
        <w:rPr>
          <w:szCs w:val="28"/>
        </w:rPr>
        <w:t>47</w:t>
      </w:r>
      <w:r w:rsidRPr="007B1025">
        <w:rPr>
          <w:rFonts w:hint="eastAsia"/>
          <w:szCs w:val="28"/>
        </w:rPr>
        <w:t>段關注內地和香港分離家庭的團聚問題，我們的立場</w:t>
      </w:r>
      <w:r>
        <w:rPr>
          <w:rFonts w:hint="eastAsia"/>
          <w:szCs w:val="28"/>
        </w:rPr>
        <w:t>(</w:t>
      </w:r>
      <w:r w:rsidRPr="007B1025">
        <w:rPr>
          <w:rFonts w:hint="eastAsia"/>
          <w:szCs w:val="28"/>
        </w:rPr>
        <w:t>包括居留權的法律條文及居留權證明書（居權證）計劃</w:t>
      </w:r>
      <w:r>
        <w:rPr>
          <w:rFonts w:hint="eastAsia"/>
          <w:szCs w:val="28"/>
        </w:rPr>
        <w:t>)</w:t>
      </w:r>
      <w:r w:rsidRPr="007B1025">
        <w:rPr>
          <w:rFonts w:hint="eastAsia"/>
          <w:szCs w:val="28"/>
        </w:rPr>
        <w:t>在第二次報告的第</w:t>
      </w:r>
      <w:r w:rsidRPr="007B1025">
        <w:rPr>
          <w:szCs w:val="28"/>
        </w:rPr>
        <w:t>10.10</w:t>
      </w:r>
      <w:r w:rsidRPr="007B1025">
        <w:rPr>
          <w:rFonts w:hint="eastAsia"/>
          <w:szCs w:val="28"/>
        </w:rPr>
        <w:t>至</w:t>
      </w:r>
      <w:r w:rsidRPr="007B1025">
        <w:rPr>
          <w:szCs w:val="28"/>
        </w:rPr>
        <w:t>10.14</w:t>
      </w:r>
      <w:r w:rsidRPr="007B1025">
        <w:rPr>
          <w:rFonts w:hint="eastAsia"/>
          <w:szCs w:val="28"/>
        </w:rPr>
        <w:t>段闡述。我們在處理居留權的事宜上會充分顧及各項有關因素。《基本法》訂明</w:t>
      </w:r>
      <w:r w:rsidRPr="007B1025">
        <w:rPr>
          <w:szCs w:val="28"/>
        </w:rPr>
        <w:t>“</w:t>
      </w:r>
      <w:r w:rsidRPr="007B1025">
        <w:rPr>
          <w:rFonts w:hint="eastAsia"/>
          <w:szCs w:val="28"/>
        </w:rPr>
        <w:t>中國其他地區的人進入香港特別行政區須辦理批准手續</w:t>
      </w:r>
      <w:r w:rsidRPr="007B1025">
        <w:rPr>
          <w:szCs w:val="28"/>
        </w:rPr>
        <w:t>”</w:t>
      </w:r>
      <w:r w:rsidRPr="007B1025">
        <w:rPr>
          <w:rFonts w:hint="eastAsia"/>
          <w:szCs w:val="28"/>
        </w:rPr>
        <w:t>（第二十二條第（四）款）。內地居民如欲來港定居與家人團聚，須向內地當局申領單程證</w:t>
      </w:r>
      <w:r w:rsidRPr="008B4EC9">
        <w:rPr>
          <w:rFonts w:hint="eastAsia"/>
          <w:spacing w:val="4"/>
          <w:szCs w:val="28"/>
        </w:rPr>
        <w:t>（即《前往港澳通行證》）。單程證制度是為家庭團聚而設，在顧及香</w:t>
      </w:r>
      <w:r w:rsidRPr="007B1025">
        <w:rPr>
          <w:rFonts w:hint="eastAsia"/>
          <w:szCs w:val="28"/>
        </w:rPr>
        <w:t>港社會經濟基礎建設的限制下，讓合資格的內地居民有秩序地來港定居。</w:t>
      </w:r>
    </w:p>
    <w:p w:rsidR="006D2061" w:rsidRPr="007B1025" w:rsidRDefault="006D2061" w:rsidP="008375BB">
      <w:pPr>
        <w:tabs>
          <w:tab w:val="left" w:pos="1440"/>
        </w:tabs>
        <w:adjustRightInd w:val="0"/>
        <w:snapToGrid w:val="0"/>
        <w:spacing w:line="400" w:lineRule="atLeast"/>
        <w:jc w:val="both"/>
        <w:rPr>
          <w:szCs w:val="28"/>
        </w:rPr>
      </w:pPr>
    </w:p>
    <w:p w:rsidR="006D2061" w:rsidRPr="007B1025" w:rsidRDefault="006D2061" w:rsidP="008375BB">
      <w:pPr>
        <w:tabs>
          <w:tab w:val="left" w:pos="1440"/>
          <w:tab w:val="left" w:pos="1680"/>
        </w:tabs>
        <w:adjustRightInd w:val="0"/>
        <w:snapToGrid w:val="0"/>
        <w:spacing w:line="400" w:lineRule="atLeast"/>
        <w:jc w:val="both"/>
        <w:rPr>
          <w:szCs w:val="28"/>
        </w:rPr>
      </w:pPr>
      <w:r>
        <w:rPr>
          <w:rFonts w:hint="eastAsia"/>
          <w:szCs w:val="28"/>
        </w:rPr>
        <w:t>10.</w:t>
      </w:r>
      <w:r>
        <w:rPr>
          <w:szCs w:val="28"/>
        </w:rPr>
        <w:t>15</w:t>
      </w:r>
      <w:r>
        <w:rPr>
          <w:szCs w:val="28"/>
        </w:rPr>
        <w:tab/>
      </w:r>
      <w:r>
        <w:rPr>
          <w:rFonts w:hint="eastAsia"/>
          <w:szCs w:val="28"/>
          <w:lang w:eastAsia="zh-HK"/>
        </w:rPr>
        <w:t>與上次報</w:t>
      </w:r>
      <w:r>
        <w:rPr>
          <w:rFonts w:hint="eastAsia"/>
          <w:szCs w:val="28"/>
        </w:rPr>
        <w:t>告</w:t>
      </w:r>
      <w:r>
        <w:rPr>
          <w:rFonts w:hint="eastAsia"/>
          <w:szCs w:val="28"/>
          <w:lang w:eastAsia="zh-HK"/>
        </w:rPr>
        <w:t>第</w:t>
      </w:r>
      <w:r>
        <w:rPr>
          <w:rFonts w:hint="eastAsia"/>
          <w:szCs w:val="28"/>
        </w:rPr>
        <w:t>10.42</w:t>
      </w:r>
      <w:r>
        <w:rPr>
          <w:rFonts w:hint="eastAsia"/>
          <w:szCs w:val="28"/>
          <w:lang w:eastAsia="zh-HK"/>
        </w:rPr>
        <w:t>段所述相同</w:t>
      </w:r>
      <w:r>
        <w:rPr>
          <w:rFonts w:hint="eastAsia"/>
          <w:szCs w:val="28"/>
        </w:rPr>
        <w:t>，</w:t>
      </w:r>
      <w:r w:rsidRPr="007B1025">
        <w:rPr>
          <w:rFonts w:hint="eastAsia"/>
          <w:szCs w:val="28"/>
        </w:rPr>
        <w:t>內地當局自</w:t>
      </w:r>
      <w:r w:rsidRPr="007B1025">
        <w:rPr>
          <w:szCs w:val="28"/>
        </w:rPr>
        <w:t>1997</w:t>
      </w:r>
      <w:r w:rsidRPr="007B1025">
        <w:rPr>
          <w:rFonts w:hint="eastAsia"/>
          <w:szCs w:val="28"/>
        </w:rPr>
        <w:t>年</w:t>
      </w:r>
      <w:r w:rsidRPr="007B1025">
        <w:rPr>
          <w:szCs w:val="28"/>
        </w:rPr>
        <w:t>5</w:t>
      </w:r>
      <w:r w:rsidRPr="007B1025">
        <w:rPr>
          <w:rFonts w:hint="eastAsia"/>
          <w:szCs w:val="28"/>
        </w:rPr>
        <w:t>月實施</w:t>
      </w:r>
      <w:r>
        <w:rPr>
          <w:szCs w:val="28"/>
        </w:rPr>
        <w:t>“</w:t>
      </w:r>
      <w:r w:rsidRPr="007B1025">
        <w:rPr>
          <w:rFonts w:hint="eastAsia"/>
          <w:szCs w:val="28"/>
        </w:rPr>
        <w:t>打分制</w:t>
      </w:r>
      <w:r>
        <w:rPr>
          <w:szCs w:val="28"/>
        </w:rPr>
        <w:t>”</w:t>
      </w:r>
      <w:r w:rsidRPr="007B1025">
        <w:rPr>
          <w:rFonts w:hint="eastAsia"/>
          <w:szCs w:val="28"/>
        </w:rPr>
        <w:t>，按客觀標準審定申請人的資格及赴港定居次序，並不時就審批制度作出調整。內地居民亦可按其來港目的，例如探親或旅遊，向內地當局申領雙程證（即《往來港澳通行證》）及相關赴港簽注來港。</w:t>
      </w:r>
    </w:p>
    <w:p w:rsidR="006D2061" w:rsidRDefault="006D2061" w:rsidP="008375BB">
      <w:pPr>
        <w:tabs>
          <w:tab w:val="left" w:pos="1440"/>
        </w:tabs>
        <w:adjustRightInd w:val="0"/>
        <w:snapToGrid w:val="0"/>
        <w:spacing w:line="400" w:lineRule="atLeast"/>
        <w:jc w:val="both"/>
        <w:rPr>
          <w:szCs w:val="28"/>
        </w:rPr>
      </w:pPr>
    </w:p>
    <w:p w:rsidR="006D2061" w:rsidRPr="007B1025" w:rsidRDefault="006D2061" w:rsidP="008375BB">
      <w:pPr>
        <w:tabs>
          <w:tab w:val="left" w:pos="1440"/>
        </w:tabs>
        <w:adjustRightInd w:val="0"/>
        <w:snapToGrid w:val="0"/>
        <w:spacing w:line="400" w:lineRule="atLeast"/>
        <w:jc w:val="both"/>
        <w:rPr>
          <w:szCs w:val="28"/>
        </w:rPr>
      </w:pPr>
    </w:p>
    <w:p w:rsidR="006D2061" w:rsidRPr="007B1025" w:rsidRDefault="006D2061" w:rsidP="008375BB">
      <w:pPr>
        <w:tabs>
          <w:tab w:val="left" w:pos="1440"/>
        </w:tabs>
        <w:adjustRightInd w:val="0"/>
        <w:snapToGrid w:val="0"/>
        <w:spacing w:line="400" w:lineRule="atLeast"/>
        <w:jc w:val="both"/>
        <w:rPr>
          <w:szCs w:val="28"/>
        </w:rPr>
      </w:pPr>
      <w:r>
        <w:rPr>
          <w:rFonts w:hint="eastAsia"/>
          <w:szCs w:val="28"/>
        </w:rPr>
        <w:lastRenderedPageBreak/>
        <w:t>10.</w:t>
      </w:r>
      <w:r>
        <w:rPr>
          <w:szCs w:val="28"/>
        </w:rPr>
        <w:t>16</w:t>
      </w:r>
      <w:r>
        <w:rPr>
          <w:szCs w:val="28"/>
        </w:rPr>
        <w:tab/>
      </w:r>
      <w:r w:rsidRPr="007B1025">
        <w:rPr>
          <w:rFonts w:hint="eastAsia"/>
          <w:szCs w:val="28"/>
        </w:rPr>
        <w:t>單程證、雙程證及赴港簽注的受理、審批及簽發屬內地當局的職權範圍，但香港特區政府一直有向內地當局反映社會各界的訴求，內地當局亦不時就單程證、雙程證及赴港簽注的安排作出調整及優化</w:t>
      </w:r>
      <w:r>
        <w:rPr>
          <w:rFonts w:hint="eastAsia"/>
          <w:szCs w:val="28"/>
        </w:rPr>
        <w:t>（</w:t>
      </w:r>
      <w:r>
        <w:rPr>
          <w:rFonts w:hint="eastAsia"/>
          <w:szCs w:val="28"/>
          <w:lang w:eastAsia="zh-HK"/>
        </w:rPr>
        <w:t>例子見</w:t>
      </w:r>
      <w:r w:rsidRPr="005E7589">
        <w:rPr>
          <w:rFonts w:hint="eastAsia"/>
          <w:b/>
          <w:szCs w:val="28"/>
          <w:lang w:eastAsia="zh-HK"/>
        </w:rPr>
        <w:t>附件</w:t>
      </w:r>
      <w:r w:rsidRPr="005E7589">
        <w:rPr>
          <w:rFonts w:hint="eastAsia"/>
          <w:b/>
          <w:szCs w:val="28"/>
        </w:rPr>
        <w:t>10</w:t>
      </w:r>
      <w:r>
        <w:rPr>
          <w:rFonts w:hint="eastAsia"/>
          <w:b/>
          <w:szCs w:val="28"/>
        </w:rPr>
        <w:t>F</w:t>
      </w:r>
      <w:r>
        <w:rPr>
          <w:rFonts w:hint="eastAsia"/>
          <w:szCs w:val="28"/>
        </w:rPr>
        <w:t>）</w:t>
      </w:r>
      <w:r w:rsidRPr="007B1025">
        <w:rPr>
          <w:rFonts w:hint="eastAsia"/>
          <w:szCs w:val="28"/>
        </w:rPr>
        <w:t>。</w:t>
      </w:r>
    </w:p>
    <w:p w:rsidR="006D2061" w:rsidRDefault="006D2061" w:rsidP="008375BB">
      <w:pPr>
        <w:tabs>
          <w:tab w:val="left" w:pos="1440"/>
          <w:tab w:val="left" w:pos="1680"/>
        </w:tabs>
        <w:adjustRightInd w:val="0"/>
        <w:snapToGrid w:val="0"/>
        <w:spacing w:line="400" w:lineRule="atLeast"/>
        <w:jc w:val="both"/>
        <w:rPr>
          <w:szCs w:val="28"/>
        </w:rPr>
      </w:pPr>
    </w:p>
    <w:p w:rsidR="006D2061" w:rsidRDefault="006D2061" w:rsidP="008375BB">
      <w:pPr>
        <w:tabs>
          <w:tab w:val="left" w:pos="1440"/>
          <w:tab w:val="left" w:pos="1680"/>
        </w:tabs>
        <w:adjustRightInd w:val="0"/>
        <w:snapToGrid w:val="0"/>
        <w:spacing w:line="400" w:lineRule="atLeast"/>
        <w:jc w:val="both"/>
        <w:rPr>
          <w:szCs w:val="28"/>
        </w:rPr>
      </w:pPr>
      <w:r>
        <w:rPr>
          <w:rFonts w:hint="eastAsia"/>
          <w:szCs w:val="28"/>
        </w:rPr>
        <w:t>10.</w:t>
      </w:r>
      <w:r>
        <w:rPr>
          <w:szCs w:val="28"/>
        </w:rPr>
        <w:t>17</w:t>
      </w:r>
      <w:r>
        <w:rPr>
          <w:rFonts w:hint="eastAsia"/>
          <w:szCs w:val="28"/>
        </w:rPr>
        <w:tab/>
      </w:r>
      <w:r w:rsidRPr="007B1025">
        <w:rPr>
          <w:rFonts w:hint="eastAsia"/>
          <w:szCs w:val="28"/>
        </w:rPr>
        <w:t>自</w:t>
      </w:r>
      <w:r w:rsidRPr="007B1025">
        <w:rPr>
          <w:szCs w:val="28"/>
        </w:rPr>
        <w:t>1997</w:t>
      </w:r>
      <w:r w:rsidRPr="007B1025">
        <w:rPr>
          <w:rFonts w:hint="eastAsia"/>
          <w:szCs w:val="28"/>
        </w:rPr>
        <w:t>年</w:t>
      </w:r>
      <w:r w:rsidRPr="007B1025">
        <w:rPr>
          <w:szCs w:val="28"/>
        </w:rPr>
        <w:t>7</w:t>
      </w:r>
      <w:r w:rsidRPr="007B1025">
        <w:rPr>
          <w:rFonts w:hint="eastAsia"/>
          <w:szCs w:val="28"/>
        </w:rPr>
        <w:t>月</w:t>
      </w:r>
      <w:r w:rsidRPr="007B1025">
        <w:rPr>
          <w:szCs w:val="28"/>
        </w:rPr>
        <w:t>1</w:t>
      </w:r>
      <w:r w:rsidRPr="007B1025">
        <w:rPr>
          <w:rFonts w:hint="eastAsia"/>
          <w:szCs w:val="28"/>
        </w:rPr>
        <w:t>日香港特區成立至</w:t>
      </w:r>
      <w:r w:rsidRPr="007B1025">
        <w:rPr>
          <w:szCs w:val="28"/>
        </w:rPr>
        <w:t>2018</w:t>
      </w:r>
      <w:r w:rsidRPr="007B1025">
        <w:rPr>
          <w:rFonts w:hint="eastAsia"/>
          <w:szCs w:val="28"/>
        </w:rPr>
        <w:t>年</w:t>
      </w:r>
      <w:r w:rsidRPr="007B1025">
        <w:rPr>
          <w:szCs w:val="28"/>
        </w:rPr>
        <w:t>12</w:t>
      </w:r>
      <w:r w:rsidRPr="007B1025">
        <w:rPr>
          <w:rFonts w:hint="eastAsia"/>
          <w:szCs w:val="28"/>
        </w:rPr>
        <w:t>月</w:t>
      </w:r>
      <w:r w:rsidRPr="007B1025">
        <w:rPr>
          <w:szCs w:val="28"/>
        </w:rPr>
        <w:t>31</w:t>
      </w:r>
      <w:r w:rsidRPr="007B1025">
        <w:rPr>
          <w:rFonts w:hint="eastAsia"/>
          <w:szCs w:val="28"/>
        </w:rPr>
        <w:t>日，逾</w:t>
      </w:r>
      <w:r w:rsidRPr="007B1025">
        <w:rPr>
          <w:szCs w:val="28"/>
        </w:rPr>
        <w:t>1</w:t>
      </w:r>
      <w:r>
        <w:rPr>
          <w:szCs w:val="28"/>
        </w:rPr>
        <w:t> </w:t>
      </w:r>
      <w:r w:rsidRPr="007B1025">
        <w:rPr>
          <w:szCs w:val="28"/>
        </w:rPr>
        <w:t>030</w:t>
      </w:r>
      <w:r>
        <w:rPr>
          <w:szCs w:val="28"/>
        </w:rPr>
        <w:t> </w:t>
      </w:r>
      <w:r w:rsidRPr="007B1025">
        <w:rPr>
          <w:szCs w:val="28"/>
        </w:rPr>
        <w:t>000</w:t>
      </w:r>
      <w:r w:rsidRPr="007B1025">
        <w:rPr>
          <w:rFonts w:hint="eastAsia"/>
          <w:szCs w:val="28"/>
        </w:rPr>
        <w:t>名內地居民（包括持居權證人士）循單程證制度來港定居。</w:t>
      </w:r>
    </w:p>
    <w:p w:rsidR="006D2061" w:rsidRDefault="006D2061" w:rsidP="008375BB">
      <w:pPr>
        <w:tabs>
          <w:tab w:val="left" w:pos="1440"/>
        </w:tabs>
        <w:adjustRightInd w:val="0"/>
        <w:snapToGrid w:val="0"/>
        <w:spacing w:line="400" w:lineRule="atLeast"/>
        <w:jc w:val="both"/>
        <w:rPr>
          <w:szCs w:val="28"/>
        </w:rPr>
      </w:pPr>
    </w:p>
    <w:p w:rsidR="006D2061" w:rsidRPr="006B6C81" w:rsidRDefault="006D2061" w:rsidP="008375BB">
      <w:pPr>
        <w:tabs>
          <w:tab w:val="left" w:pos="1440"/>
        </w:tabs>
        <w:adjustRightInd w:val="0"/>
        <w:snapToGrid w:val="0"/>
        <w:spacing w:line="400" w:lineRule="atLeast"/>
        <w:jc w:val="both"/>
        <w:rPr>
          <w:b/>
          <w:szCs w:val="28"/>
        </w:rPr>
      </w:pPr>
      <w:r w:rsidRPr="006B6C81">
        <w:rPr>
          <w:rFonts w:hint="eastAsia"/>
          <w:b/>
          <w:szCs w:val="28"/>
        </w:rPr>
        <w:t>家庭暴力</w:t>
      </w:r>
    </w:p>
    <w:p w:rsidR="006D2061" w:rsidRPr="006B6C81" w:rsidRDefault="006D2061" w:rsidP="008375BB">
      <w:pPr>
        <w:tabs>
          <w:tab w:val="left" w:pos="1440"/>
        </w:tabs>
        <w:adjustRightInd w:val="0"/>
        <w:snapToGrid w:val="0"/>
        <w:spacing w:line="400" w:lineRule="atLeast"/>
        <w:jc w:val="both"/>
        <w:rPr>
          <w:szCs w:val="28"/>
        </w:rPr>
      </w:pPr>
    </w:p>
    <w:p w:rsidR="006D2061" w:rsidRPr="006B6C81" w:rsidRDefault="006D2061" w:rsidP="008375BB">
      <w:pPr>
        <w:tabs>
          <w:tab w:val="left" w:pos="1440"/>
          <w:tab w:val="left" w:pos="1680"/>
        </w:tabs>
        <w:adjustRightInd w:val="0"/>
        <w:snapToGrid w:val="0"/>
        <w:spacing w:line="400" w:lineRule="atLeast"/>
        <w:jc w:val="both"/>
        <w:rPr>
          <w:szCs w:val="28"/>
        </w:rPr>
      </w:pPr>
      <w:r w:rsidRPr="006B6C81">
        <w:rPr>
          <w:szCs w:val="28"/>
        </w:rPr>
        <w:t>10.</w:t>
      </w:r>
      <w:r>
        <w:rPr>
          <w:szCs w:val="28"/>
        </w:rPr>
        <w:t>18</w:t>
      </w:r>
      <w:r w:rsidRPr="006B6C81">
        <w:rPr>
          <w:szCs w:val="28"/>
        </w:rPr>
        <w:tab/>
      </w:r>
      <w:r w:rsidRPr="006B6C81">
        <w:rPr>
          <w:rFonts w:hint="eastAsia"/>
          <w:szCs w:val="28"/>
        </w:rPr>
        <w:t>政府十分重視預防家庭暴力及為家暴受害人提供支援。有關家庭暴力的跨專業的處理方法、架構、服務和預防策略大致與上次報告第</w:t>
      </w:r>
      <w:r w:rsidRPr="006B6C81">
        <w:rPr>
          <w:szCs w:val="28"/>
        </w:rPr>
        <w:t>10.46</w:t>
      </w:r>
      <w:r w:rsidRPr="006B6C81">
        <w:rPr>
          <w:rFonts w:hint="eastAsia"/>
          <w:szCs w:val="28"/>
        </w:rPr>
        <w:t>至</w:t>
      </w:r>
      <w:r w:rsidRPr="006B6C81">
        <w:rPr>
          <w:szCs w:val="28"/>
        </w:rPr>
        <w:t>10.49</w:t>
      </w:r>
      <w:r w:rsidRPr="006B6C81">
        <w:rPr>
          <w:rFonts w:hint="eastAsia"/>
          <w:szCs w:val="28"/>
        </w:rPr>
        <w:t>段報告的情況相同。上次報告後的進一步發展及強化措施</w:t>
      </w:r>
      <w:r>
        <w:rPr>
          <w:rFonts w:hint="eastAsia"/>
          <w:szCs w:val="28"/>
          <w:lang w:eastAsia="zh-HK"/>
        </w:rPr>
        <w:t>見</w:t>
      </w:r>
      <w:r w:rsidRPr="00946587">
        <w:rPr>
          <w:rFonts w:hint="eastAsia"/>
          <w:b/>
          <w:szCs w:val="28"/>
          <w:lang w:eastAsia="zh-HK"/>
        </w:rPr>
        <w:t>附件</w:t>
      </w:r>
      <w:r w:rsidRPr="00946587">
        <w:rPr>
          <w:rFonts w:hint="eastAsia"/>
          <w:b/>
          <w:szCs w:val="28"/>
        </w:rPr>
        <w:t>10</w:t>
      </w:r>
      <w:r>
        <w:rPr>
          <w:rFonts w:hint="eastAsia"/>
          <w:b/>
          <w:szCs w:val="28"/>
        </w:rPr>
        <w:t>G</w:t>
      </w:r>
      <w:r>
        <w:rPr>
          <w:rFonts w:hint="eastAsia"/>
          <w:szCs w:val="28"/>
        </w:rPr>
        <w:t>。</w:t>
      </w:r>
    </w:p>
    <w:p w:rsidR="006D2061" w:rsidRPr="006B6C81" w:rsidRDefault="006D2061" w:rsidP="008375BB">
      <w:pPr>
        <w:tabs>
          <w:tab w:val="left" w:pos="1440"/>
        </w:tabs>
        <w:adjustRightInd w:val="0"/>
        <w:snapToGrid w:val="0"/>
        <w:spacing w:line="400" w:lineRule="atLeast"/>
        <w:jc w:val="both"/>
        <w:rPr>
          <w:szCs w:val="28"/>
        </w:rPr>
      </w:pPr>
    </w:p>
    <w:p w:rsidR="006D2061" w:rsidRPr="00DE6BA7" w:rsidRDefault="006D2061" w:rsidP="008375BB">
      <w:pPr>
        <w:tabs>
          <w:tab w:val="left" w:pos="1440"/>
        </w:tabs>
        <w:adjustRightInd w:val="0"/>
        <w:snapToGrid w:val="0"/>
        <w:spacing w:line="400" w:lineRule="atLeast"/>
        <w:jc w:val="both"/>
        <w:rPr>
          <w:b/>
          <w:szCs w:val="28"/>
        </w:rPr>
      </w:pPr>
      <w:r w:rsidRPr="00DE6BA7">
        <w:rPr>
          <w:rFonts w:hint="eastAsia"/>
          <w:b/>
          <w:szCs w:val="28"/>
        </w:rPr>
        <w:t>保護兒童及青少年</w:t>
      </w:r>
    </w:p>
    <w:p w:rsidR="006D2061" w:rsidRDefault="006D2061" w:rsidP="008375BB">
      <w:pPr>
        <w:tabs>
          <w:tab w:val="left" w:pos="1440"/>
        </w:tabs>
        <w:adjustRightInd w:val="0"/>
        <w:snapToGrid w:val="0"/>
        <w:spacing w:line="400" w:lineRule="atLeast"/>
        <w:jc w:val="both"/>
        <w:rPr>
          <w:szCs w:val="28"/>
        </w:rPr>
      </w:pPr>
    </w:p>
    <w:p w:rsidR="006D2061" w:rsidRDefault="006D2061" w:rsidP="00B258EE">
      <w:pPr>
        <w:tabs>
          <w:tab w:val="left" w:pos="1440"/>
          <w:tab w:val="left" w:pos="1680"/>
        </w:tabs>
        <w:overflowPunct w:val="0"/>
        <w:adjustRightInd w:val="0"/>
        <w:snapToGrid w:val="0"/>
        <w:spacing w:line="400" w:lineRule="atLeast"/>
        <w:jc w:val="both"/>
        <w:rPr>
          <w:szCs w:val="28"/>
        </w:rPr>
      </w:pPr>
      <w:r>
        <w:rPr>
          <w:szCs w:val="28"/>
        </w:rPr>
        <w:t>10.19</w:t>
      </w:r>
      <w:r w:rsidRPr="00DE6BA7">
        <w:rPr>
          <w:szCs w:val="28"/>
        </w:rPr>
        <w:tab/>
      </w:r>
      <w:r w:rsidRPr="00DE6BA7">
        <w:rPr>
          <w:rFonts w:hint="eastAsia"/>
          <w:szCs w:val="28"/>
        </w:rPr>
        <w:t>虐待兒童是其中一項常見的家庭暴力。政府深信每名兒童都應受到保護，免受傷害或虐待。保護兒童有賴政府、社會各界及專業衷誠合作。為保障兒童的最佳利益和保護懷疑受虐或已受虐的兒童，社署聯同相關部門、非政府機構及專業人士制定了《處理虐待兒</w:t>
      </w:r>
      <w:r w:rsidRPr="00B258EE">
        <w:rPr>
          <w:rFonts w:hint="eastAsia"/>
          <w:spacing w:val="6"/>
          <w:szCs w:val="28"/>
        </w:rPr>
        <w:t>童個案程序指引（</w:t>
      </w:r>
      <w:r w:rsidRPr="00B258EE">
        <w:rPr>
          <w:rFonts w:hint="eastAsia"/>
          <w:spacing w:val="6"/>
          <w:szCs w:val="28"/>
        </w:rPr>
        <w:t>2015</w:t>
      </w:r>
      <w:r w:rsidRPr="00B258EE">
        <w:rPr>
          <w:rFonts w:hint="eastAsia"/>
          <w:spacing w:val="6"/>
          <w:szCs w:val="28"/>
        </w:rPr>
        <w:t>年修訂版）》，讓相關人士如警務人員、社工、</w:t>
      </w:r>
      <w:r w:rsidRPr="00DE6BA7">
        <w:rPr>
          <w:rFonts w:hint="eastAsia"/>
          <w:szCs w:val="28"/>
        </w:rPr>
        <w:t>從事醫務工作及教育的人員，遇到懷疑虐待兒童個案時參考，以</w:t>
      </w:r>
      <w:r w:rsidRPr="003013A5">
        <w:rPr>
          <w:rFonts w:hint="eastAsia"/>
          <w:spacing w:val="2"/>
          <w:szCs w:val="28"/>
        </w:rPr>
        <w:t>便展開初步評估、社會背景調查、多專業個案會議及跟進福利計劃等。政府正在檢討</w:t>
      </w:r>
      <w:r w:rsidRPr="003013A5">
        <w:rPr>
          <w:rFonts w:hint="eastAsia"/>
          <w:spacing w:val="2"/>
          <w:szCs w:val="28"/>
          <w:lang w:eastAsia="zh-HK"/>
        </w:rPr>
        <w:t>該</w:t>
      </w:r>
      <w:r w:rsidRPr="003013A5">
        <w:rPr>
          <w:rFonts w:hint="eastAsia"/>
          <w:spacing w:val="2"/>
          <w:szCs w:val="28"/>
        </w:rPr>
        <w:t>《程序指引》，預計於</w:t>
      </w:r>
      <w:r w:rsidRPr="003013A5">
        <w:rPr>
          <w:spacing w:val="2"/>
          <w:szCs w:val="28"/>
        </w:rPr>
        <w:t>2019</w:t>
      </w:r>
      <w:r w:rsidRPr="003013A5">
        <w:rPr>
          <w:rFonts w:hint="eastAsia"/>
          <w:spacing w:val="2"/>
          <w:szCs w:val="28"/>
        </w:rPr>
        <w:t>年完成。社署轄下的</w:t>
      </w:r>
      <w:r w:rsidRPr="00DE6BA7">
        <w:rPr>
          <w:rFonts w:hint="eastAsia"/>
          <w:szCs w:val="28"/>
        </w:rPr>
        <w:t>保護兒童資料系統中有關虐待兒童個案的統計數字載列</w:t>
      </w:r>
      <w:r>
        <w:rPr>
          <w:rFonts w:hint="eastAsia"/>
          <w:szCs w:val="28"/>
          <w:lang w:eastAsia="zh-HK"/>
        </w:rPr>
        <w:t>於</w:t>
      </w:r>
      <w:r w:rsidRPr="00946587">
        <w:rPr>
          <w:rFonts w:hint="eastAsia"/>
          <w:b/>
          <w:szCs w:val="28"/>
          <w:lang w:eastAsia="zh-HK"/>
        </w:rPr>
        <w:t>附件</w:t>
      </w:r>
      <w:r w:rsidRPr="00946587">
        <w:rPr>
          <w:rFonts w:hint="eastAsia"/>
          <w:b/>
          <w:szCs w:val="28"/>
        </w:rPr>
        <w:t>10</w:t>
      </w:r>
      <w:r>
        <w:rPr>
          <w:rFonts w:hint="eastAsia"/>
          <w:b/>
          <w:szCs w:val="28"/>
        </w:rPr>
        <w:t>H</w:t>
      </w:r>
      <w:r>
        <w:rPr>
          <w:rFonts w:hint="eastAsia"/>
          <w:szCs w:val="28"/>
        </w:rPr>
        <w:t>。</w:t>
      </w:r>
    </w:p>
    <w:p w:rsidR="006D2061" w:rsidRDefault="006D2061" w:rsidP="008375BB">
      <w:pPr>
        <w:tabs>
          <w:tab w:val="left" w:pos="1440"/>
        </w:tabs>
        <w:adjustRightInd w:val="0"/>
        <w:snapToGrid w:val="0"/>
        <w:spacing w:line="400" w:lineRule="atLeast"/>
        <w:jc w:val="both"/>
        <w:rPr>
          <w:szCs w:val="28"/>
        </w:rPr>
      </w:pPr>
    </w:p>
    <w:p w:rsidR="006D2061" w:rsidRPr="00611525" w:rsidRDefault="006D2061" w:rsidP="008375BB">
      <w:pPr>
        <w:tabs>
          <w:tab w:val="left" w:pos="1440"/>
        </w:tabs>
        <w:adjustRightInd w:val="0"/>
        <w:snapToGrid w:val="0"/>
        <w:spacing w:line="400" w:lineRule="atLeast"/>
        <w:jc w:val="both"/>
        <w:rPr>
          <w:b/>
          <w:szCs w:val="28"/>
        </w:rPr>
      </w:pPr>
      <w:r w:rsidRPr="00611525">
        <w:rPr>
          <w:rFonts w:hint="eastAsia"/>
          <w:b/>
          <w:szCs w:val="28"/>
        </w:rPr>
        <w:t>照顧及支援長者</w:t>
      </w:r>
    </w:p>
    <w:p w:rsidR="006D2061" w:rsidRDefault="006D2061" w:rsidP="008375BB">
      <w:pPr>
        <w:tabs>
          <w:tab w:val="left" w:pos="1440"/>
          <w:tab w:val="left" w:pos="1680"/>
        </w:tabs>
        <w:adjustRightInd w:val="0"/>
        <w:snapToGrid w:val="0"/>
        <w:spacing w:line="400" w:lineRule="atLeast"/>
        <w:jc w:val="both"/>
        <w:rPr>
          <w:szCs w:val="28"/>
        </w:rPr>
      </w:pPr>
    </w:p>
    <w:p w:rsidR="006D2061" w:rsidRPr="00DE6BA7" w:rsidRDefault="006D2061" w:rsidP="008375BB">
      <w:pPr>
        <w:tabs>
          <w:tab w:val="left" w:pos="1440"/>
          <w:tab w:val="left" w:pos="1680"/>
        </w:tabs>
        <w:adjustRightInd w:val="0"/>
        <w:snapToGrid w:val="0"/>
        <w:spacing w:line="400" w:lineRule="atLeast"/>
        <w:jc w:val="both"/>
        <w:rPr>
          <w:szCs w:val="28"/>
        </w:rPr>
      </w:pPr>
      <w:r w:rsidRPr="0084370E">
        <w:rPr>
          <w:spacing w:val="4"/>
          <w:szCs w:val="28"/>
        </w:rPr>
        <w:t>10.20</w:t>
      </w:r>
      <w:r w:rsidRPr="0084370E">
        <w:rPr>
          <w:spacing w:val="4"/>
          <w:szCs w:val="28"/>
        </w:rPr>
        <w:tab/>
      </w:r>
      <w:r w:rsidRPr="0084370E">
        <w:rPr>
          <w:rFonts w:hint="eastAsia"/>
          <w:spacing w:val="4"/>
          <w:szCs w:val="28"/>
        </w:rPr>
        <w:t>安老事務委員會（安委會）的職能與第一次報告第</w:t>
      </w:r>
      <w:r w:rsidRPr="0084370E">
        <w:rPr>
          <w:spacing w:val="4"/>
          <w:szCs w:val="28"/>
        </w:rPr>
        <w:t>299</w:t>
      </w:r>
      <w:r w:rsidRPr="0084370E">
        <w:rPr>
          <w:rFonts w:hint="eastAsia"/>
          <w:spacing w:val="4"/>
          <w:szCs w:val="28"/>
        </w:rPr>
        <w:t>至</w:t>
      </w:r>
      <w:r w:rsidRPr="00DE6BA7">
        <w:rPr>
          <w:szCs w:val="28"/>
        </w:rPr>
        <w:t>301</w:t>
      </w:r>
      <w:r w:rsidRPr="00DE6BA7">
        <w:rPr>
          <w:rFonts w:hint="eastAsia"/>
          <w:szCs w:val="28"/>
        </w:rPr>
        <w:t>段所述的相同。</w:t>
      </w:r>
      <w:r>
        <w:rPr>
          <w:rFonts w:hint="eastAsia"/>
          <w:szCs w:val="28"/>
          <w:lang w:eastAsia="zh-HK"/>
        </w:rPr>
        <w:t>安</w:t>
      </w:r>
      <w:r w:rsidRPr="00DE6BA7">
        <w:rPr>
          <w:rFonts w:hint="eastAsia"/>
          <w:szCs w:val="28"/>
        </w:rPr>
        <w:t>委會現時有</w:t>
      </w:r>
      <w:r w:rsidRPr="00DE6BA7">
        <w:rPr>
          <w:szCs w:val="28"/>
        </w:rPr>
        <w:t>17</w:t>
      </w:r>
      <w:r w:rsidRPr="00DE6BA7">
        <w:rPr>
          <w:rFonts w:hint="eastAsia"/>
          <w:szCs w:val="28"/>
        </w:rPr>
        <w:t>名非官方委員。近年，安委會專注於監察《安老服務計劃方案》的執行，以及就如何進一步推行</w:t>
      </w:r>
      <w:r w:rsidRPr="00DE6BA7">
        <w:rPr>
          <w:rFonts w:hint="eastAsia"/>
          <w:szCs w:val="28"/>
        </w:rPr>
        <w:lastRenderedPageBreak/>
        <w:t>居家安老提出建議。</w:t>
      </w:r>
    </w:p>
    <w:p w:rsidR="006D2061" w:rsidRPr="00DE6BA7" w:rsidRDefault="006D2061" w:rsidP="008375BB">
      <w:pPr>
        <w:tabs>
          <w:tab w:val="left" w:pos="1440"/>
        </w:tabs>
        <w:adjustRightInd w:val="0"/>
        <w:snapToGrid w:val="0"/>
        <w:spacing w:line="400" w:lineRule="atLeast"/>
        <w:jc w:val="both"/>
        <w:rPr>
          <w:szCs w:val="28"/>
        </w:rPr>
      </w:pPr>
    </w:p>
    <w:p w:rsidR="006D2061" w:rsidRPr="00611525" w:rsidRDefault="006D2061" w:rsidP="008375BB">
      <w:pPr>
        <w:tabs>
          <w:tab w:val="left" w:pos="1440"/>
        </w:tabs>
        <w:adjustRightInd w:val="0"/>
        <w:snapToGrid w:val="0"/>
        <w:spacing w:line="400" w:lineRule="atLeast"/>
        <w:jc w:val="both"/>
        <w:rPr>
          <w:szCs w:val="28"/>
          <w:u w:val="single"/>
        </w:rPr>
      </w:pPr>
      <w:r w:rsidRPr="00611525">
        <w:rPr>
          <w:rFonts w:hint="eastAsia"/>
          <w:szCs w:val="28"/>
          <w:u w:val="single"/>
        </w:rPr>
        <w:t>《安老服務計劃方案》</w:t>
      </w:r>
    </w:p>
    <w:p w:rsidR="006D2061" w:rsidRPr="00DE6BA7" w:rsidRDefault="006D2061" w:rsidP="008375BB">
      <w:pPr>
        <w:tabs>
          <w:tab w:val="left" w:pos="1440"/>
        </w:tabs>
        <w:adjustRightInd w:val="0"/>
        <w:snapToGrid w:val="0"/>
        <w:spacing w:line="400" w:lineRule="atLeast"/>
        <w:jc w:val="both"/>
        <w:rPr>
          <w:szCs w:val="28"/>
        </w:rPr>
      </w:pPr>
    </w:p>
    <w:p w:rsidR="006D2061" w:rsidRPr="00DE6BA7" w:rsidRDefault="006D2061" w:rsidP="008375BB">
      <w:pPr>
        <w:tabs>
          <w:tab w:val="left" w:pos="1440"/>
          <w:tab w:val="left" w:pos="1680"/>
        </w:tabs>
        <w:adjustRightInd w:val="0"/>
        <w:snapToGrid w:val="0"/>
        <w:spacing w:line="400" w:lineRule="atLeast"/>
        <w:jc w:val="both"/>
        <w:rPr>
          <w:szCs w:val="28"/>
        </w:rPr>
      </w:pPr>
      <w:r>
        <w:rPr>
          <w:szCs w:val="28"/>
        </w:rPr>
        <w:t>10.21</w:t>
      </w:r>
      <w:r w:rsidRPr="00DE6BA7">
        <w:rPr>
          <w:szCs w:val="28"/>
        </w:rPr>
        <w:tab/>
      </w:r>
      <w:r w:rsidRPr="00DE6BA7">
        <w:rPr>
          <w:rFonts w:hint="eastAsia"/>
          <w:szCs w:val="28"/>
        </w:rPr>
        <w:t>為</w:t>
      </w:r>
      <w:r>
        <w:rPr>
          <w:rFonts w:hint="eastAsia"/>
          <w:szCs w:val="28"/>
          <w:lang w:eastAsia="zh-HK"/>
        </w:rPr>
        <w:t>規</w:t>
      </w:r>
      <w:r>
        <w:rPr>
          <w:rFonts w:hint="eastAsia"/>
          <w:szCs w:val="28"/>
        </w:rPr>
        <w:t>劃</w:t>
      </w:r>
      <w:r w:rsidRPr="00DE6BA7">
        <w:rPr>
          <w:rFonts w:hint="eastAsia"/>
          <w:szCs w:val="28"/>
        </w:rPr>
        <w:t>安老服務的長遠發展，政府在</w:t>
      </w:r>
      <w:r w:rsidRPr="00DE6BA7">
        <w:rPr>
          <w:szCs w:val="28"/>
        </w:rPr>
        <w:t>2014</w:t>
      </w:r>
      <w:r w:rsidRPr="00DE6BA7">
        <w:rPr>
          <w:rFonts w:hint="eastAsia"/>
          <w:szCs w:val="28"/>
        </w:rPr>
        <w:t>年委託安委會</w:t>
      </w:r>
      <w:r w:rsidRPr="0084370E">
        <w:rPr>
          <w:rFonts w:hint="eastAsia"/>
          <w:spacing w:val="6"/>
          <w:szCs w:val="28"/>
        </w:rPr>
        <w:t>籌劃《安老服務計劃方案》。《計劃方案》於</w:t>
      </w:r>
      <w:r w:rsidRPr="0084370E">
        <w:rPr>
          <w:spacing w:val="6"/>
          <w:szCs w:val="28"/>
        </w:rPr>
        <w:t>2017</w:t>
      </w:r>
      <w:r w:rsidRPr="0084370E">
        <w:rPr>
          <w:rFonts w:hint="eastAsia"/>
          <w:spacing w:val="6"/>
          <w:szCs w:val="28"/>
        </w:rPr>
        <w:t>年完成，提出了四</w:t>
      </w:r>
      <w:r w:rsidRPr="00DE6BA7">
        <w:rPr>
          <w:rFonts w:hint="eastAsia"/>
          <w:szCs w:val="28"/>
        </w:rPr>
        <w:t>個策略方針及</w:t>
      </w:r>
      <w:r w:rsidRPr="00DE6BA7">
        <w:rPr>
          <w:szCs w:val="28"/>
        </w:rPr>
        <w:t>20</w:t>
      </w:r>
      <w:r w:rsidRPr="00DE6BA7">
        <w:rPr>
          <w:rFonts w:hint="eastAsia"/>
          <w:szCs w:val="28"/>
        </w:rPr>
        <w:t>項加強安老服務的建議。政府認同並已開始落實各項建議。例</w:t>
      </w:r>
      <w:r>
        <w:rPr>
          <w:rFonts w:hint="eastAsia"/>
          <w:szCs w:val="28"/>
          <w:lang w:eastAsia="zh-HK"/>
        </w:rPr>
        <w:t>如</w:t>
      </w:r>
      <w:r w:rsidRPr="00DE6BA7">
        <w:rPr>
          <w:rFonts w:hint="eastAsia"/>
          <w:szCs w:val="28"/>
        </w:rPr>
        <w:t>政府已在</w:t>
      </w:r>
      <w:r w:rsidRPr="00DE6BA7">
        <w:rPr>
          <w:szCs w:val="28"/>
        </w:rPr>
        <w:t>2018</w:t>
      </w:r>
      <w:r w:rsidRPr="00DE6BA7">
        <w:rPr>
          <w:rFonts w:hint="eastAsia"/>
          <w:szCs w:val="28"/>
        </w:rPr>
        <w:t>年</w:t>
      </w:r>
      <w:r w:rsidRPr="00DE6BA7">
        <w:rPr>
          <w:szCs w:val="28"/>
        </w:rPr>
        <w:t>12</w:t>
      </w:r>
      <w:r w:rsidRPr="00DE6BA7">
        <w:rPr>
          <w:rFonts w:hint="eastAsia"/>
          <w:szCs w:val="28"/>
        </w:rPr>
        <w:t>月就資助院舍照顧服務和社區照顧服務、長者地區中心，以及長者鄰舍中心，在《香港規劃標準與準則》訂定以人口為基礎的規劃比率。這有助政府部門在規劃新的住宅發展項目時，儘早</w:t>
      </w:r>
      <w:r>
        <w:rPr>
          <w:rFonts w:hint="eastAsia"/>
          <w:szCs w:val="28"/>
          <w:lang w:eastAsia="zh-HK"/>
        </w:rPr>
        <w:t>為</w:t>
      </w:r>
      <w:r w:rsidRPr="00DE6BA7">
        <w:rPr>
          <w:rFonts w:hint="eastAsia"/>
          <w:szCs w:val="28"/>
        </w:rPr>
        <w:t>安老服務及設施預留合適的土地。</w:t>
      </w:r>
    </w:p>
    <w:p w:rsidR="006D2061" w:rsidRDefault="006D2061" w:rsidP="008375BB">
      <w:pPr>
        <w:tabs>
          <w:tab w:val="left" w:pos="1440"/>
        </w:tabs>
        <w:adjustRightInd w:val="0"/>
        <w:snapToGrid w:val="0"/>
        <w:spacing w:line="400" w:lineRule="atLeast"/>
        <w:jc w:val="both"/>
        <w:rPr>
          <w:szCs w:val="28"/>
        </w:rPr>
      </w:pPr>
    </w:p>
    <w:p w:rsidR="006D2061" w:rsidRPr="00DE6BA7" w:rsidRDefault="006D2061" w:rsidP="008375BB">
      <w:pPr>
        <w:tabs>
          <w:tab w:val="left" w:pos="1440"/>
        </w:tabs>
        <w:adjustRightInd w:val="0"/>
        <w:snapToGrid w:val="0"/>
        <w:spacing w:line="400" w:lineRule="atLeast"/>
        <w:jc w:val="both"/>
        <w:rPr>
          <w:szCs w:val="28"/>
          <w:lang w:eastAsia="zh-HK"/>
        </w:rPr>
      </w:pPr>
      <w:r>
        <w:rPr>
          <w:rFonts w:hint="eastAsia"/>
          <w:szCs w:val="28"/>
        </w:rPr>
        <w:t>10.</w:t>
      </w:r>
      <w:r>
        <w:rPr>
          <w:szCs w:val="28"/>
        </w:rPr>
        <w:t>22</w:t>
      </w:r>
      <w:r>
        <w:rPr>
          <w:rFonts w:hint="eastAsia"/>
          <w:szCs w:val="28"/>
        </w:rPr>
        <w:tab/>
      </w:r>
      <w:r>
        <w:rPr>
          <w:rFonts w:hint="eastAsia"/>
          <w:szCs w:val="28"/>
          <w:lang w:eastAsia="zh-HK"/>
        </w:rPr>
        <w:t>為居於</w:t>
      </w:r>
      <w:r w:rsidRPr="00BC2C90">
        <w:rPr>
          <w:rFonts w:hint="eastAsia"/>
          <w:szCs w:val="28"/>
          <w:lang w:eastAsia="zh-HK"/>
        </w:rPr>
        <w:t>社區</w:t>
      </w:r>
      <w:r w:rsidRPr="00EB2103">
        <w:rPr>
          <w:rFonts w:hint="eastAsia"/>
          <w:szCs w:val="28"/>
          <w:lang w:eastAsia="zh-HK"/>
        </w:rPr>
        <w:t>的</w:t>
      </w:r>
      <w:r w:rsidRPr="00946587">
        <w:rPr>
          <w:rFonts w:hint="eastAsia"/>
          <w:szCs w:val="28"/>
          <w:lang w:eastAsia="zh-HK"/>
        </w:rPr>
        <w:t>長者提供</w:t>
      </w:r>
      <w:r>
        <w:rPr>
          <w:rFonts w:hint="eastAsia"/>
          <w:szCs w:val="28"/>
          <w:lang w:eastAsia="zh-HK"/>
        </w:rPr>
        <w:t>的</w:t>
      </w:r>
      <w:r w:rsidRPr="00946587">
        <w:rPr>
          <w:rFonts w:hint="eastAsia"/>
          <w:szCs w:val="28"/>
          <w:lang w:eastAsia="zh-HK"/>
        </w:rPr>
        <w:t>服務、院舍住</w:t>
      </w:r>
      <w:r w:rsidRPr="00946587">
        <w:rPr>
          <w:rFonts w:hint="eastAsia"/>
          <w:szCs w:val="28"/>
        </w:rPr>
        <w:t>宿</w:t>
      </w:r>
      <w:r w:rsidRPr="00946587">
        <w:rPr>
          <w:rFonts w:hint="eastAsia"/>
          <w:szCs w:val="28"/>
          <w:lang w:eastAsia="zh-HK"/>
        </w:rPr>
        <w:t>照</w:t>
      </w:r>
      <w:r w:rsidRPr="00946587">
        <w:rPr>
          <w:rFonts w:hint="eastAsia"/>
          <w:szCs w:val="28"/>
        </w:rPr>
        <w:t>顧</w:t>
      </w:r>
      <w:r w:rsidRPr="00946587">
        <w:rPr>
          <w:rFonts w:hint="eastAsia"/>
          <w:szCs w:val="28"/>
          <w:lang w:eastAsia="zh-HK"/>
        </w:rPr>
        <w:t>服</w:t>
      </w:r>
      <w:r w:rsidRPr="00946587">
        <w:rPr>
          <w:rFonts w:hint="eastAsia"/>
          <w:szCs w:val="28"/>
        </w:rPr>
        <w:t>務</w:t>
      </w:r>
      <w:r w:rsidRPr="00946587">
        <w:rPr>
          <w:rFonts w:hint="eastAsia"/>
          <w:szCs w:val="28"/>
          <w:lang w:eastAsia="zh-HK"/>
        </w:rPr>
        <w:t>、對弱</w:t>
      </w:r>
      <w:r w:rsidRPr="00946587">
        <w:rPr>
          <w:rFonts w:hint="eastAsia"/>
          <w:szCs w:val="28"/>
        </w:rPr>
        <w:t>勢</w:t>
      </w:r>
      <w:r w:rsidRPr="00946587">
        <w:rPr>
          <w:rFonts w:hint="eastAsia"/>
          <w:szCs w:val="28"/>
          <w:lang w:eastAsia="zh-HK"/>
        </w:rPr>
        <w:t>長者的支</w:t>
      </w:r>
      <w:r w:rsidRPr="00946587">
        <w:rPr>
          <w:rFonts w:hint="eastAsia"/>
          <w:szCs w:val="28"/>
        </w:rPr>
        <w:t>援，</w:t>
      </w:r>
      <w:r w:rsidRPr="00946587">
        <w:rPr>
          <w:rFonts w:hint="eastAsia"/>
          <w:szCs w:val="28"/>
          <w:lang w:eastAsia="zh-HK"/>
        </w:rPr>
        <w:t>支</w:t>
      </w:r>
      <w:r w:rsidRPr="00946587">
        <w:rPr>
          <w:rFonts w:hint="eastAsia"/>
          <w:szCs w:val="28"/>
        </w:rPr>
        <w:t>援</w:t>
      </w:r>
      <w:r w:rsidRPr="00946587">
        <w:rPr>
          <w:rFonts w:hint="eastAsia"/>
          <w:szCs w:val="28"/>
          <w:lang w:eastAsia="zh-HK"/>
        </w:rPr>
        <w:t>護老者</w:t>
      </w:r>
      <w:r>
        <w:rPr>
          <w:rFonts w:hint="eastAsia"/>
          <w:szCs w:val="28"/>
        </w:rPr>
        <w:t>以及有關</w:t>
      </w:r>
      <w:r w:rsidRPr="00C156BA">
        <w:rPr>
          <w:rFonts w:hint="eastAsia"/>
          <w:szCs w:val="28"/>
        </w:rPr>
        <w:t>檢視院舍法例</w:t>
      </w:r>
      <w:r w:rsidRPr="00946587">
        <w:rPr>
          <w:rFonts w:hint="eastAsia"/>
          <w:szCs w:val="28"/>
          <w:lang w:eastAsia="zh-HK"/>
        </w:rPr>
        <w:t>的最新情</w:t>
      </w:r>
      <w:r w:rsidRPr="00946587">
        <w:rPr>
          <w:rFonts w:hint="eastAsia"/>
          <w:szCs w:val="28"/>
        </w:rPr>
        <w:t>況，</w:t>
      </w:r>
      <w:r w:rsidRPr="00946587">
        <w:rPr>
          <w:rFonts w:hint="eastAsia"/>
          <w:szCs w:val="28"/>
          <w:lang w:eastAsia="zh-HK"/>
        </w:rPr>
        <w:t>載於</w:t>
      </w:r>
      <w:r w:rsidRPr="00946587">
        <w:rPr>
          <w:rFonts w:hint="eastAsia"/>
          <w:b/>
          <w:szCs w:val="28"/>
          <w:lang w:eastAsia="zh-HK"/>
        </w:rPr>
        <w:t>附件</w:t>
      </w:r>
      <w:r w:rsidRPr="00946587">
        <w:rPr>
          <w:rFonts w:hint="eastAsia"/>
          <w:b/>
          <w:szCs w:val="28"/>
        </w:rPr>
        <w:t>10</w:t>
      </w:r>
      <w:r>
        <w:rPr>
          <w:rFonts w:hint="eastAsia"/>
          <w:b/>
          <w:szCs w:val="28"/>
        </w:rPr>
        <w:t>I</w:t>
      </w:r>
      <w:r w:rsidRPr="00946587">
        <w:rPr>
          <w:rFonts w:hint="eastAsia"/>
          <w:szCs w:val="28"/>
        </w:rPr>
        <w:t>。</w:t>
      </w:r>
    </w:p>
    <w:p w:rsidR="006D2061" w:rsidRDefault="006D2061" w:rsidP="008375BB">
      <w:pPr>
        <w:tabs>
          <w:tab w:val="left" w:pos="1440"/>
        </w:tabs>
        <w:adjustRightInd w:val="0"/>
        <w:snapToGrid w:val="0"/>
        <w:spacing w:line="400" w:lineRule="atLeast"/>
        <w:jc w:val="both"/>
        <w:rPr>
          <w:szCs w:val="28"/>
        </w:rPr>
      </w:pPr>
    </w:p>
    <w:p w:rsidR="006D2061" w:rsidRPr="00C156BA" w:rsidRDefault="006D2061" w:rsidP="008375BB">
      <w:pPr>
        <w:tabs>
          <w:tab w:val="left" w:pos="1440"/>
          <w:tab w:val="left" w:pos="1680"/>
        </w:tabs>
        <w:adjustRightInd w:val="0"/>
        <w:snapToGrid w:val="0"/>
        <w:spacing w:line="400" w:lineRule="atLeast"/>
        <w:jc w:val="both"/>
        <w:rPr>
          <w:szCs w:val="28"/>
        </w:rPr>
      </w:pPr>
      <w:r w:rsidRPr="00C156BA">
        <w:rPr>
          <w:szCs w:val="28"/>
        </w:rPr>
        <w:t>10.</w:t>
      </w:r>
      <w:r>
        <w:rPr>
          <w:szCs w:val="28"/>
        </w:rPr>
        <w:t>23</w:t>
      </w:r>
      <w:r w:rsidRPr="00C156BA">
        <w:rPr>
          <w:szCs w:val="28"/>
        </w:rPr>
        <w:tab/>
      </w:r>
      <w:r w:rsidRPr="00C156BA">
        <w:rPr>
          <w:rFonts w:hint="eastAsia"/>
          <w:szCs w:val="28"/>
        </w:rPr>
        <w:t>上文有關第</w:t>
      </w:r>
      <w:r>
        <w:rPr>
          <w:rFonts w:hint="eastAsia"/>
          <w:szCs w:val="28"/>
          <w:lang w:eastAsia="zh-HK"/>
        </w:rPr>
        <w:t>九</w:t>
      </w:r>
      <w:r w:rsidRPr="00C156BA">
        <w:rPr>
          <w:rFonts w:hint="eastAsia"/>
          <w:szCs w:val="28"/>
        </w:rPr>
        <w:t>條的部分闡述了適用於長者的社會保障計劃，包括分別於</w:t>
      </w:r>
      <w:r w:rsidRPr="00C156BA">
        <w:rPr>
          <w:szCs w:val="28"/>
        </w:rPr>
        <w:t>2013</w:t>
      </w:r>
      <w:r w:rsidRPr="00C156BA">
        <w:rPr>
          <w:rFonts w:hint="eastAsia"/>
          <w:szCs w:val="28"/>
        </w:rPr>
        <w:t>及</w:t>
      </w:r>
      <w:r w:rsidRPr="00C156BA">
        <w:rPr>
          <w:szCs w:val="28"/>
        </w:rPr>
        <w:t>2018</w:t>
      </w:r>
      <w:r w:rsidRPr="00C156BA">
        <w:rPr>
          <w:rFonts w:hint="eastAsia"/>
          <w:szCs w:val="28"/>
        </w:rPr>
        <w:t>年推出的普通額及高額長者生活津貼。支付予</w:t>
      </w:r>
      <w:r w:rsidRPr="00C156BA">
        <w:rPr>
          <w:szCs w:val="28"/>
        </w:rPr>
        <w:t>65</w:t>
      </w:r>
      <w:r w:rsidRPr="00C156BA">
        <w:rPr>
          <w:rFonts w:hint="eastAsia"/>
          <w:szCs w:val="28"/>
        </w:rPr>
        <w:t>歲以上長者的社會保障金額在</w:t>
      </w:r>
      <w:r w:rsidRPr="00C156BA">
        <w:rPr>
          <w:szCs w:val="28"/>
        </w:rPr>
        <w:t>2018-19</w:t>
      </w:r>
      <w:r w:rsidRPr="00C156BA">
        <w:rPr>
          <w:rFonts w:hint="eastAsia"/>
          <w:szCs w:val="28"/>
        </w:rPr>
        <w:t>年共約為</w:t>
      </w:r>
      <w:r w:rsidRPr="00C156BA">
        <w:rPr>
          <w:szCs w:val="28"/>
        </w:rPr>
        <w:t>450</w:t>
      </w:r>
      <w:r w:rsidRPr="00C156BA">
        <w:rPr>
          <w:rFonts w:hint="eastAsia"/>
          <w:szCs w:val="28"/>
        </w:rPr>
        <w:t>億</w:t>
      </w:r>
      <w:r>
        <w:rPr>
          <w:rFonts w:hint="eastAsia"/>
          <w:szCs w:val="28"/>
          <w:lang w:val="en-GB" w:eastAsia="zh-HK"/>
        </w:rPr>
        <w:t>元</w:t>
      </w:r>
      <w:r w:rsidRPr="00C156BA">
        <w:rPr>
          <w:rFonts w:hint="eastAsia"/>
          <w:szCs w:val="28"/>
        </w:rPr>
        <w:t>。值得注意的是，</w:t>
      </w:r>
      <w:r w:rsidRPr="00C156BA">
        <w:rPr>
          <w:szCs w:val="28"/>
        </w:rPr>
        <w:t>65</w:t>
      </w:r>
      <w:r w:rsidRPr="00C156BA">
        <w:rPr>
          <w:rFonts w:hint="eastAsia"/>
          <w:szCs w:val="28"/>
        </w:rPr>
        <w:t>歲以上長者領取社會保障金的比例在</w:t>
      </w:r>
      <w:r w:rsidRPr="00C156BA">
        <w:rPr>
          <w:szCs w:val="28"/>
        </w:rPr>
        <w:t>2018</w:t>
      </w:r>
      <w:r w:rsidRPr="00C156BA">
        <w:rPr>
          <w:rFonts w:hint="eastAsia"/>
          <w:szCs w:val="28"/>
        </w:rPr>
        <w:t>年已達</w:t>
      </w:r>
      <w:r w:rsidRPr="00C156BA">
        <w:rPr>
          <w:szCs w:val="28"/>
        </w:rPr>
        <w:t>72%</w:t>
      </w:r>
      <w:r w:rsidRPr="00C156BA">
        <w:rPr>
          <w:rFonts w:hint="eastAsia"/>
          <w:szCs w:val="28"/>
        </w:rPr>
        <w:t>；而就</w:t>
      </w:r>
      <w:r w:rsidRPr="00C156BA">
        <w:rPr>
          <w:szCs w:val="28"/>
        </w:rPr>
        <w:t>70</w:t>
      </w:r>
      <w:r w:rsidRPr="00C156BA">
        <w:rPr>
          <w:rFonts w:hint="eastAsia"/>
          <w:szCs w:val="28"/>
        </w:rPr>
        <w:t>歲以上的長者而言，有關比例更達</w:t>
      </w:r>
      <w:r w:rsidRPr="00C156BA">
        <w:rPr>
          <w:szCs w:val="28"/>
        </w:rPr>
        <w:t>87%</w:t>
      </w:r>
      <w:r w:rsidRPr="00C156BA">
        <w:rPr>
          <w:rFonts w:hint="eastAsia"/>
          <w:szCs w:val="28"/>
        </w:rPr>
        <w:t>。</w:t>
      </w:r>
    </w:p>
    <w:p w:rsidR="006D2061" w:rsidRDefault="006D2061" w:rsidP="008375BB">
      <w:pPr>
        <w:tabs>
          <w:tab w:val="left" w:pos="1440"/>
        </w:tabs>
        <w:adjustRightInd w:val="0"/>
        <w:snapToGrid w:val="0"/>
        <w:spacing w:line="400" w:lineRule="atLeast"/>
        <w:jc w:val="both"/>
        <w:rPr>
          <w:szCs w:val="28"/>
        </w:rPr>
      </w:pPr>
    </w:p>
    <w:p w:rsidR="006D2061" w:rsidRPr="00CB733C" w:rsidRDefault="006D2061" w:rsidP="008375BB">
      <w:pPr>
        <w:tabs>
          <w:tab w:val="left" w:pos="1440"/>
        </w:tabs>
        <w:adjustRightInd w:val="0"/>
        <w:snapToGrid w:val="0"/>
        <w:spacing w:line="400" w:lineRule="atLeast"/>
        <w:jc w:val="both"/>
        <w:rPr>
          <w:szCs w:val="28"/>
        </w:rPr>
      </w:pPr>
    </w:p>
    <w:p w:rsidR="00D6019D" w:rsidRPr="00D6019D" w:rsidRDefault="00D6019D">
      <w:pPr>
        <w:widowControl/>
        <w:rPr>
          <w:szCs w:val="28"/>
        </w:rPr>
      </w:pPr>
      <w:r w:rsidRPr="00D6019D">
        <w:rPr>
          <w:szCs w:val="28"/>
        </w:rPr>
        <w:br w:type="page"/>
      </w:r>
    </w:p>
    <w:p w:rsidR="006D2061" w:rsidRPr="00786894" w:rsidRDefault="006D2061" w:rsidP="008375BB">
      <w:pPr>
        <w:tabs>
          <w:tab w:val="left" w:pos="1440"/>
        </w:tabs>
        <w:adjustRightInd w:val="0"/>
        <w:snapToGrid w:val="0"/>
        <w:spacing w:line="400" w:lineRule="atLeast"/>
        <w:jc w:val="both"/>
        <w:rPr>
          <w:b/>
          <w:szCs w:val="28"/>
          <w:u w:val="single"/>
        </w:rPr>
      </w:pPr>
      <w:r w:rsidRPr="00786894">
        <w:rPr>
          <w:b/>
          <w:szCs w:val="28"/>
          <w:u w:val="single"/>
        </w:rPr>
        <w:lastRenderedPageBreak/>
        <w:t>第十一條：享受適當生活水平的權利</w:t>
      </w:r>
    </w:p>
    <w:p w:rsidR="006D2061" w:rsidRDefault="006D2061" w:rsidP="008375BB">
      <w:pPr>
        <w:tabs>
          <w:tab w:val="left" w:pos="1440"/>
        </w:tabs>
        <w:adjustRightInd w:val="0"/>
        <w:snapToGrid w:val="0"/>
        <w:spacing w:line="400" w:lineRule="atLeast"/>
        <w:jc w:val="both"/>
        <w:rPr>
          <w:szCs w:val="28"/>
        </w:rPr>
      </w:pPr>
    </w:p>
    <w:p w:rsidR="006D2061" w:rsidRPr="00C35054" w:rsidRDefault="006D2061" w:rsidP="008375BB">
      <w:pPr>
        <w:tabs>
          <w:tab w:val="left" w:pos="1440"/>
        </w:tabs>
        <w:adjustRightInd w:val="0"/>
        <w:snapToGrid w:val="0"/>
        <w:spacing w:line="400" w:lineRule="atLeast"/>
        <w:jc w:val="both"/>
        <w:rPr>
          <w:szCs w:val="28"/>
          <w:lang w:val="en-GB"/>
        </w:rPr>
      </w:pPr>
      <w:r w:rsidRPr="00C35054">
        <w:rPr>
          <w:b/>
          <w:bCs/>
          <w:szCs w:val="28"/>
        </w:rPr>
        <w:t>整體經濟狀況</w:t>
      </w:r>
    </w:p>
    <w:p w:rsidR="006D2061" w:rsidRPr="00C35054" w:rsidRDefault="006D2061" w:rsidP="008375BB">
      <w:pPr>
        <w:tabs>
          <w:tab w:val="left" w:pos="1440"/>
        </w:tabs>
        <w:adjustRightInd w:val="0"/>
        <w:snapToGrid w:val="0"/>
        <w:spacing w:line="400" w:lineRule="atLeast"/>
        <w:jc w:val="both"/>
        <w:rPr>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Pr>
          <w:rFonts w:hint="eastAsia"/>
          <w:szCs w:val="28"/>
          <w:lang w:val="en-GB"/>
        </w:rPr>
        <w:t>11.1</w:t>
      </w:r>
      <w:r>
        <w:rPr>
          <w:rFonts w:hint="eastAsia"/>
          <w:szCs w:val="28"/>
          <w:lang w:val="en-GB"/>
        </w:rPr>
        <w:tab/>
      </w:r>
      <w:r>
        <w:rPr>
          <w:rFonts w:hint="eastAsia"/>
          <w:szCs w:val="28"/>
          <w:lang w:val="en-GB" w:eastAsia="zh-HK"/>
        </w:rPr>
        <w:t>自上次報告以來</w:t>
      </w:r>
      <w:r>
        <w:rPr>
          <w:rFonts w:hint="eastAsia"/>
          <w:szCs w:val="28"/>
          <w:lang w:val="en-GB"/>
        </w:rPr>
        <w:t>，</w:t>
      </w:r>
      <w:r>
        <w:rPr>
          <w:rFonts w:hint="eastAsia"/>
          <w:szCs w:val="28"/>
          <w:lang w:val="en-GB" w:eastAsia="zh-HK"/>
        </w:rPr>
        <w:t>香港整體經</w:t>
      </w:r>
      <w:r>
        <w:rPr>
          <w:rFonts w:hint="eastAsia"/>
          <w:szCs w:val="28"/>
          <w:lang w:val="en-GB"/>
        </w:rPr>
        <w:t>濟</w:t>
      </w:r>
      <w:r>
        <w:rPr>
          <w:rFonts w:hint="eastAsia"/>
          <w:szCs w:val="28"/>
          <w:lang w:val="en-GB" w:eastAsia="zh-HK"/>
        </w:rPr>
        <w:t>情況載於</w:t>
      </w:r>
      <w:r w:rsidRPr="00DA51F2">
        <w:rPr>
          <w:rFonts w:hint="eastAsia"/>
          <w:b/>
          <w:szCs w:val="28"/>
          <w:lang w:val="en-GB" w:eastAsia="zh-HK"/>
        </w:rPr>
        <w:t>附件</w:t>
      </w:r>
      <w:r w:rsidRPr="00DA51F2">
        <w:rPr>
          <w:rFonts w:hint="eastAsia"/>
          <w:b/>
          <w:szCs w:val="28"/>
          <w:lang w:val="en-GB"/>
        </w:rPr>
        <w:t>11A</w:t>
      </w:r>
      <w:r>
        <w:rPr>
          <w:rFonts w:hint="eastAsia"/>
          <w:szCs w:val="28"/>
          <w:lang w:val="en-GB"/>
        </w:rPr>
        <w:t>。</w:t>
      </w:r>
      <w:r w:rsidRPr="00C35054">
        <w:rPr>
          <w:rFonts w:hint="eastAsia"/>
          <w:szCs w:val="28"/>
          <w:lang w:val="en-GB"/>
        </w:rPr>
        <w:t>經濟持續增長是改善生活水平的關鍵。自由市場讓人人都有機會透過發揮所長及勤奮工作提升社會地位。</w:t>
      </w:r>
      <w:r>
        <w:rPr>
          <w:rFonts w:hint="eastAsia"/>
          <w:szCs w:val="28"/>
          <w:lang w:val="en-GB" w:eastAsia="zh-HK"/>
        </w:rPr>
        <w:t>因</w:t>
      </w:r>
      <w:r w:rsidRPr="00C35054">
        <w:rPr>
          <w:rFonts w:hint="eastAsia"/>
          <w:szCs w:val="28"/>
          <w:lang w:val="en-GB"/>
        </w:rPr>
        <w:t>此我們認為要推動經濟增長，從而減少收入差距，最有效莫過於投資發展人力資源，提高工作人口的能力和生產力，並大</w:t>
      </w:r>
      <w:r>
        <w:rPr>
          <w:rFonts w:hint="eastAsia"/>
          <w:szCs w:val="28"/>
          <w:lang w:val="en-GB" w:eastAsia="zh-HK"/>
        </w:rPr>
        <w:t>力投</w:t>
      </w:r>
      <w:r>
        <w:rPr>
          <w:rFonts w:hint="eastAsia"/>
          <w:szCs w:val="28"/>
          <w:lang w:val="en-GB"/>
        </w:rPr>
        <w:t>資</w:t>
      </w:r>
      <w:r w:rsidRPr="00C35054">
        <w:rPr>
          <w:rFonts w:hint="eastAsia"/>
          <w:szCs w:val="28"/>
          <w:lang w:val="en-GB"/>
        </w:rPr>
        <w:t>在教育、訓練及再培訓，以協助僱員迎合不斷轉型的經濟環境。我們</w:t>
      </w:r>
      <w:r>
        <w:rPr>
          <w:rFonts w:hint="eastAsia"/>
          <w:szCs w:val="28"/>
          <w:lang w:val="en-GB" w:eastAsia="zh-HK"/>
        </w:rPr>
        <w:t>亦</w:t>
      </w:r>
      <w:r w:rsidRPr="00C35054">
        <w:rPr>
          <w:rFonts w:hint="eastAsia"/>
          <w:szCs w:val="28"/>
          <w:lang w:val="en-GB"/>
        </w:rPr>
        <w:t>會繼續改善營商環境，以鼓勵投資和創造更多就業機會。</w:t>
      </w:r>
    </w:p>
    <w:p w:rsidR="006D2061" w:rsidRPr="00C35054" w:rsidRDefault="006D2061" w:rsidP="008375BB">
      <w:pPr>
        <w:tabs>
          <w:tab w:val="left" w:pos="1440"/>
        </w:tabs>
        <w:adjustRightInd w:val="0"/>
        <w:snapToGrid w:val="0"/>
        <w:spacing w:line="400" w:lineRule="atLeast"/>
        <w:jc w:val="both"/>
        <w:rPr>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Pr>
          <w:rFonts w:hint="eastAsia"/>
          <w:szCs w:val="28"/>
          <w:lang w:val="en-GB"/>
        </w:rPr>
        <w:t>11.2</w:t>
      </w:r>
      <w:r>
        <w:rPr>
          <w:rFonts w:hint="eastAsia"/>
          <w:szCs w:val="28"/>
          <w:lang w:val="en-GB"/>
        </w:rPr>
        <w:tab/>
      </w:r>
      <w:r w:rsidRPr="00C35054">
        <w:rPr>
          <w:rFonts w:hint="eastAsia"/>
          <w:szCs w:val="28"/>
          <w:lang w:val="en-GB"/>
        </w:rPr>
        <w:t>政府會繼續監察收入分布的轉變，並致力讓各階層分享社會和經濟發展的成果。政府尤其關注基層家庭、有需要的長者及弱勢社群的福祉，並會繼續推行合適的扶貧助弱政策及措施，透過民商官合作把香港建設成關愛共融的社會。</w:t>
      </w:r>
    </w:p>
    <w:p w:rsidR="006D2061" w:rsidRDefault="006D2061" w:rsidP="008375BB">
      <w:pPr>
        <w:tabs>
          <w:tab w:val="left" w:pos="1440"/>
        </w:tabs>
        <w:adjustRightInd w:val="0"/>
        <w:snapToGrid w:val="0"/>
        <w:spacing w:line="400" w:lineRule="atLeast"/>
        <w:jc w:val="both"/>
        <w:rPr>
          <w:b/>
          <w:szCs w:val="28"/>
          <w:lang w:val="en-GB"/>
        </w:rPr>
      </w:pPr>
    </w:p>
    <w:p w:rsidR="006D2061" w:rsidRDefault="006D2061" w:rsidP="008375BB">
      <w:pPr>
        <w:tabs>
          <w:tab w:val="left" w:pos="1440"/>
        </w:tabs>
        <w:adjustRightInd w:val="0"/>
        <w:snapToGrid w:val="0"/>
        <w:spacing w:line="400" w:lineRule="atLeast"/>
        <w:jc w:val="both"/>
        <w:rPr>
          <w:b/>
          <w:szCs w:val="28"/>
          <w:lang w:val="en-GB"/>
        </w:rPr>
      </w:pPr>
      <w:r w:rsidRPr="00786894">
        <w:rPr>
          <w:b/>
          <w:bCs/>
          <w:szCs w:val="28"/>
        </w:rPr>
        <w:t>不斷改善生活條件的權利</w:t>
      </w:r>
    </w:p>
    <w:p w:rsidR="006D2061" w:rsidRDefault="006D2061" w:rsidP="008375BB">
      <w:pPr>
        <w:tabs>
          <w:tab w:val="left" w:pos="1440"/>
        </w:tabs>
        <w:adjustRightInd w:val="0"/>
        <w:snapToGrid w:val="0"/>
        <w:spacing w:line="400" w:lineRule="atLeast"/>
        <w:jc w:val="both"/>
        <w:rPr>
          <w:b/>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sidRPr="00C35054">
        <w:rPr>
          <w:rFonts w:hint="eastAsia"/>
          <w:szCs w:val="28"/>
          <w:lang w:val="en-GB"/>
        </w:rPr>
        <w:t>11.</w:t>
      </w:r>
      <w:r>
        <w:rPr>
          <w:szCs w:val="28"/>
          <w:lang w:val="en-GB"/>
        </w:rPr>
        <w:t>3</w:t>
      </w:r>
      <w:r>
        <w:rPr>
          <w:rFonts w:hint="eastAsia"/>
          <w:szCs w:val="28"/>
          <w:lang w:val="en-GB"/>
        </w:rPr>
        <w:tab/>
      </w:r>
      <w:r w:rsidRPr="00C35054">
        <w:rPr>
          <w:rFonts w:hint="eastAsia"/>
          <w:szCs w:val="28"/>
          <w:lang w:val="en-GB"/>
        </w:rPr>
        <w:t>政府高度重視貧窮問題及扶貧工作。我們的方向是鼓勵及支援有工作能力的人通過就業自力更生，並致力提供合理和可持續的社會福利制度，讓有需要的人士得到適切的援助。</w:t>
      </w:r>
    </w:p>
    <w:p w:rsidR="006D2061" w:rsidRDefault="006D2061" w:rsidP="008375BB">
      <w:pPr>
        <w:tabs>
          <w:tab w:val="left" w:pos="1440"/>
        </w:tabs>
        <w:adjustRightInd w:val="0"/>
        <w:snapToGrid w:val="0"/>
        <w:spacing w:line="400" w:lineRule="atLeast"/>
        <w:jc w:val="both"/>
        <w:rPr>
          <w:b/>
          <w:szCs w:val="28"/>
          <w:lang w:val="en-GB"/>
        </w:rPr>
      </w:pPr>
    </w:p>
    <w:p w:rsidR="006D2061" w:rsidRPr="00C35054" w:rsidRDefault="006D2061" w:rsidP="008375BB">
      <w:pPr>
        <w:tabs>
          <w:tab w:val="left" w:pos="1440"/>
        </w:tabs>
        <w:adjustRightInd w:val="0"/>
        <w:snapToGrid w:val="0"/>
        <w:spacing w:line="400" w:lineRule="atLeast"/>
        <w:jc w:val="both"/>
        <w:rPr>
          <w:szCs w:val="28"/>
          <w:u w:val="single"/>
          <w:lang w:val="en-GB"/>
        </w:rPr>
      </w:pPr>
      <w:r w:rsidRPr="00C35054">
        <w:rPr>
          <w:rFonts w:hint="eastAsia"/>
          <w:szCs w:val="28"/>
          <w:u w:val="single"/>
          <w:lang w:val="en-GB"/>
        </w:rPr>
        <w:t>扶貧委員會</w:t>
      </w:r>
    </w:p>
    <w:p w:rsidR="006D2061" w:rsidRPr="00C35054" w:rsidRDefault="006D2061" w:rsidP="008375BB">
      <w:pPr>
        <w:tabs>
          <w:tab w:val="left" w:pos="1440"/>
        </w:tabs>
        <w:adjustRightInd w:val="0"/>
        <w:snapToGrid w:val="0"/>
        <w:spacing w:line="400" w:lineRule="atLeast"/>
        <w:jc w:val="both"/>
        <w:rPr>
          <w:b/>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sidRPr="0066301C">
        <w:rPr>
          <w:spacing w:val="-2"/>
          <w:szCs w:val="28"/>
          <w:lang w:val="en-GB"/>
        </w:rPr>
        <w:t>11.4</w:t>
      </w:r>
      <w:r w:rsidRPr="0066301C">
        <w:rPr>
          <w:rFonts w:hint="eastAsia"/>
          <w:spacing w:val="-2"/>
          <w:szCs w:val="28"/>
          <w:lang w:val="en-GB"/>
        </w:rPr>
        <w:tab/>
      </w:r>
      <w:r w:rsidRPr="0066301C">
        <w:rPr>
          <w:rFonts w:hint="eastAsia"/>
          <w:spacing w:val="-2"/>
          <w:szCs w:val="28"/>
          <w:lang w:val="en-GB"/>
        </w:rPr>
        <w:t>政府在</w:t>
      </w:r>
      <w:r w:rsidRPr="0066301C">
        <w:rPr>
          <w:rFonts w:hint="eastAsia"/>
          <w:spacing w:val="-2"/>
          <w:szCs w:val="28"/>
          <w:lang w:val="en-GB"/>
        </w:rPr>
        <w:t>2012</w:t>
      </w:r>
      <w:r w:rsidRPr="0066301C">
        <w:rPr>
          <w:rFonts w:hint="eastAsia"/>
          <w:spacing w:val="-2"/>
          <w:szCs w:val="28"/>
          <w:lang w:val="en-GB"/>
        </w:rPr>
        <w:t>年</w:t>
      </w:r>
      <w:r w:rsidRPr="0066301C">
        <w:rPr>
          <w:rFonts w:hint="eastAsia"/>
          <w:spacing w:val="-2"/>
          <w:szCs w:val="28"/>
          <w:lang w:val="en-GB"/>
        </w:rPr>
        <w:t>12</w:t>
      </w:r>
      <w:r w:rsidRPr="0066301C">
        <w:rPr>
          <w:rFonts w:hint="eastAsia"/>
          <w:spacing w:val="-2"/>
          <w:szCs w:val="28"/>
          <w:lang w:val="en-GB"/>
        </w:rPr>
        <w:t>月重設扶貧委員會，由政務司司長擔</w:t>
      </w:r>
      <w:r w:rsidRPr="00C35054">
        <w:rPr>
          <w:rFonts w:hint="eastAsia"/>
          <w:szCs w:val="28"/>
          <w:lang w:val="en-GB"/>
        </w:rPr>
        <w:t>任主席，並由四位局長和來自政、商、社會福利及教育等界別的非官方委員組成。扶貧委員會探討不同扶貧政策和措施，並推動轄下關愛基金及社會創新及創業發展基金（社創基金）的工作，發揮補漏拾遺及推動創新方案解決貧窮及社會孤立問題，以達致防貧、扶貧的目標。行政長官亦會主持年度扶貧委員會高峰會，聯同政府官員直接與持份者和市民就扶貧議題及策略交流。</w:t>
      </w:r>
    </w:p>
    <w:p w:rsidR="006D2061" w:rsidRDefault="006D2061" w:rsidP="008375BB">
      <w:pPr>
        <w:tabs>
          <w:tab w:val="left" w:pos="1440"/>
        </w:tabs>
        <w:adjustRightInd w:val="0"/>
        <w:snapToGrid w:val="0"/>
        <w:spacing w:line="400" w:lineRule="atLeast"/>
        <w:jc w:val="both"/>
        <w:rPr>
          <w:b/>
          <w:szCs w:val="28"/>
          <w:lang w:val="en-GB"/>
        </w:rPr>
      </w:pPr>
    </w:p>
    <w:p w:rsidR="006D2061" w:rsidRPr="00C35054" w:rsidRDefault="006D2061" w:rsidP="008375BB">
      <w:pPr>
        <w:tabs>
          <w:tab w:val="left" w:pos="1440"/>
        </w:tabs>
        <w:adjustRightInd w:val="0"/>
        <w:snapToGrid w:val="0"/>
        <w:spacing w:line="400" w:lineRule="atLeast"/>
        <w:jc w:val="both"/>
        <w:rPr>
          <w:b/>
          <w:szCs w:val="28"/>
          <w:lang w:val="en-GB"/>
        </w:rPr>
      </w:pPr>
    </w:p>
    <w:p w:rsidR="006D2061" w:rsidRPr="00C35054" w:rsidRDefault="006D2061" w:rsidP="008375BB">
      <w:pPr>
        <w:tabs>
          <w:tab w:val="left" w:pos="1440"/>
        </w:tabs>
        <w:adjustRightInd w:val="0"/>
        <w:snapToGrid w:val="0"/>
        <w:spacing w:line="400" w:lineRule="atLeast"/>
        <w:jc w:val="both"/>
        <w:rPr>
          <w:szCs w:val="28"/>
          <w:u w:val="single"/>
          <w:lang w:val="en-GB"/>
        </w:rPr>
      </w:pPr>
      <w:r w:rsidRPr="00C35054">
        <w:rPr>
          <w:rFonts w:hint="eastAsia"/>
          <w:szCs w:val="28"/>
          <w:u w:val="single"/>
          <w:lang w:val="en-GB"/>
        </w:rPr>
        <w:lastRenderedPageBreak/>
        <w:t>貧窮線及其分析框架</w:t>
      </w:r>
    </w:p>
    <w:p w:rsidR="006D2061" w:rsidRPr="00C35054" w:rsidRDefault="006D2061" w:rsidP="008375BB">
      <w:pPr>
        <w:tabs>
          <w:tab w:val="left" w:pos="1440"/>
        </w:tabs>
        <w:adjustRightInd w:val="0"/>
        <w:snapToGrid w:val="0"/>
        <w:spacing w:line="400" w:lineRule="atLeast"/>
        <w:jc w:val="both"/>
        <w:rPr>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Pr>
          <w:szCs w:val="28"/>
          <w:lang w:val="en-GB"/>
        </w:rPr>
        <w:t>11.5</w:t>
      </w:r>
      <w:r w:rsidRPr="00C35054">
        <w:rPr>
          <w:rFonts w:hint="eastAsia"/>
          <w:szCs w:val="28"/>
          <w:lang w:val="en-GB"/>
        </w:rPr>
        <w:tab/>
      </w:r>
      <w:r w:rsidRPr="00C35054">
        <w:rPr>
          <w:rFonts w:hint="eastAsia"/>
          <w:szCs w:val="28"/>
          <w:lang w:val="en-GB"/>
        </w:rPr>
        <w:t>首屆扶貧委員會的首要重點工作之一，是為香港制定有廣泛認受性的貧窮線</w:t>
      </w:r>
      <w:r>
        <w:rPr>
          <w:rFonts w:hint="eastAsia"/>
          <w:szCs w:val="28"/>
          <w:lang w:val="en-GB"/>
        </w:rPr>
        <w:t>，</w:t>
      </w:r>
      <w:r w:rsidRPr="00C35054">
        <w:rPr>
          <w:rFonts w:hint="eastAsia"/>
          <w:szCs w:val="28"/>
          <w:lang w:val="en-GB"/>
        </w:rPr>
        <w:t>目的是希望透過客觀的量化分析，讓政府可持續監察和了解貧窮情況、制定扶貧政策和審視政策的成效，亦為社會討論貧窮情況提供共同基礎。</w:t>
      </w:r>
      <w:r w:rsidRPr="009D3C0D">
        <w:rPr>
          <w:rFonts w:hint="eastAsia"/>
          <w:szCs w:val="28"/>
          <w:lang w:val="en-GB" w:eastAsia="zh-HK"/>
        </w:rPr>
        <w:t>有</w:t>
      </w:r>
      <w:r w:rsidRPr="00BA1896">
        <w:rPr>
          <w:rFonts w:hint="eastAsia"/>
          <w:szCs w:val="28"/>
          <w:lang w:val="en-GB" w:eastAsia="zh-HK"/>
        </w:rPr>
        <w:t>關詳</w:t>
      </w:r>
      <w:r w:rsidRPr="00BA1896">
        <w:rPr>
          <w:rFonts w:hint="eastAsia"/>
          <w:szCs w:val="28"/>
          <w:lang w:val="en-GB"/>
        </w:rPr>
        <w:t>情</w:t>
      </w:r>
      <w:r w:rsidRPr="00BA1896">
        <w:rPr>
          <w:rFonts w:hint="eastAsia"/>
          <w:szCs w:val="28"/>
          <w:lang w:val="en-GB" w:eastAsia="zh-HK"/>
        </w:rPr>
        <w:t>見</w:t>
      </w:r>
      <w:r w:rsidRPr="00BA1896">
        <w:rPr>
          <w:rFonts w:hint="eastAsia"/>
          <w:b/>
          <w:szCs w:val="28"/>
          <w:lang w:val="en-GB" w:eastAsia="zh-HK"/>
        </w:rPr>
        <w:t>附</w:t>
      </w:r>
      <w:r>
        <w:rPr>
          <w:b/>
          <w:szCs w:val="28"/>
          <w:lang w:val="en-GB" w:eastAsia="zh-HK"/>
        </w:rPr>
        <w:t>‍</w:t>
      </w:r>
      <w:r w:rsidRPr="00BA1896">
        <w:rPr>
          <w:rFonts w:hint="eastAsia"/>
          <w:b/>
          <w:szCs w:val="28"/>
          <w:lang w:val="en-GB" w:eastAsia="zh-HK"/>
        </w:rPr>
        <w:t>件</w:t>
      </w:r>
      <w:r w:rsidRPr="00BA1896">
        <w:rPr>
          <w:rFonts w:hint="eastAsia"/>
          <w:b/>
          <w:szCs w:val="28"/>
          <w:lang w:val="en-GB"/>
        </w:rPr>
        <w:t>11</w:t>
      </w:r>
      <w:r>
        <w:rPr>
          <w:rFonts w:hint="eastAsia"/>
          <w:b/>
          <w:szCs w:val="28"/>
          <w:lang w:val="en-GB"/>
        </w:rPr>
        <w:t>B</w:t>
      </w:r>
      <w:r w:rsidRPr="00BA1896">
        <w:rPr>
          <w:rFonts w:hint="eastAsia"/>
          <w:szCs w:val="28"/>
          <w:lang w:val="en-GB"/>
        </w:rPr>
        <w:t>。</w:t>
      </w:r>
    </w:p>
    <w:p w:rsidR="006D2061" w:rsidRPr="00C35054" w:rsidRDefault="006D2061" w:rsidP="008375BB">
      <w:pPr>
        <w:tabs>
          <w:tab w:val="left" w:pos="1440"/>
        </w:tabs>
        <w:adjustRightInd w:val="0"/>
        <w:snapToGrid w:val="0"/>
        <w:spacing w:line="400" w:lineRule="atLeast"/>
        <w:jc w:val="both"/>
        <w:rPr>
          <w:szCs w:val="28"/>
          <w:lang w:val="en-GB"/>
        </w:rPr>
      </w:pPr>
    </w:p>
    <w:p w:rsidR="006D2061" w:rsidRPr="002D5F9A" w:rsidRDefault="006D2061" w:rsidP="008375BB">
      <w:pPr>
        <w:tabs>
          <w:tab w:val="left" w:pos="1440"/>
        </w:tabs>
        <w:adjustRightInd w:val="0"/>
        <w:snapToGrid w:val="0"/>
        <w:spacing w:line="400" w:lineRule="atLeast"/>
        <w:jc w:val="both"/>
        <w:rPr>
          <w:szCs w:val="28"/>
          <w:u w:val="single"/>
          <w:lang w:val="en-GB"/>
        </w:rPr>
      </w:pPr>
      <w:r w:rsidRPr="002D5F9A">
        <w:rPr>
          <w:rFonts w:hint="eastAsia"/>
          <w:szCs w:val="28"/>
          <w:u w:val="single"/>
          <w:lang w:val="en-GB" w:eastAsia="zh-HK"/>
        </w:rPr>
        <w:t>扶貧工作</w:t>
      </w:r>
    </w:p>
    <w:p w:rsidR="006D2061" w:rsidRDefault="006D2061" w:rsidP="008375BB">
      <w:pPr>
        <w:tabs>
          <w:tab w:val="left" w:pos="1440"/>
        </w:tabs>
        <w:adjustRightInd w:val="0"/>
        <w:snapToGrid w:val="0"/>
        <w:spacing w:line="400" w:lineRule="atLeast"/>
        <w:jc w:val="both"/>
        <w:rPr>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Pr>
          <w:rFonts w:hint="eastAsia"/>
          <w:szCs w:val="28"/>
          <w:lang w:val="en-GB"/>
        </w:rPr>
        <w:t>11.6</w:t>
      </w:r>
      <w:r>
        <w:rPr>
          <w:rFonts w:hint="eastAsia"/>
          <w:szCs w:val="28"/>
          <w:lang w:val="en-GB"/>
        </w:rPr>
        <w:tab/>
      </w:r>
      <w:r w:rsidRPr="00C35054">
        <w:rPr>
          <w:rFonts w:hint="eastAsia"/>
          <w:szCs w:val="28"/>
          <w:lang w:val="en-GB"/>
        </w:rPr>
        <w:t>委員會在</w:t>
      </w:r>
      <w:r>
        <w:rPr>
          <w:rFonts w:hint="eastAsia"/>
          <w:szCs w:val="28"/>
          <w:lang w:val="en-GB" w:eastAsia="zh-HK"/>
        </w:rPr>
        <w:t>上次審</w:t>
      </w:r>
      <w:r>
        <w:rPr>
          <w:rFonts w:hint="eastAsia"/>
          <w:szCs w:val="28"/>
          <w:lang w:val="en-GB"/>
        </w:rPr>
        <w:t>議</w:t>
      </w:r>
      <w:r>
        <w:rPr>
          <w:rFonts w:hint="eastAsia"/>
          <w:szCs w:val="28"/>
          <w:lang w:val="en-GB" w:eastAsia="zh-HK"/>
        </w:rPr>
        <w:t>結</w:t>
      </w:r>
      <w:r>
        <w:rPr>
          <w:rFonts w:hint="eastAsia"/>
          <w:szCs w:val="28"/>
          <w:lang w:val="en-GB"/>
        </w:rPr>
        <w:t>論</w:t>
      </w:r>
      <w:r w:rsidRPr="00C35054">
        <w:rPr>
          <w:rFonts w:hint="eastAsia"/>
          <w:szCs w:val="28"/>
          <w:lang w:val="en-GB"/>
        </w:rPr>
        <w:t>建議香港特區制定並落實有效的扶貧政策。在</w:t>
      </w:r>
      <w:r w:rsidRPr="00C35054">
        <w:rPr>
          <w:rFonts w:hint="eastAsia"/>
          <w:szCs w:val="28"/>
          <w:lang w:val="en-GB"/>
        </w:rPr>
        <w:t>2013</w:t>
      </w:r>
      <w:r w:rsidRPr="00C35054">
        <w:rPr>
          <w:rFonts w:hint="eastAsia"/>
          <w:szCs w:val="28"/>
          <w:lang w:val="en-GB"/>
        </w:rPr>
        <w:t>年</w:t>
      </w:r>
      <w:r w:rsidRPr="00C35054">
        <w:rPr>
          <w:rFonts w:hint="eastAsia"/>
          <w:szCs w:val="28"/>
          <w:lang w:val="en-GB"/>
        </w:rPr>
        <w:t>9</w:t>
      </w:r>
      <w:r w:rsidRPr="00C35054">
        <w:rPr>
          <w:rFonts w:hint="eastAsia"/>
          <w:szCs w:val="28"/>
          <w:lang w:val="en-GB"/>
        </w:rPr>
        <w:t>月的首次扶貧委員會高峰會上，政府已表明會制定政策措施，聚焦協助貧窮線所顯示的有需要群組。例如，貧窮線分析顯示低收入在職家庭面對較高的貧窮風險，並大多育有在學子女，因而需要優先關顧。有見及此，政府於</w:t>
      </w:r>
      <w:r w:rsidRPr="00C35054">
        <w:rPr>
          <w:rFonts w:hint="eastAsia"/>
          <w:szCs w:val="28"/>
          <w:lang w:val="en-GB"/>
        </w:rPr>
        <w:t>2016</w:t>
      </w:r>
      <w:r w:rsidRPr="00C35054">
        <w:rPr>
          <w:rFonts w:hint="eastAsia"/>
          <w:szCs w:val="28"/>
          <w:lang w:val="en-GB"/>
        </w:rPr>
        <w:t>年推出了低收入在</w:t>
      </w:r>
      <w:r w:rsidRPr="00596E8B">
        <w:rPr>
          <w:rFonts w:hint="eastAsia"/>
          <w:spacing w:val="2"/>
          <w:szCs w:val="28"/>
          <w:lang w:val="en-GB"/>
        </w:rPr>
        <w:t>職家庭津貼計劃（</w:t>
      </w:r>
      <w:r w:rsidRPr="00596E8B">
        <w:rPr>
          <w:rFonts w:hint="eastAsia"/>
          <w:spacing w:val="2"/>
          <w:szCs w:val="28"/>
          <w:lang w:val="en-GB"/>
        </w:rPr>
        <w:t>2018</w:t>
      </w:r>
      <w:r w:rsidRPr="00596E8B">
        <w:rPr>
          <w:rFonts w:hint="eastAsia"/>
          <w:spacing w:val="2"/>
          <w:szCs w:val="28"/>
          <w:lang w:val="en-GB"/>
        </w:rPr>
        <w:t>年</w:t>
      </w:r>
      <w:r w:rsidRPr="00596E8B">
        <w:rPr>
          <w:rFonts w:hint="eastAsia"/>
          <w:spacing w:val="2"/>
          <w:szCs w:val="28"/>
          <w:lang w:val="en-GB"/>
        </w:rPr>
        <w:t>4</w:t>
      </w:r>
      <w:r w:rsidRPr="00596E8B">
        <w:rPr>
          <w:rFonts w:hint="eastAsia"/>
          <w:spacing w:val="2"/>
          <w:szCs w:val="28"/>
          <w:lang w:val="en-GB"/>
        </w:rPr>
        <w:t>月</w:t>
      </w:r>
      <w:r w:rsidRPr="00596E8B">
        <w:rPr>
          <w:rFonts w:hint="eastAsia"/>
          <w:spacing w:val="2"/>
          <w:szCs w:val="28"/>
          <w:lang w:val="en-GB"/>
        </w:rPr>
        <w:t>1</w:t>
      </w:r>
      <w:r w:rsidRPr="00596E8B">
        <w:rPr>
          <w:rFonts w:hint="eastAsia"/>
          <w:spacing w:val="2"/>
          <w:szCs w:val="28"/>
          <w:lang w:val="en-GB"/>
        </w:rPr>
        <w:t>日易名為「在職家庭津貼」計劃，並</w:t>
      </w:r>
      <w:r w:rsidRPr="00C35054">
        <w:rPr>
          <w:rFonts w:hint="eastAsia"/>
          <w:szCs w:val="28"/>
          <w:lang w:val="en-GB"/>
        </w:rPr>
        <w:t>作出一系列改善），鼓勵這些家庭的成員持續就業，紓緩跨代貧窮</w:t>
      </w:r>
      <w:r w:rsidRPr="000E39CA">
        <w:rPr>
          <w:rFonts w:hint="eastAsia"/>
          <w:spacing w:val="2"/>
          <w:szCs w:val="28"/>
          <w:lang w:val="en-GB"/>
        </w:rPr>
        <w:t>的情況（</w:t>
      </w:r>
      <w:r w:rsidRPr="000E39CA">
        <w:rPr>
          <w:rFonts w:hint="eastAsia"/>
          <w:spacing w:val="2"/>
          <w:szCs w:val="28"/>
          <w:lang w:val="en-GB" w:eastAsia="zh-HK"/>
        </w:rPr>
        <w:t>見</w:t>
      </w:r>
      <w:r w:rsidRPr="000E39CA">
        <w:rPr>
          <w:rFonts w:hint="eastAsia"/>
          <w:b/>
          <w:spacing w:val="2"/>
          <w:szCs w:val="28"/>
          <w:lang w:val="en-GB" w:eastAsia="zh-HK"/>
        </w:rPr>
        <w:t>附件</w:t>
      </w:r>
      <w:r w:rsidRPr="000E39CA">
        <w:rPr>
          <w:rFonts w:hint="eastAsia"/>
          <w:b/>
          <w:spacing w:val="2"/>
          <w:szCs w:val="28"/>
          <w:lang w:val="en-GB"/>
        </w:rPr>
        <w:t>11C</w:t>
      </w:r>
      <w:r w:rsidRPr="000E39CA">
        <w:rPr>
          <w:rFonts w:hint="eastAsia"/>
          <w:spacing w:val="2"/>
          <w:szCs w:val="28"/>
          <w:lang w:val="en-GB"/>
        </w:rPr>
        <w:t>）。另外，貧窮線分析亦聚焦長者的貧窮情況，有</w:t>
      </w:r>
      <w:r w:rsidRPr="00C35054">
        <w:rPr>
          <w:rFonts w:hint="eastAsia"/>
          <w:szCs w:val="28"/>
          <w:lang w:val="en-GB"/>
        </w:rPr>
        <w:t>助政府進一步辨識有經濟需要的貧窮長者，並於</w:t>
      </w:r>
      <w:r w:rsidRPr="00C35054">
        <w:rPr>
          <w:rFonts w:hint="eastAsia"/>
          <w:szCs w:val="28"/>
          <w:lang w:val="en-GB"/>
        </w:rPr>
        <w:t>2018</w:t>
      </w:r>
      <w:r w:rsidRPr="00C35054">
        <w:rPr>
          <w:rFonts w:hint="eastAsia"/>
          <w:szCs w:val="28"/>
          <w:lang w:val="en-GB"/>
        </w:rPr>
        <w:t>年推出經優化的長者生活津貼，為他們提供進一步支援。</w:t>
      </w:r>
    </w:p>
    <w:p w:rsidR="006D2061" w:rsidRPr="002D5F9A" w:rsidRDefault="006D2061" w:rsidP="008375BB">
      <w:pPr>
        <w:tabs>
          <w:tab w:val="left" w:pos="1440"/>
        </w:tabs>
        <w:adjustRightInd w:val="0"/>
        <w:snapToGrid w:val="0"/>
        <w:spacing w:line="400" w:lineRule="atLeast"/>
        <w:jc w:val="both"/>
        <w:rPr>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Pr>
          <w:rFonts w:hint="eastAsia"/>
          <w:szCs w:val="28"/>
          <w:lang w:val="en-GB"/>
        </w:rPr>
        <w:t>11.7</w:t>
      </w:r>
      <w:r>
        <w:rPr>
          <w:rFonts w:hint="eastAsia"/>
          <w:szCs w:val="28"/>
          <w:lang w:val="en-GB"/>
        </w:rPr>
        <w:tab/>
      </w:r>
      <w:r w:rsidRPr="00C35054">
        <w:rPr>
          <w:rFonts w:hint="eastAsia"/>
          <w:szCs w:val="28"/>
          <w:lang w:val="en-GB"/>
        </w:rPr>
        <w:t>扶貧委員會亦積極推動轄下關愛基金和社創基金，支援包括兒童、長者、殘疾人士、病人、新來港人士及少數族裔人士等不同弱勢社群。關愛基金自</w:t>
      </w:r>
      <w:r w:rsidRPr="00C35054">
        <w:rPr>
          <w:rFonts w:hint="eastAsia"/>
          <w:szCs w:val="28"/>
          <w:lang w:val="en-GB"/>
        </w:rPr>
        <w:t>2011</w:t>
      </w:r>
      <w:r w:rsidRPr="00C35054">
        <w:rPr>
          <w:rFonts w:hint="eastAsia"/>
          <w:szCs w:val="28"/>
          <w:lang w:val="en-GB"/>
        </w:rPr>
        <w:t>年成立以來在醫療、教育、福利、民政和房屋等範疇，</w:t>
      </w:r>
      <w:r>
        <w:rPr>
          <w:rFonts w:hint="eastAsia"/>
          <w:szCs w:val="28"/>
          <w:lang w:val="en-GB" w:eastAsia="zh-HK"/>
        </w:rPr>
        <w:t>共</w:t>
      </w:r>
      <w:r w:rsidRPr="00C35054">
        <w:rPr>
          <w:rFonts w:hint="eastAsia"/>
          <w:szCs w:val="28"/>
          <w:lang w:val="en-GB"/>
        </w:rPr>
        <w:t>推出</w:t>
      </w:r>
      <w:r w:rsidRPr="00C35054">
        <w:rPr>
          <w:rFonts w:hint="eastAsia"/>
          <w:szCs w:val="28"/>
          <w:lang w:val="en-GB"/>
        </w:rPr>
        <w:t>47</w:t>
      </w:r>
      <w:r w:rsidRPr="00C35054">
        <w:rPr>
          <w:rFonts w:hint="eastAsia"/>
          <w:szCs w:val="28"/>
          <w:lang w:val="en-GB"/>
        </w:rPr>
        <w:t>個援助項目，</w:t>
      </w:r>
      <w:r>
        <w:rPr>
          <w:rFonts w:hint="eastAsia"/>
          <w:szCs w:val="28"/>
          <w:lang w:val="en-GB" w:eastAsia="zh-HK"/>
        </w:rPr>
        <w:t>支</w:t>
      </w:r>
      <w:r>
        <w:rPr>
          <w:rFonts w:hint="eastAsia"/>
          <w:szCs w:val="28"/>
          <w:lang w:val="en-GB"/>
        </w:rPr>
        <w:t>援</w:t>
      </w:r>
      <w:r w:rsidRPr="00C35054">
        <w:rPr>
          <w:rFonts w:hint="eastAsia"/>
          <w:szCs w:val="28"/>
          <w:lang w:val="en-GB"/>
        </w:rPr>
        <w:t>未能受惠於社會安全網或政府短期紓困措施的人士</w:t>
      </w:r>
      <w:r>
        <w:rPr>
          <w:rFonts w:hint="eastAsia"/>
          <w:szCs w:val="28"/>
          <w:lang w:val="en-GB"/>
        </w:rPr>
        <w:t>，</w:t>
      </w:r>
      <w:r w:rsidRPr="00C35054">
        <w:rPr>
          <w:rFonts w:hint="eastAsia"/>
          <w:szCs w:val="28"/>
          <w:lang w:val="en-GB"/>
        </w:rPr>
        <w:t>至今受惠人次約</w:t>
      </w:r>
      <w:r w:rsidRPr="00C35054">
        <w:rPr>
          <w:rFonts w:hint="eastAsia"/>
          <w:szCs w:val="28"/>
          <w:lang w:val="en-GB"/>
        </w:rPr>
        <w:t>164</w:t>
      </w:r>
      <w:r w:rsidRPr="00C35054">
        <w:rPr>
          <w:rFonts w:hint="eastAsia"/>
          <w:szCs w:val="28"/>
          <w:lang w:val="en-GB"/>
        </w:rPr>
        <w:t>萬。社創基金則發揮促進者的角色，透過促成商界、非政府機構、學術界及公眾合作，以創新的方案解決貧窮和社會孤立問題。社創基金至今已透過協創機構資助</w:t>
      </w:r>
      <w:r w:rsidRPr="00C35054">
        <w:rPr>
          <w:rFonts w:hint="eastAsia"/>
          <w:szCs w:val="28"/>
          <w:lang w:val="en-GB"/>
        </w:rPr>
        <w:t>166</w:t>
      </w:r>
      <w:r w:rsidRPr="00C35054">
        <w:rPr>
          <w:rFonts w:hint="eastAsia"/>
          <w:szCs w:val="28"/>
          <w:lang w:val="en-GB"/>
        </w:rPr>
        <w:t>個創新、能力提升及研究項目，涵蓋不同的服務範疇，惠及逾</w:t>
      </w:r>
      <w:r w:rsidRPr="00C35054">
        <w:rPr>
          <w:rFonts w:hint="eastAsia"/>
          <w:szCs w:val="28"/>
          <w:lang w:val="en-GB"/>
        </w:rPr>
        <w:t>100</w:t>
      </w:r>
      <w:r>
        <w:rPr>
          <w:szCs w:val="28"/>
          <w:lang w:val="en-GB"/>
        </w:rPr>
        <w:t> </w:t>
      </w:r>
      <w:r w:rsidRPr="00C35054">
        <w:rPr>
          <w:rFonts w:hint="eastAsia"/>
          <w:szCs w:val="28"/>
          <w:lang w:val="en-GB"/>
        </w:rPr>
        <w:t>000</w:t>
      </w:r>
      <w:r w:rsidRPr="00C35054">
        <w:rPr>
          <w:rFonts w:hint="eastAsia"/>
          <w:szCs w:val="28"/>
          <w:lang w:val="en-GB"/>
        </w:rPr>
        <w:t>名弱勢社群人士。</w:t>
      </w:r>
    </w:p>
    <w:p w:rsidR="006D2061" w:rsidRPr="00C35054" w:rsidRDefault="006D2061" w:rsidP="008375BB">
      <w:pPr>
        <w:tabs>
          <w:tab w:val="left" w:pos="1440"/>
        </w:tabs>
        <w:adjustRightInd w:val="0"/>
        <w:snapToGrid w:val="0"/>
        <w:spacing w:line="400" w:lineRule="atLeast"/>
        <w:jc w:val="both"/>
        <w:rPr>
          <w:szCs w:val="28"/>
          <w:lang w:val="en-GB"/>
        </w:rPr>
      </w:pPr>
    </w:p>
    <w:p w:rsidR="006D2061" w:rsidRPr="00C35054" w:rsidRDefault="006D2061" w:rsidP="008375BB">
      <w:pPr>
        <w:tabs>
          <w:tab w:val="left" w:pos="1440"/>
        </w:tabs>
        <w:adjustRightInd w:val="0"/>
        <w:snapToGrid w:val="0"/>
        <w:spacing w:line="400" w:lineRule="atLeast"/>
        <w:jc w:val="both"/>
        <w:rPr>
          <w:szCs w:val="28"/>
          <w:lang w:val="en-GB"/>
        </w:rPr>
      </w:pPr>
      <w:r>
        <w:rPr>
          <w:rFonts w:hint="eastAsia"/>
          <w:szCs w:val="28"/>
          <w:lang w:val="en-GB"/>
        </w:rPr>
        <w:t>11.8</w:t>
      </w:r>
      <w:r w:rsidRPr="00C35054">
        <w:rPr>
          <w:rFonts w:hint="eastAsia"/>
          <w:szCs w:val="28"/>
          <w:lang w:val="en-GB"/>
        </w:rPr>
        <w:tab/>
      </w:r>
      <w:r w:rsidRPr="00C35054">
        <w:rPr>
          <w:rFonts w:hint="eastAsia"/>
          <w:szCs w:val="28"/>
          <w:lang w:val="en-GB"/>
        </w:rPr>
        <w:t>扶貧委員會亦關注弱勢社群在其他民生事項上的支援</w:t>
      </w:r>
      <w:r>
        <w:rPr>
          <w:rFonts w:hint="eastAsia"/>
          <w:szCs w:val="28"/>
          <w:lang w:val="en-GB"/>
        </w:rPr>
        <w:t>，</w:t>
      </w:r>
      <w:r w:rsidRPr="00C35054">
        <w:rPr>
          <w:rFonts w:hint="eastAsia"/>
          <w:szCs w:val="28"/>
          <w:lang w:val="en-GB"/>
        </w:rPr>
        <w:t>如先後於</w:t>
      </w:r>
      <w:r w:rsidRPr="00C35054">
        <w:rPr>
          <w:rFonts w:hint="eastAsia"/>
          <w:szCs w:val="28"/>
          <w:lang w:val="en-GB"/>
        </w:rPr>
        <w:t>2014</w:t>
      </w:r>
      <w:r w:rsidRPr="00C35054">
        <w:rPr>
          <w:rFonts w:hint="eastAsia"/>
          <w:szCs w:val="28"/>
          <w:lang w:val="en-GB"/>
        </w:rPr>
        <w:t>及</w:t>
      </w:r>
      <w:r w:rsidRPr="00C35054">
        <w:rPr>
          <w:rFonts w:hint="eastAsia"/>
          <w:szCs w:val="28"/>
          <w:lang w:val="en-GB"/>
        </w:rPr>
        <w:t>2015</w:t>
      </w:r>
      <w:r w:rsidRPr="00C35054">
        <w:rPr>
          <w:rFonts w:hint="eastAsia"/>
          <w:szCs w:val="28"/>
          <w:lang w:val="en-GB"/>
        </w:rPr>
        <w:t>年推行「明日之星–上游獎學金計劃」及「友‧導向」師友計劃，透過幫助基層學生規劃人生目標及鼓勵保持正面價值觀，提升他們的社會向上流動力。</w:t>
      </w:r>
    </w:p>
    <w:p w:rsidR="006D2061" w:rsidRPr="00C35054" w:rsidRDefault="006D2061" w:rsidP="008375BB">
      <w:pPr>
        <w:tabs>
          <w:tab w:val="left" w:pos="1440"/>
        </w:tabs>
        <w:adjustRightInd w:val="0"/>
        <w:snapToGrid w:val="0"/>
        <w:spacing w:line="400" w:lineRule="atLeast"/>
        <w:jc w:val="both"/>
        <w:rPr>
          <w:szCs w:val="28"/>
          <w:lang w:val="en-GB"/>
        </w:rPr>
      </w:pPr>
      <w:r>
        <w:rPr>
          <w:rFonts w:hint="eastAsia"/>
          <w:szCs w:val="28"/>
          <w:lang w:val="en-GB"/>
        </w:rPr>
        <w:lastRenderedPageBreak/>
        <w:t>11.9</w:t>
      </w:r>
      <w:r>
        <w:rPr>
          <w:rFonts w:hint="eastAsia"/>
          <w:szCs w:val="28"/>
          <w:lang w:val="en-GB"/>
        </w:rPr>
        <w:tab/>
      </w:r>
      <w:r w:rsidRPr="00C35054">
        <w:rPr>
          <w:rFonts w:hint="eastAsia"/>
          <w:szCs w:val="28"/>
          <w:lang w:val="en-GB"/>
        </w:rPr>
        <w:t>自</w:t>
      </w:r>
      <w:r w:rsidRPr="00C35054">
        <w:rPr>
          <w:rFonts w:hint="eastAsia"/>
          <w:szCs w:val="28"/>
          <w:lang w:val="en-GB"/>
        </w:rPr>
        <w:t>2012</w:t>
      </w:r>
      <w:r w:rsidRPr="00C35054">
        <w:rPr>
          <w:rFonts w:hint="eastAsia"/>
          <w:szCs w:val="28"/>
          <w:lang w:val="en-GB"/>
        </w:rPr>
        <w:t>年重設扶貧委員會後，政府投放在民生福利的資源持續增加，</w:t>
      </w:r>
      <w:r w:rsidRPr="00C35054">
        <w:rPr>
          <w:rFonts w:hint="eastAsia"/>
          <w:szCs w:val="28"/>
          <w:lang w:val="en-GB"/>
        </w:rPr>
        <w:t>2017/18</w:t>
      </w:r>
      <w:r w:rsidRPr="00C35054">
        <w:rPr>
          <w:rFonts w:hint="eastAsia"/>
          <w:szCs w:val="28"/>
          <w:lang w:val="en-GB"/>
        </w:rPr>
        <w:t>年度社會福利經常開支達</w:t>
      </w:r>
      <w:r w:rsidRPr="00C35054">
        <w:rPr>
          <w:rFonts w:hint="eastAsia"/>
          <w:szCs w:val="28"/>
          <w:lang w:val="en-GB"/>
        </w:rPr>
        <w:t>658</w:t>
      </w:r>
      <w:r w:rsidRPr="00C35054">
        <w:rPr>
          <w:rFonts w:hint="eastAsia"/>
          <w:szCs w:val="28"/>
          <w:lang w:val="en-GB"/>
        </w:rPr>
        <w:t>億元，較</w:t>
      </w:r>
      <w:r w:rsidRPr="00C35054">
        <w:rPr>
          <w:rFonts w:hint="eastAsia"/>
          <w:szCs w:val="28"/>
          <w:lang w:val="en-GB"/>
        </w:rPr>
        <w:t>2012/13</w:t>
      </w:r>
      <w:r w:rsidRPr="00C35054">
        <w:rPr>
          <w:rFonts w:hint="eastAsia"/>
          <w:szCs w:val="28"/>
          <w:lang w:val="en-GB"/>
        </w:rPr>
        <w:t>年度大幅增加</w:t>
      </w:r>
      <w:r w:rsidRPr="00C35054">
        <w:rPr>
          <w:rFonts w:hint="eastAsia"/>
          <w:szCs w:val="28"/>
          <w:lang w:val="en-GB"/>
        </w:rPr>
        <w:t>54%</w:t>
      </w:r>
      <w:r w:rsidRPr="00C35054">
        <w:rPr>
          <w:rFonts w:hint="eastAsia"/>
          <w:szCs w:val="28"/>
          <w:lang w:val="en-GB"/>
        </w:rPr>
        <w:t>。最新的《</w:t>
      </w:r>
      <w:r w:rsidRPr="00C35054">
        <w:rPr>
          <w:rFonts w:hint="eastAsia"/>
          <w:szCs w:val="28"/>
          <w:lang w:val="en-GB"/>
        </w:rPr>
        <w:t>2017</w:t>
      </w:r>
      <w:r w:rsidRPr="00C35054">
        <w:rPr>
          <w:rFonts w:hint="eastAsia"/>
          <w:szCs w:val="28"/>
          <w:lang w:val="en-GB"/>
        </w:rPr>
        <w:t>年香港貧窮情況報告》顯示，</w:t>
      </w:r>
      <w:r w:rsidRPr="00C35054">
        <w:rPr>
          <w:rFonts w:hint="eastAsia"/>
          <w:szCs w:val="28"/>
          <w:lang w:val="en-GB"/>
        </w:rPr>
        <w:t>2017</w:t>
      </w:r>
      <w:r w:rsidRPr="00C35054">
        <w:rPr>
          <w:rFonts w:hint="eastAsia"/>
          <w:szCs w:val="28"/>
          <w:lang w:val="en-GB"/>
        </w:rPr>
        <w:t>年政府恆常現金政策介入令貧窮率減低</w:t>
      </w:r>
      <w:r w:rsidRPr="00C35054">
        <w:rPr>
          <w:rFonts w:hint="eastAsia"/>
          <w:szCs w:val="28"/>
          <w:lang w:val="en-GB"/>
        </w:rPr>
        <w:t>5.4</w:t>
      </w:r>
      <w:r w:rsidRPr="00C35054">
        <w:rPr>
          <w:rFonts w:hint="eastAsia"/>
          <w:szCs w:val="28"/>
          <w:lang w:val="en-GB"/>
        </w:rPr>
        <w:t>個百分點，協助</w:t>
      </w:r>
      <w:r w:rsidRPr="00C35054">
        <w:rPr>
          <w:rFonts w:hint="eastAsia"/>
          <w:szCs w:val="28"/>
          <w:lang w:val="en-GB"/>
        </w:rPr>
        <w:t>367</w:t>
      </w:r>
      <w:r>
        <w:rPr>
          <w:szCs w:val="28"/>
          <w:lang w:val="en-GB"/>
        </w:rPr>
        <w:t> </w:t>
      </w:r>
      <w:r w:rsidRPr="00C35054">
        <w:rPr>
          <w:rFonts w:hint="eastAsia"/>
          <w:szCs w:val="28"/>
          <w:lang w:val="en-GB"/>
        </w:rPr>
        <w:t>900</w:t>
      </w:r>
      <w:r w:rsidRPr="00C35054">
        <w:rPr>
          <w:rFonts w:hint="eastAsia"/>
          <w:szCs w:val="28"/>
          <w:lang w:val="en-GB"/>
        </w:rPr>
        <w:t>人脫貧，足見政府的扶貧措施有效。</w:t>
      </w:r>
    </w:p>
    <w:p w:rsidR="006D2061" w:rsidRPr="00C35054" w:rsidRDefault="006D2061" w:rsidP="008375BB">
      <w:pPr>
        <w:tabs>
          <w:tab w:val="left" w:pos="1440"/>
        </w:tabs>
        <w:adjustRightInd w:val="0"/>
        <w:snapToGrid w:val="0"/>
        <w:spacing w:line="400" w:lineRule="atLeast"/>
        <w:jc w:val="both"/>
        <w:rPr>
          <w:szCs w:val="28"/>
          <w:lang w:val="en-GB"/>
        </w:rPr>
      </w:pPr>
    </w:p>
    <w:p w:rsidR="006D2061" w:rsidRPr="00786894" w:rsidRDefault="006D2061" w:rsidP="008375BB">
      <w:pPr>
        <w:tabs>
          <w:tab w:val="left" w:pos="1440"/>
        </w:tabs>
        <w:adjustRightInd w:val="0"/>
        <w:snapToGrid w:val="0"/>
        <w:spacing w:line="400" w:lineRule="atLeast"/>
        <w:jc w:val="both"/>
        <w:rPr>
          <w:b/>
          <w:szCs w:val="28"/>
        </w:rPr>
      </w:pPr>
      <w:r w:rsidRPr="00786894">
        <w:rPr>
          <w:b/>
          <w:szCs w:val="28"/>
        </w:rPr>
        <w:t>享有足夠食物</w:t>
      </w:r>
      <w:r>
        <w:rPr>
          <w:rFonts w:hint="eastAsia"/>
          <w:b/>
          <w:szCs w:val="28"/>
          <w:lang w:eastAsia="zh-HK"/>
        </w:rPr>
        <w:t>、用水及</w:t>
      </w:r>
      <w:r>
        <w:rPr>
          <w:rFonts w:hint="eastAsia"/>
          <w:b/>
          <w:szCs w:val="28"/>
        </w:rPr>
        <w:t>適</w:t>
      </w:r>
      <w:r>
        <w:rPr>
          <w:rFonts w:hint="eastAsia"/>
          <w:b/>
          <w:szCs w:val="28"/>
          <w:lang w:eastAsia="zh-HK"/>
        </w:rPr>
        <w:t>當住屋</w:t>
      </w:r>
      <w:r w:rsidRPr="00786894">
        <w:rPr>
          <w:b/>
          <w:szCs w:val="28"/>
        </w:rPr>
        <w:t>的權利</w:t>
      </w:r>
    </w:p>
    <w:p w:rsidR="006D2061" w:rsidRDefault="006D2061" w:rsidP="008375BB">
      <w:pPr>
        <w:tabs>
          <w:tab w:val="left" w:pos="1440"/>
        </w:tabs>
        <w:adjustRightInd w:val="0"/>
        <w:snapToGrid w:val="0"/>
        <w:spacing w:line="400" w:lineRule="atLeast"/>
        <w:jc w:val="both"/>
        <w:rPr>
          <w:szCs w:val="28"/>
          <w:u w:val="single"/>
        </w:rPr>
      </w:pPr>
    </w:p>
    <w:p w:rsidR="006D2061" w:rsidRPr="00B30D86" w:rsidRDefault="006D2061" w:rsidP="008375BB">
      <w:pPr>
        <w:tabs>
          <w:tab w:val="left" w:pos="1440"/>
        </w:tabs>
        <w:adjustRightInd w:val="0"/>
        <w:snapToGrid w:val="0"/>
        <w:spacing w:line="400" w:lineRule="atLeast"/>
        <w:jc w:val="both"/>
        <w:rPr>
          <w:szCs w:val="28"/>
          <w:lang w:eastAsia="zh-HK"/>
        </w:rPr>
      </w:pPr>
      <w:r w:rsidRPr="00B30D86">
        <w:rPr>
          <w:rFonts w:hint="eastAsia"/>
          <w:szCs w:val="28"/>
        </w:rPr>
        <w:t>11.</w:t>
      </w:r>
      <w:r>
        <w:rPr>
          <w:rFonts w:hint="eastAsia"/>
          <w:szCs w:val="28"/>
        </w:rPr>
        <w:t>1</w:t>
      </w:r>
      <w:r>
        <w:rPr>
          <w:szCs w:val="28"/>
        </w:rPr>
        <w:t>0</w:t>
      </w:r>
      <w:r w:rsidRPr="00B30D86">
        <w:rPr>
          <w:szCs w:val="28"/>
        </w:rPr>
        <w:tab/>
      </w:r>
      <w:r>
        <w:rPr>
          <w:rFonts w:hint="eastAsia"/>
          <w:szCs w:val="28"/>
          <w:lang w:eastAsia="zh-HK"/>
        </w:rPr>
        <w:t>政</w:t>
      </w:r>
      <w:r>
        <w:rPr>
          <w:rFonts w:hint="eastAsia"/>
          <w:szCs w:val="28"/>
        </w:rPr>
        <w:t>府</w:t>
      </w:r>
      <w:r>
        <w:rPr>
          <w:rFonts w:hint="eastAsia"/>
          <w:szCs w:val="28"/>
          <w:lang w:eastAsia="zh-HK"/>
        </w:rPr>
        <w:t>在食物和用水的供</w:t>
      </w:r>
      <w:r>
        <w:rPr>
          <w:rFonts w:hint="eastAsia"/>
          <w:szCs w:val="28"/>
        </w:rPr>
        <w:t>應</w:t>
      </w:r>
      <w:r>
        <w:rPr>
          <w:rFonts w:hint="eastAsia"/>
          <w:szCs w:val="28"/>
          <w:lang w:eastAsia="zh-HK"/>
        </w:rPr>
        <w:t>，以及增加</w:t>
      </w:r>
      <w:r>
        <w:rPr>
          <w:rFonts w:hint="eastAsia"/>
          <w:szCs w:val="28"/>
        </w:rPr>
        <w:t>房</w:t>
      </w:r>
      <w:r>
        <w:rPr>
          <w:rFonts w:hint="eastAsia"/>
          <w:szCs w:val="28"/>
          <w:lang w:eastAsia="zh-HK"/>
        </w:rPr>
        <w:t>屋土地供</w:t>
      </w:r>
      <w:r>
        <w:rPr>
          <w:rFonts w:hint="eastAsia"/>
          <w:szCs w:val="28"/>
        </w:rPr>
        <w:t>應</w:t>
      </w:r>
      <w:r>
        <w:rPr>
          <w:rFonts w:hint="eastAsia"/>
          <w:szCs w:val="28"/>
          <w:lang w:eastAsia="zh-HK"/>
        </w:rPr>
        <w:t>方面的工</w:t>
      </w:r>
      <w:r>
        <w:rPr>
          <w:rFonts w:hint="eastAsia"/>
          <w:szCs w:val="28"/>
        </w:rPr>
        <w:t>作</w:t>
      </w:r>
      <w:r>
        <w:rPr>
          <w:rFonts w:hint="eastAsia"/>
          <w:szCs w:val="28"/>
          <w:lang w:eastAsia="zh-HK"/>
        </w:rPr>
        <w:t>見</w:t>
      </w:r>
      <w:r w:rsidRPr="00225EE2">
        <w:rPr>
          <w:rFonts w:hint="eastAsia"/>
          <w:b/>
          <w:szCs w:val="28"/>
          <w:lang w:eastAsia="zh-HK"/>
        </w:rPr>
        <w:t>附件</w:t>
      </w:r>
      <w:r w:rsidRPr="00225EE2">
        <w:rPr>
          <w:rFonts w:hint="eastAsia"/>
          <w:b/>
          <w:szCs w:val="28"/>
        </w:rPr>
        <w:t>11D</w:t>
      </w:r>
      <w:r>
        <w:rPr>
          <w:rFonts w:hint="eastAsia"/>
          <w:szCs w:val="28"/>
          <w:lang w:eastAsia="zh-HK"/>
        </w:rPr>
        <w:t>。</w:t>
      </w:r>
    </w:p>
    <w:p w:rsidR="006D2061" w:rsidRPr="00225EE2" w:rsidRDefault="006D2061" w:rsidP="008375BB">
      <w:pPr>
        <w:tabs>
          <w:tab w:val="left" w:pos="1440"/>
        </w:tabs>
        <w:adjustRightInd w:val="0"/>
        <w:snapToGrid w:val="0"/>
        <w:spacing w:line="400" w:lineRule="atLeast"/>
        <w:jc w:val="both"/>
        <w:rPr>
          <w:szCs w:val="28"/>
          <w:u w:val="single"/>
        </w:rPr>
      </w:pPr>
    </w:p>
    <w:p w:rsidR="006D2061" w:rsidRPr="00DA3CC9" w:rsidRDefault="006D2061" w:rsidP="008375BB">
      <w:pPr>
        <w:tabs>
          <w:tab w:val="left" w:pos="1440"/>
        </w:tabs>
        <w:adjustRightInd w:val="0"/>
        <w:snapToGrid w:val="0"/>
        <w:spacing w:line="400" w:lineRule="atLeast"/>
        <w:jc w:val="both"/>
        <w:rPr>
          <w:szCs w:val="28"/>
        </w:rPr>
      </w:pPr>
      <w:r>
        <w:rPr>
          <w:rFonts w:hint="eastAsia"/>
          <w:szCs w:val="28"/>
        </w:rPr>
        <w:t>11.1</w:t>
      </w:r>
      <w:r>
        <w:rPr>
          <w:szCs w:val="28"/>
        </w:rPr>
        <w:t>1</w:t>
      </w:r>
      <w:r>
        <w:rPr>
          <w:rFonts w:hint="eastAsia"/>
          <w:szCs w:val="28"/>
        </w:rPr>
        <w:tab/>
      </w:r>
      <w:r>
        <w:rPr>
          <w:rFonts w:hint="eastAsia"/>
          <w:szCs w:val="28"/>
          <w:lang w:eastAsia="zh-HK"/>
        </w:rPr>
        <w:t>就上次</w:t>
      </w:r>
      <w:r w:rsidRPr="00E22CFD">
        <w:rPr>
          <w:rFonts w:hint="eastAsia"/>
          <w:szCs w:val="28"/>
        </w:rPr>
        <w:t>審議結論第</w:t>
      </w:r>
      <w:r w:rsidRPr="00E22CFD">
        <w:rPr>
          <w:rFonts w:hint="eastAsia"/>
          <w:szCs w:val="28"/>
        </w:rPr>
        <w:t>4</w:t>
      </w:r>
      <w:r>
        <w:rPr>
          <w:szCs w:val="28"/>
        </w:rPr>
        <w:t>9</w:t>
      </w:r>
      <w:r w:rsidRPr="00E22CFD">
        <w:rPr>
          <w:rFonts w:hint="eastAsia"/>
          <w:szCs w:val="28"/>
        </w:rPr>
        <w:t>段</w:t>
      </w:r>
      <w:r>
        <w:rPr>
          <w:rFonts w:hint="eastAsia"/>
          <w:szCs w:val="28"/>
        </w:rPr>
        <w:t>，</w:t>
      </w:r>
      <w:r>
        <w:rPr>
          <w:rFonts w:hint="eastAsia"/>
          <w:szCs w:val="28"/>
          <w:lang w:eastAsia="zh-HK"/>
        </w:rPr>
        <w:t>我們強</w:t>
      </w:r>
      <w:r>
        <w:rPr>
          <w:rFonts w:hint="eastAsia"/>
          <w:szCs w:val="28"/>
        </w:rPr>
        <w:t>調</w:t>
      </w:r>
      <w:r w:rsidRPr="005C1440">
        <w:rPr>
          <w:rFonts w:hint="eastAsia"/>
          <w:szCs w:val="28"/>
        </w:rPr>
        <w:t>政府有決心並會盡最大努力解決社會面對的房屋問題，提供適切及可負擔的房屋，協助市民安居和改善居住環境。</w:t>
      </w:r>
      <w:r w:rsidRPr="00DA51F2">
        <w:rPr>
          <w:rFonts w:hint="eastAsia"/>
          <w:szCs w:val="28"/>
          <w:lang w:eastAsia="zh-HK"/>
        </w:rPr>
        <w:t>詳見</w:t>
      </w:r>
      <w:r w:rsidRPr="00DA51F2">
        <w:rPr>
          <w:rFonts w:hint="eastAsia"/>
          <w:b/>
          <w:szCs w:val="28"/>
        </w:rPr>
        <w:t>附件</w:t>
      </w:r>
      <w:r w:rsidRPr="00DA51F2">
        <w:rPr>
          <w:rFonts w:hint="eastAsia"/>
          <w:b/>
          <w:szCs w:val="28"/>
        </w:rPr>
        <w:t>11D</w:t>
      </w:r>
      <w:r w:rsidRPr="00DA51F2">
        <w:rPr>
          <w:rFonts w:hint="eastAsia"/>
          <w:szCs w:val="28"/>
          <w:lang w:eastAsia="zh-HK"/>
        </w:rPr>
        <w:t>第</w:t>
      </w:r>
      <w:r>
        <w:rPr>
          <w:rFonts w:hint="eastAsia"/>
          <w:szCs w:val="28"/>
          <w:lang w:eastAsia="zh-HK"/>
        </w:rPr>
        <w:t>15</w:t>
      </w:r>
      <w:r>
        <w:rPr>
          <w:rFonts w:hint="eastAsia"/>
          <w:szCs w:val="28"/>
          <w:lang w:eastAsia="zh-HK"/>
        </w:rPr>
        <w:t>至</w:t>
      </w:r>
      <w:r>
        <w:rPr>
          <w:rFonts w:hint="eastAsia"/>
          <w:szCs w:val="28"/>
        </w:rPr>
        <w:t>17</w:t>
      </w:r>
      <w:r>
        <w:rPr>
          <w:rFonts w:hint="eastAsia"/>
          <w:szCs w:val="28"/>
          <w:lang w:eastAsia="zh-HK"/>
        </w:rPr>
        <w:t>段</w:t>
      </w:r>
      <w:r>
        <w:rPr>
          <w:rFonts w:hint="eastAsia"/>
          <w:szCs w:val="28"/>
        </w:rPr>
        <w:t>。</w:t>
      </w:r>
    </w:p>
    <w:p w:rsidR="00EB7564" w:rsidRPr="00EB7564" w:rsidRDefault="00EB7564">
      <w:pPr>
        <w:widowControl/>
        <w:rPr>
          <w:bCs/>
          <w:szCs w:val="28"/>
        </w:rPr>
      </w:pPr>
      <w:r w:rsidRPr="00EB7564">
        <w:rPr>
          <w:bCs/>
          <w:szCs w:val="28"/>
        </w:rPr>
        <w:br w:type="page"/>
      </w:r>
    </w:p>
    <w:p w:rsidR="006D2061" w:rsidRPr="0086536D" w:rsidRDefault="006D2061" w:rsidP="008375BB">
      <w:pPr>
        <w:tabs>
          <w:tab w:val="left" w:pos="1440"/>
        </w:tabs>
        <w:adjustRightInd w:val="0"/>
        <w:snapToGrid w:val="0"/>
        <w:spacing w:line="400" w:lineRule="atLeast"/>
        <w:jc w:val="both"/>
        <w:rPr>
          <w:b/>
          <w:bCs/>
          <w:szCs w:val="28"/>
          <w:u w:val="single"/>
        </w:rPr>
      </w:pPr>
      <w:r w:rsidRPr="0086536D">
        <w:rPr>
          <w:b/>
          <w:bCs/>
          <w:szCs w:val="28"/>
          <w:u w:val="single"/>
        </w:rPr>
        <w:lastRenderedPageBreak/>
        <w:t>第十二條：享有健康的權利</w:t>
      </w:r>
    </w:p>
    <w:p w:rsidR="006D2061" w:rsidRPr="00451684" w:rsidRDefault="006D2061" w:rsidP="008375BB">
      <w:pPr>
        <w:tabs>
          <w:tab w:val="left" w:pos="1440"/>
          <w:tab w:val="left" w:pos="1680"/>
        </w:tabs>
        <w:adjustRightInd w:val="0"/>
        <w:snapToGrid w:val="0"/>
        <w:spacing w:line="400" w:lineRule="atLeast"/>
        <w:jc w:val="both"/>
        <w:rPr>
          <w:szCs w:val="28"/>
        </w:rPr>
      </w:pPr>
    </w:p>
    <w:p w:rsidR="006D2061" w:rsidRPr="0086536D" w:rsidRDefault="006D2061" w:rsidP="008375BB">
      <w:pPr>
        <w:tabs>
          <w:tab w:val="left" w:pos="1440"/>
          <w:tab w:val="left" w:pos="1680"/>
        </w:tabs>
        <w:adjustRightInd w:val="0"/>
        <w:snapToGrid w:val="0"/>
        <w:spacing w:line="400" w:lineRule="atLeast"/>
        <w:jc w:val="both"/>
        <w:rPr>
          <w:b/>
          <w:szCs w:val="28"/>
        </w:rPr>
      </w:pPr>
      <w:r w:rsidRPr="0086536D">
        <w:rPr>
          <w:b/>
          <w:szCs w:val="28"/>
        </w:rPr>
        <w:t>健康及健康護理</w:t>
      </w:r>
    </w:p>
    <w:p w:rsidR="006D2061" w:rsidRPr="0086536D" w:rsidRDefault="006D2061" w:rsidP="008375BB">
      <w:pPr>
        <w:tabs>
          <w:tab w:val="left" w:pos="1440"/>
          <w:tab w:val="left" w:pos="1680"/>
        </w:tabs>
        <w:adjustRightInd w:val="0"/>
        <w:snapToGrid w:val="0"/>
        <w:spacing w:line="400" w:lineRule="atLeast"/>
        <w:jc w:val="both"/>
        <w:rPr>
          <w:szCs w:val="28"/>
        </w:rPr>
      </w:pPr>
    </w:p>
    <w:p w:rsidR="006D2061" w:rsidRPr="0086536D" w:rsidRDefault="006D2061" w:rsidP="008375BB">
      <w:pPr>
        <w:pStyle w:val="2"/>
        <w:tabs>
          <w:tab w:val="left" w:pos="1440"/>
        </w:tabs>
        <w:adjustRightInd w:val="0"/>
        <w:snapToGrid w:val="0"/>
        <w:spacing w:after="0" w:line="400" w:lineRule="atLeast"/>
        <w:jc w:val="both"/>
        <w:rPr>
          <w:rFonts w:eastAsia="標楷體"/>
          <w:sz w:val="28"/>
          <w:szCs w:val="28"/>
          <w:lang w:val="en-GB"/>
        </w:rPr>
      </w:pPr>
      <w:r w:rsidRPr="00382215">
        <w:rPr>
          <w:rFonts w:eastAsia="標楷體"/>
          <w:spacing w:val="2"/>
          <w:sz w:val="28"/>
          <w:szCs w:val="28"/>
        </w:rPr>
        <w:t>12.1</w:t>
      </w:r>
      <w:r w:rsidRPr="00382215">
        <w:rPr>
          <w:rFonts w:eastAsia="標楷體"/>
          <w:spacing w:val="2"/>
          <w:sz w:val="28"/>
          <w:szCs w:val="28"/>
        </w:rPr>
        <w:tab/>
      </w:r>
      <w:r w:rsidRPr="00382215">
        <w:rPr>
          <w:rFonts w:eastAsia="標楷體"/>
          <w:spacing w:val="2"/>
          <w:sz w:val="28"/>
          <w:szCs w:val="28"/>
        </w:rPr>
        <w:t>在憲制</w:t>
      </w:r>
      <w:r w:rsidRPr="00382215">
        <w:rPr>
          <w:rFonts w:eastAsia="標楷體" w:hint="eastAsia"/>
          <w:spacing w:val="2"/>
          <w:sz w:val="28"/>
          <w:szCs w:val="28"/>
        </w:rPr>
        <w:t>層面</w:t>
      </w:r>
      <w:r w:rsidRPr="00382215">
        <w:rPr>
          <w:rFonts w:eastAsia="標楷體"/>
          <w:spacing w:val="2"/>
          <w:sz w:val="28"/>
          <w:szCs w:val="28"/>
        </w:rPr>
        <w:t>，</w:t>
      </w:r>
      <w:r w:rsidRPr="00382215">
        <w:rPr>
          <w:rFonts w:eastAsia="標楷體" w:hint="eastAsia"/>
          <w:spacing w:val="2"/>
          <w:sz w:val="28"/>
          <w:szCs w:val="28"/>
        </w:rPr>
        <w:t>這方面的</w:t>
      </w:r>
      <w:r w:rsidRPr="00382215">
        <w:rPr>
          <w:rFonts w:eastAsia="標楷體"/>
          <w:spacing w:val="2"/>
          <w:sz w:val="28"/>
          <w:szCs w:val="28"/>
        </w:rPr>
        <w:t>情況基本上與第一次報告第</w:t>
      </w:r>
      <w:r w:rsidRPr="00382215">
        <w:rPr>
          <w:rFonts w:eastAsia="標楷體"/>
          <w:spacing w:val="2"/>
          <w:sz w:val="28"/>
          <w:szCs w:val="28"/>
        </w:rPr>
        <w:t>412</w:t>
      </w:r>
      <w:r w:rsidRPr="00382215">
        <w:rPr>
          <w:rFonts w:eastAsia="標楷體"/>
          <w:spacing w:val="2"/>
          <w:sz w:val="28"/>
          <w:szCs w:val="28"/>
        </w:rPr>
        <w:t>段</w:t>
      </w:r>
      <w:r w:rsidRPr="0086536D">
        <w:rPr>
          <w:rFonts w:eastAsia="標楷體"/>
          <w:sz w:val="28"/>
          <w:szCs w:val="28"/>
        </w:rPr>
        <w:t>所述的相同。</w:t>
      </w:r>
    </w:p>
    <w:p w:rsidR="006D2061" w:rsidRPr="0086536D" w:rsidRDefault="006D2061" w:rsidP="008375BB">
      <w:pPr>
        <w:tabs>
          <w:tab w:val="left" w:pos="1440"/>
          <w:tab w:val="left" w:pos="1680"/>
        </w:tabs>
        <w:adjustRightInd w:val="0"/>
        <w:snapToGrid w:val="0"/>
        <w:spacing w:line="400" w:lineRule="atLeast"/>
        <w:jc w:val="both"/>
        <w:rPr>
          <w:bCs/>
          <w:szCs w:val="28"/>
          <w:u w:val="single"/>
          <w:lang w:val="en-GB"/>
        </w:rPr>
      </w:pPr>
    </w:p>
    <w:p w:rsidR="006D2061" w:rsidRPr="006E4B1A"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86536D">
        <w:rPr>
          <w:rFonts w:eastAsia="標楷體"/>
          <w:sz w:val="28"/>
          <w:szCs w:val="28"/>
        </w:rPr>
        <w:t>12.2</w:t>
      </w:r>
      <w:r w:rsidRPr="0086536D">
        <w:rPr>
          <w:rFonts w:eastAsia="標楷體"/>
          <w:sz w:val="28"/>
          <w:szCs w:val="28"/>
        </w:rPr>
        <w:tab/>
      </w:r>
      <w:r w:rsidRPr="00612CEA">
        <w:rPr>
          <w:rFonts w:eastAsia="標楷體" w:hint="eastAsia"/>
          <w:sz w:val="28"/>
          <w:szCs w:val="28"/>
        </w:rPr>
        <w:t>上次審議結論第</w:t>
      </w:r>
      <w:r>
        <w:rPr>
          <w:rFonts w:eastAsia="標楷體" w:hint="eastAsia"/>
          <w:sz w:val="28"/>
          <w:szCs w:val="28"/>
        </w:rPr>
        <w:t>50</w:t>
      </w:r>
      <w:r w:rsidRPr="00612CEA">
        <w:rPr>
          <w:rFonts w:eastAsia="標楷體" w:hint="eastAsia"/>
          <w:sz w:val="28"/>
          <w:szCs w:val="28"/>
        </w:rPr>
        <w:t>段</w:t>
      </w:r>
      <w:r>
        <w:rPr>
          <w:rFonts w:eastAsia="標楷體" w:hint="eastAsia"/>
          <w:sz w:val="28"/>
          <w:szCs w:val="28"/>
        </w:rPr>
        <w:t>提到</w:t>
      </w:r>
      <w:r w:rsidRPr="00612CEA">
        <w:rPr>
          <w:rFonts w:eastAsia="標楷體" w:hint="eastAsia"/>
          <w:sz w:val="28"/>
          <w:szCs w:val="28"/>
        </w:rPr>
        <w:t>，委員會</w:t>
      </w:r>
      <w:r>
        <w:rPr>
          <w:rFonts w:eastAsia="標楷體" w:hint="eastAsia"/>
          <w:sz w:val="28"/>
          <w:szCs w:val="28"/>
          <w:lang w:eastAsia="zh-HK"/>
        </w:rPr>
        <w:t>建</w:t>
      </w:r>
      <w:r>
        <w:rPr>
          <w:rFonts w:eastAsia="標楷體" w:hint="eastAsia"/>
          <w:sz w:val="28"/>
          <w:szCs w:val="28"/>
        </w:rPr>
        <w:t>議</w:t>
      </w:r>
      <w:r>
        <w:rPr>
          <w:rFonts w:eastAsia="標楷體" w:hint="eastAsia"/>
          <w:sz w:val="28"/>
          <w:szCs w:val="28"/>
          <w:lang w:eastAsia="zh-HK"/>
        </w:rPr>
        <w:t>採取措</w:t>
      </w:r>
      <w:r>
        <w:rPr>
          <w:rFonts w:eastAsia="標楷體" w:hint="eastAsia"/>
          <w:sz w:val="28"/>
          <w:szCs w:val="28"/>
        </w:rPr>
        <w:t>施，</w:t>
      </w:r>
      <w:r>
        <w:rPr>
          <w:rFonts w:eastAsia="標楷體" w:hint="eastAsia"/>
          <w:sz w:val="28"/>
          <w:szCs w:val="28"/>
          <w:lang w:eastAsia="zh-HK"/>
        </w:rPr>
        <w:t>為公共衞生部</w:t>
      </w:r>
      <w:r>
        <w:rPr>
          <w:rFonts w:eastAsia="標楷體" w:hint="eastAsia"/>
          <w:sz w:val="28"/>
          <w:szCs w:val="28"/>
        </w:rPr>
        <w:t>門</w:t>
      </w:r>
      <w:r>
        <w:rPr>
          <w:rFonts w:eastAsia="標楷體" w:hint="eastAsia"/>
          <w:sz w:val="28"/>
          <w:szCs w:val="28"/>
          <w:lang w:eastAsia="zh-HK"/>
        </w:rPr>
        <w:t>提</w:t>
      </w:r>
      <w:r>
        <w:rPr>
          <w:rFonts w:eastAsia="標楷體" w:hint="eastAsia"/>
          <w:sz w:val="28"/>
          <w:szCs w:val="28"/>
        </w:rPr>
        <w:t>供</w:t>
      </w:r>
      <w:r>
        <w:rPr>
          <w:rFonts w:eastAsia="標楷體" w:hint="eastAsia"/>
          <w:sz w:val="28"/>
          <w:szCs w:val="28"/>
          <w:lang w:eastAsia="zh-HK"/>
        </w:rPr>
        <w:t>足</w:t>
      </w:r>
      <w:r>
        <w:rPr>
          <w:rFonts w:eastAsia="標楷體" w:hint="eastAsia"/>
          <w:sz w:val="28"/>
          <w:szCs w:val="28"/>
        </w:rPr>
        <w:t>夠</w:t>
      </w:r>
      <w:r>
        <w:rPr>
          <w:rFonts w:eastAsia="標楷體" w:hint="eastAsia"/>
          <w:sz w:val="28"/>
          <w:szCs w:val="28"/>
          <w:lang w:eastAsia="zh-HK"/>
        </w:rPr>
        <w:t>的醫</w:t>
      </w:r>
      <w:r>
        <w:rPr>
          <w:rFonts w:eastAsia="標楷體" w:hint="eastAsia"/>
          <w:sz w:val="28"/>
          <w:szCs w:val="28"/>
        </w:rPr>
        <w:t>生</w:t>
      </w:r>
      <w:r>
        <w:rPr>
          <w:rFonts w:eastAsia="標楷體" w:hint="eastAsia"/>
          <w:sz w:val="28"/>
          <w:szCs w:val="28"/>
          <w:lang w:eastAsia="zh-HK"/>
        </w:rPr>
        <w:t>和其</w:t>
      </w:r>
      <w:r>
        <w:rPr>
          <w:rFonts w:eastAsia="標楷體" w:hint="eastAsia"/>
          <w:sz w:val="28"/>
          <w:szCs w:val="28"/>
        </w:rPr>
        <w:t>他</w:t>
      </w:r>
      <w:r>
        <w:rPr>
          <w:rFonts w:eastAsia="標楷體" w:hint="eastAsia"/>
          <w:sz w:val="28"/>
          <w:szCs w:val="28"/>
          <w:lang w:eastAsia="zh-HK"/>
        </w:rPr>
        <w:t>醫務人員</w:t>
      </w:r>
      <w:r w:rsidRPr="00612CEA">
        <w:rPr>
          <w:rFonts w:eastAsia="標楷體" w:hint="eastAsia"/>
          <w:sz w:val="28"/>
          <w:szCs w:val="28"/>
        </w:rPr>
        <w:t>。</w:t>
      </w:r>
      <w:r>
        <w:rPr>
          <w:rFonts w:eastAsia="標楷體" w:hint="eastAsia"/>
          <w:sz w:val="28"/>
          <w:szCs w:val="28"/>
          <w:lang w:eastAsia="zh-HK"/>
        </w:rPr>
        <w:t>醫院管理局</w:t>
      </w:r>
      <w:r>
        <w:rPr>
          <w:rFonts w:eastAsia="標楷體" w:hint="eastAsia"/>
          <w:sz w:val="28"/>
          <w:szCs w:val="28"/>
        </w:rPr>
        <w:t>（</w:t>
      </w:r>
      <w:r w:rsidRPr="006E4B1A">
        <w:rPr>
          <w:rFonts w:eastAsia="標楷體" w:hint="eastAsia"/>
          <w:sz w:val="28"/>
          <w:szCs w:val="28"/>
        </w:rPr>
        <w:t>醫管局</w:t>
      </w:r>
      <w:r>
        <w:rPr>
          <w:rFonts w:eastAsia="標楷體" w:hint="eastAsia"/>
          <w:sz w:val="28"/>
          <w:szCs w:val="28"/>
        </w:rPr>
        <w:t>）</w:t>
      </w:r>
      <w:r w:rsidRPr="006E4B1A">
        <w:rPr>
          <w:rFonts w:eastAsia="標楷體" w:hint="eastAsia"/>
          <w:sz w:val="28"/>
          <w:szCs w:val="28"/>
        </w:rPr>
        <w:t>推出了以下措施</w:t>
      </w:r>
      <w:r w:rsidRPr="006E4B1A">
        <w:rPr>
          <w:rFonts w:eastAsia="標楷體"/>
          <w:sz w:val="28"/>
          <w:szCs w:val="28"/>
        </w:rPr>
        <w:t>–</w:t>
      </w:r>
    </w:p>
    <w:p w:rsidR="006D2061" w:rsidRPr="006E4B1A"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36" w:hanging="1436"/>
        <w:jc w:val="both"/>
        <w:rPr>
          <w:rFonts w:eastAsia="標楷體"/>
          <w:sz w:val="28"/>
          <w:szCs w:val="28"/>
        </w:rPr>
      </w:pPr>
      <w:r>
        <w:rPr>
          <w:rFonts w:eastAsia="標楷體"/>
          <w:sz w:val="28"/>
          <w:szCs w:val="28"/>
        </w:rPr>
        <w:tab/>
      </w:r>
      <w:r w:rsidR="006D2061">
        <w:rPr>
          <w:rFonts w:eastAsia="標楷體" w:hint="eastAsia"/>
          <w:sz w:val="28"/>
          <w:szCs w:val="28"/>
        </w:rPr>
        <w:t>(a)</w:t>
      </w:r>
      <w:r w:rsidR="006D2061">
        <w:rPr>
          <w:rFonts w:eastAsia="標楷體"/>
          <w:sz w:val="28"/>
          <w:szCs w:val="28"/>
        </w:rPr>
        <w:tab/>
      </w:r>
      <w:r w:rsidR="006D2061" w:rsidRPr="00F95BB5">
        <w:rPr>
          <w:rFonts w:eastAsia="標楷體" w:hint="eastAsia"/>
          <w:b/>
          <w:sz w:val="28"/>
          <w:szCs w:val="28"/>
        </w:rPr>
        <w:t>招聘本地醫科畢業生</w:t>
      </w:r>
      <w:r w:rsidR="006D2061" w:rsidRPr="006E4B1A">
        <w:rPr>
          <w:rFonts w:eastAsia="標楷體" w:hint="eastAsia"/>
          <w:sz w:val="28"/>
          <w:szCs w:val="28"/>
        </w:rPr>
        <w:t>：增加駐院醫生培訓名額，以聘請所有合資格的本地醫科畢業生；</w:t>
      </w:r>
    </w:p>
    <w:p w:rsidR="006D2061" w:rsidRPr="006E4B1A"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40" w:hanging="1440"/>
        <w:jc w:val="both"/>
        <w:rPr>
          <w:rFonts w:eastAsia="標楷體"/>
          <w:sz w:val="28"/>
          <w:szCs w:val="28"/>
        </w:rPr>
      </w:pPr>
      <w:r>
        <w:rPr>
          <w:rFonts w:eastAsia="標楷體"/>
          <w:sz w:val="28"/>
          <w:szCs w:val="28"/>
        </w:rPr>
        <w:tab/>
      </w:r>
      <w:r w:rsidR="006D2061">
        <w:rPr>
          <w:rFonts w:eastAsia="標楷體" w:hint="eastAsia"/>
          <w:sz w:val="28"/>
          <w:szCs w:val="28"/>
        </w:rPr>
        <w:t>(b)</w:t>
      </w:r>
      <w:r w:rsidR="006D2061" w:rsidRPr="006E4B1A">
        <w:rPr>
          <w:rFonts w:eastAsia="標楷體"/>
          <w:sz w:val="28"/>
          <w:szCs w:val="28"/>
        </w:rPr>
        <w:tab/>
      </w:r>
      <w:r w:rsidR="006D2061" w:rsidRPr="00F95BB5">
        <w:rPr>
          <w:rFonts w:eastAsia="標楷體" w:hint="eastAsia"/>
          <w:b/>
          <w:sz w:val="28"/>
          <w:szCs w:val="28"/>
        </w:rPr>
        <w:t>以有限度執業註冊形式聘請非本地培訓醫生</w:t>
      </w:r>
      <w:r w:rsidR="006D2061" w:rsidRPr="006E4B1A">
        <w:rPr>
          <w:rFonts w:eastAsia="標楷體" w:hint="eastAsia"/>
          <w:sz w:val="28"/>
          <w:szCs w:val="28"/>
        </w:rPr>
        <w:t>：醫管局由</w:t>
      </w:r>
      <w:r w:rsidR="006D2061" w:rsidRPr="006E4B1A">
        <w:rPr>
          <w:rFonts w:eastAsia="標楷體"/>
          <w:sz w:val="28"/>
          <w:szCs w:val="28"/>
        </w:rPr>
        <w:t>2011/12</w:t>
      </w:r>
      <w:r w:rsidR="006D2061" w:rsidRPr="006E4B1A">
        <w:rPr>
          <w:rFonts w:eastAsia="標楷體" w:hint="eastAsia"/>
          <w:sz w:val="28"/>
          <w:szCs w:val="28"/>
        </w:rPr>
        <w:t>年度開始以有限度執業註冊形式聘請非本地培訓醫生。隨著醫管局由</w:t>
      </w:r>
      <w:r w:rsidR="006D2061" w:rsidRPr="006E4B1A">
        <w:rPr>
          <w:rFonts w:eastAsia="標楷體"/>
          <w:sz w:val="28"/>
          <w:szCs w:val="28"/>
        </w:rPr>
        <w:t>2017</w:t>
      </w:r>
      <w:r w:rsidR="006D2061" w:rsidRPr="006E4B1A">
        <w:rPr>
          <w:rFonts w:eastAsia="標楷體" w:hint="eastAsia"/>
          <w:sz w:val="28"/>
          <w:szCs w:val="28"/>
        </w:rPr>
        <w:t>年起擴展合約期至最多三年，預期可以有限度執業註冊形式招聘更多非本地培訓醫生；</w:t>
      </w:r>
    </w:p>
    <w:p w:rsidR="006D2061" w:rsidRPr="006E4B1A"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40" w:hanging="1440"/>
        <w:jc w:val="both"/>
        <w:rPr>
          <w:rFonts w:eastAsia="標楷體"/>
          <w:sz w:val="28"/>
          <w:szCs w:val="28"/>
        </w:rPr>
      </w:pPr>
      <w:r>
        <w:rPr>
          <w:rFonts w:eastAsia="標楷體"/>
          <w:sz w:val="28"/>
          <w:szCs w:val="28"/>
        </w:rPr>
        <w:tab/>
      </w:r>
      <w:r w:rsidR="006D2061">
        <w:rPr>
          <w:rFonts w:eastAsia="標楷體"/>
          <w:sz w:val="28"/>
          <w:szCs w:val="28"/>
        </w:rPr>
        <w:t>(c)</w:t>
      </w:r>
      <w:r w:rsidR="006D2061" w:rsidRPr="006E4B1A">
        <w:rPr>
          <w:rFonts w:eastAsia="標楷體"/>
          <w:sz w:val="28"/>
          <w:szCs w:val="28"/>
        </w:rPr>
        <w:tab/>
      </w:r>
      <w:r w:rsidR="006D2061" w:rsidRPr="00F95BB5">
        <w:rPr>
          <w:rFonts w:eastAsia="標楷體" w:hint="eastAsia"/>
          <w:b/>
          <w:sz w:val="28"/>
          <w:szCs w:val="28"/>
        </w:rPr>
        <w:t>特別退休後重聘計劃</w:t>
      </w:r>
      <w:r w:rsidR="006D2061" w:rsidRPr="006E4B1A">
        <w:rPr>
          <w:rFonts w:eastAsia="標楷體" w:hint="eastAsia"/>
          <w:sz w:val="28"/>
          <w:szCs w:val="28"/>
        </w:rPr>
        <w:t>：由</w:t>
      </w:r>
      <w:r w:rsidR="006D2061" w:rsidRPr="006E4B1A">
        <w:rPr>
          <w:rFonts w:eastAsia="標楷體"/>
          <w:sz w:val="28"/>
          <w:szCs w:val="28"/>
        </w:rPr>
        <w:t>2015/16</w:t>
      </w:r>
      <w:r w:rsidR="006D2061" w:rsidRPr="006E4B1A">
        <w:rPr>
          <w:rFonts w:eastAsia="標楷體" w:hint="eastAsia"/>
          <w:sz w:val="28"/>
          <w:szCs w:val="28"/>
        </w:rPr>
        <w:t>年度開始，重新聘用年屆正常退休年齡退休或約滿離職的合適的現職醫生以紓緩人手情況，並協助員工培訓及知識傳承；</w:t>
      </w:r>
    </w:p>
    <w:p w:rsidR="006D2061" w:rsidRPr="006E4B1A"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40" w:hanging="1440"/>
        <w:jc w:val="both"/>
        <w:rPr>
          <w:rFonts w:eastAsia="標楷體"/>
          <w:sz w:val="28"/>
          <w:szCs w:val="28"/>
        </w:rPr>
      </w:pPr>
      <w:r>
        <w:rPr>
          <w:rFonts w:eastAsia="標楷體"/>
          <w:sz w:val="28"/>
          <w:szCs w:val="28"/>
        </w:rPr>
        <w:tab/>
      </w:r>
      <w:r w:rsidR="006D2061">
        <w:rPr>
          <w:rFonts w:eastAsia="標楷體" w:hint="eastAsia"/>
          <w:sz w:val="28"/>
          <w:szCs w:val="28"/>
        </w:rPr>
        <w:t>(</w:t>
      </w:r>
      <w:r w:rsidR="006D2061">
        <w:rPr>
          <w:rFonts w:eastAsia="標楷體" w:hint="eastAsia"/>
          <w:sz w:val="28"/>
          <w:szCs w:val="28"/>
          <w:lang w:eastAsia="zh-HK"/>
        </w:rPr>
        <w:t>d)</w:t>
      </w:r>
      <w:r w:rsidR="006D2061">
        <w:rPr>
          <w:rFonts w:eastAsia="標楷體"/>
          <w:sz w:val="28"/>
          <w:szCs w:val="28"/>
          <w:lang w:eastAsia="zh-HK"/>
        </w:rPr>
        <w:tab/>
      </w:r>
      <w:r w:rsidR="006D2061" w:rsidRPr="00F95BB5">
        <w:rPr>
          <w:rFonts w:eastAsia="標楷體" w:hint="eastAsia"/>
          <w:b/>
          <w:sz w:val="28"/>
          <w:szCs w:val="28"/>
        </w:rPr>
        <w:t>持續聘請兼職醫生</w:t>
      </w:r>
      <w:r w:rsidR="006D2061" w:rsidRPr="006E4B1A">
        <w:rPr>
          <w:rFonts w:eastAsia="標楷體" w:hint="eastAsia"/>
          <w:sz w:val="28"/>
          <w:szCs w:val="28"/>
        </w:rPr>
        <w:t>：繼續聘請兼職醫生及推行更靈活的招聘策略；</w:t>
      </w:r>
    </w:p>
    <w:p w:rsidR="006D2061" w:rsidRPr="006E4B1A"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36" w:hanging="1436"/>
        <w:jc w:val="both"/>
        <w:rPr>
          <w:rFonts w:eastAsia="標楷體"/>
          <w:sz w:val="28"/>
          <w:szCs w:val="28"/>
        </w:rPr>
      </w:pPr>
      <w:r>
        <w:rPr>
          <w:rFonts w:eastAsia="標楷體"/>
          <w:sz w:val="28"/>
          <w:szCs w:val="28"/>
        </w:rPr>
        <w:tab/>
      </w:r>
      <w:r w:rsidR="006D2061">
        <w:rPr>
          <w:rFonts w:eastAsia="標楷體" w:hint="eastAsia"/>
          <w:sz w:val="28"/>
          <w:szCs w:val="28"/>
        </w:rPr>
        <w:t>(e)</w:t>
      </w:r>
      <w:r>
        <w:rPr>
          <w:rFonts w:eastAsia="標楷體"/>
          <w:sz w:val="28"/>
          <w:szCs w:val="28"/>
        </w:rPr>
        <w:tab/>
      </w:r>
      <w:r w:rsidR="006D2061" w:rsidRPr="00F95BB5">
        <w:rPr>
          <w:rFonts w:eastAsia="標楷體" w:hint="eastAsia"/>
          <w:b/>
          <w:sz w:val="28"/>
          <w:szCs w:val="28"/>
        </w:rPr>
        <w:t>特別酬金計劃</w:t>
      </w:r>
      <w:r w:rsidR="006D2061" w:rsidRPr="006E4B1A">
        <w:rPr>
          <w:rFonts w:eastAsia="標楷體" w:hint="eastAsia"/>
          <w:sz w:val="28"/>
          <w:szCs w:val="28"/>
        </w:rPr>
        <w:t>：繼續在適當情況下推行</w:t>
      </w:r>
      <w:r w:rsidR="006D2061">
        <w:rPr>
          <w:rFonts w:eastAsia="標楷體" w:hint="eastAsia"/>
          <w:sz w:val="28"/>
          <w:szCs w:val="28"/>
          <w:lang w:eastAsia="zh-HK"/>
        </w:rPr>
        <w:t>此</w:t>
      </w:r>
      <w:r w:rsidR="006D2061" w:rsidRPr="006E4B1A">
        <w:rPr>
          <w:rFonts w:eastAsia="標楷體" w:hint="eastAsia"/>
          <w:sz w:val="28"/>
          <w:szCs w:val="28"/>
        </w:rPr>
        <w:t>計劃，紓緩短期人手短缺情況；</w:t>
      </w:r>
    </w:p>
    <w:p w:rsidR="006D2061" w:rsidRPr="006E4B1A"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36" w:hanging="1436"/>
        <w:jc w:val="both"/>
        <w:rPr>
          <w:rFonts w:eastAsia="標楷體"/>
          <w:sz w:val="28"/>
          <w:szCs w:val="28"/>
        </w:rPr>
      </w:pPr>
      <w:r>
        <w:rPr>
          <w:rFonts w:eastAsia="標楷體"/>
          <w:sz w:val="28"/>
          <w:szCs w:val="28"/>
        </w:rPr>
        <w:tab/>
      </w:r>
      <w:r w:rsidR="006D2061">
        <w:rPr>
          <w:rFonts w:eastAsia="標楷體" w:hint="eastAsia"/>
          <w:sz w:val="28"/>
          <w:szCs w:val="28"/>
        </w:rPr>
        <w:t>(f)</w:t>
      </w:r>
      <w:r w:rsidR="006D2061">
        <w:rPr>
          <w:rFonts w:eastAsia="標楷體"/>
          <w:sz w:val="28"/>
          <w:szCs w:val="28"/>
        </w:rPr>
        <w:tab/>
      </w:r>
      <w:r w:rsidR="006D2061" w:rsidRPr="00F95BB5">
        <w:rPr>
          <w:rFonts w:eastAsia="標楷體" w:hint="eastAsia"/>
          <w:b/>
          <w:sz w:val="28"/>
          <w:szCs w:val="28"/>
        </w:rPr>
        <w:t>提供更多晉升機會</w:t>
      </w:r>
      <w:r w:rsidR="006D2061" w:rsidRPr="006E4B1A">
        <w:rPr>
          <w:rFonts w:eastAsia="標楷體" w:hint="eastAsia"/>
          <w:sz w:val="28"/>
          <w:szCs w:val="28"/>
        </w:rPr>
        <w:t>：醫管局由</w:t>
      </w:r>
      <w:r w:rsidR="006D2061" w:rsidRPr="006E4B1A">
        <w:rPr>
          <w:rFonts w:eastAsia="標楷體"/>
          <w:sz w:val="28"/>
          <w:szCs w:val="28"/>
        </w:rPr>
        <w:t>2011/12</w:t>
      </w:r>
      <w:r w:rsidR="006D2061" w:rsidRPr="006E4B1A">
        <w:rPr>
          <w:rFonts w:eastAsia="標楷體" w:hint="eastAsia"/>
          <w:sz w:val="28"/>
          <w:szCs w:val="28"/>
        </w:rPr>
        <w:t>年起設立中央統籌的額外副顧問醫生晉升機制，以表揚取得院士資格後在醫管局服務滿五年或以上的優秀醫生；</w:t>
      </w:r>
    </w:p>
    <w:p w:rsidR="006D2061" w:rsidRPr="006E4B1A"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E22C88">
      <w:pPr>
        <w:pStyle w:val="2"/>
        <w:tabs>
          <w:tab w:val="left" w:pos="720"/>
          <w:tab w:val="left" w:pos="1440"/>
        </w:tabs>
        <w:adjustRightInd w:val="0"/>
        <w:snapToGrid w:val="0"/>
        <w:spacing w:after="0" w:line="400" w:lineRule="atLeast"/>
        <w:ind w:left="1436" w:hanging="1436"/>
        <w:jc w:val="both"/>
        <w:rPr>
          <w:rFonts w:eastAsia="標楷體"/>
          <w:sz w:val="28"/>
          <w:szCs w:val="28"/>
        </w:rPr>
      </w:pPr>
      <w:r>
        <w:rPr>
          <w:rFonts w:eastAsia="標楷體"/>
          <w:sz w:val="28"/>
          <w:szCs w:val="28"/>
        </w:rPr>
        <w:lastRenderedPageBreak/>
        <w:tab/>
      </w:r>
      <w:r w:rsidR="006D2061">
        <w:rPr>
          <w:rFonts w:eastAsia="標楷體" w:hint="eastAsia"/>
          <w:sz w:val="28"/>
          <w:szCs w:val="28"/>
        </w:rPr>
        <w:t>(g)</w:t>
      </w:r>
      <w:r w:rsidR="006D2061">
        <w:rPr>
          <w:rFonts w:eastAsia="標楷體" w:hint="eastAsia"/>
          <w:sz w:val="28"/>
          <w:szCs w:val="28"/>
        </w:rPr>
        <w:tab/>
      </w:r>
      <w:r w:rsidR="006D2061" w:rsidRPr="00F95BB5">
        <w:rPr>
          <w:rFonts w:eastAsia="標楷體" w:hint="eastAsia"/>
          <w:b/>
          <w:sz w:val="28"/>
          <w:szCs w:val="28"/>
        </w:rPr>
        <w:t>加強培訓</w:t>
      </w:r>
      <w:r w:rsidR="006D2061" w:rsidRPr="006E4B1A">
        <w:rPr>
          <w:rFonts w:eastAsia="標楷體" w:hint="eastAsia"/>
          <w:sz w:val="28"/>
          <w:szCs w:val="28"/>
        </w:rPr>
        <w:t>：為醫生提供更多培訓課程及海外培訓機會及擴大模擬培訓，以支持專業發展；</w:t>
      </w:r>
      <w:r w:rsidR="006D2061">
        <w:rPr>
          <w:rFonts w:eastAsia="標楷體" w:hint="eastAsia"/>
          <w:sz w:val="28"/>
          <w:szCs w:val="28"/>
          <w:lang w:eastAsia="zh-HK"/>
        </w:rPr>
        <w:t>及</w:t>
      </w:r>
    </w:p>
    <w:p w:rsidR="006D2061" w:rsidRPr="00451684"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E22C88" w:rsidP="000917F0">
      <w:pPr>
        <w:pStyle w:val="2"/>
        <w:tabs>
          <w:tab w:val="left" w:pos="720"/>
          <w:tab w:val="left" w:pos="1440"/>
        </w:tabs>
        <w:adjustRightInd w:val="0"/>
        <w:snapToGrid w:val="0"/>
        <w:spacing w:after="0" w:line="400" w:lineRule="atLeast"/>
        <w:ind w:left="1436" w:hanging="1436"/>
        <w:jc w:val="both"/>
        <w:rPr>
          <w:rFonts w:eastAsia="標楷體"/>
          <w:sz w:val="28"/>
          <w:szCs w:val="28"/>
        </w:rPr>
      </w:pPr>
      <w:r>
        <w:rPr>
          <w:rFonts w:eastAsia="標楷體"/>
          <w:sz w:val="28"/>
          <w:szCs w:val="28"/>
        </w:rPr>
        <w:tab/>
      </w:r>
      <w:r w:rsidR="006D2061">
        <w:rPr>
          <w:rFonts w:eastAsia="標楷體" w:hint="eastAsia"/>
          <w:sz w:val="28"/>
          <w:szCs w:val="28"/>
        </w:rPr>
        <w:t>(h)</w:t>
      </w:r>
      <w:r w:rsidR="006D2061">
        <w:rPr>
          <w:rFonts w:eastAsia="標楷體" w:hint="eastAsia"/>
          <w:sz w:val="28"/>
          <w:szCs w:val="28"/>
        </w:rPr>
        <w:tab/>
      </w:r>
      <w:r w:rsidR="006D2061" w:rsidRPr="00F95BB5">
        <w:rPr>
          <w:rFonts w:eastAsia="標楷體" w:hint="eastAsia"/>
          <w:b/>
          <w:sz w:val="28"/>
          <w:szCs w:val="28"/>
        </w:rPr>
        <w:t>增加工作安排的彈性</w:t>
      </w:r>
      <w:r w:rsidR="006D2061" w:rsidRPr="006E4B1A">
        <w:rPr>
          <w:rFonts w:eastAsia="標楷體" w:hint="eastAsia"/>
          <w:sz w:val="28"/>
          <w:szCs w:val="28"/>
        </w:rPr>
        <w:t>：醫管局正積極考慮在工作安排方面提供更多彈性選擇以照顧有特殊需要的職員，藉此挽留有經驗的人手。</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451684"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sidRPr="00451684">
        <w:rPr>
          <w:rFonts w:eastAsia="標楷體" w:hint="eastAsia"/>
          <w:sz w:val="28"/>
          <w:szCs w:val="28"/>
          <w:u w:val="single"/>
        </w:rPr>
        <w:t>監管醫療機構</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w:t>
      </w:r>
      <w:r>
        <w:rPr>
          <w:rFonts w:eastAsia="標楷體"/>
          <w:sz w:val="28"/>
          <w:szCs w:val="28"/>
        </w:rPr>
        <w:t>2.</w:t>
      </w:r>
      <w:r>
        <w:rPr>
          <w:rFonts w:eastAsia="標楷體" w:hint="eastAsia"/>
          <w:sz w:val="28"/>
          <w:szCs w:val="28"/>
        </w:rPr>
        <w:t>3</w:t>
      </w:r>
      <w:r>
        <w:rPr>
          <w:rFonts w:eastAsia="標楷體"/>
          <w:sz w:val="28"/>
          <w:szCs w:val="28"/>
        </w:rPr>
        <w:tab/>
      </w:r>
      <w:r w:rsidRPr="00451684">
        <w:rPr>
          <w:rFonts w:eastAsia="標楷體" w:hint="eastAsia"/>
          <w:sz w:val="28"/>
          <w:szCs w:val="28"/>
        </w:rPr>
        <w:t>衞生署私營醫療機構規管辦事處為私家醫院、護養院及留產院提供註冊服務，並監察該些機構的房舍、人手及設備。衞生署規管和監察私人醫護服務的架構</w:t>
      </w:r>
      <w:r>
        <w:rPr>
          <w:rFonts w:eastAsia="標楷體" w:hint="eastAsia"/>
          <w:sz w:val="28"/>
          <w:szCs w:val="28"/>
          <w:lang w:eastAsia="zh-HK"/>
        </w:rPr>
        <w:t>，並</w:t>
      </w:r>
      <w:r w:rsidRPr="00451684">
        <w:rPr>
          <w:rFonts w:eastAsia="標楷體" w:hint="eastAsia"/>
          <w:sz w:val="28"/>
          <w:szCs w:val="28"/>
        </w:rPr>
        <w:t>會</w:t>
      </w:r>
      <w:r>
        <w:rPr>
          <w:rFonts w:eastAsia="標楷體" w:hint="eastAsia"/>
          <w:sz w:val="28"/>
          <w:szCs w:val="28"/>
        </w:rPr>
        <w:t>作</w:t>
      </w:r>
      <w:r w:rsidRPr="00451684">
        <w:rPr>
          <w:rFonts w:eastAsia="標楷體" w:hint="eastAsia"/>
          <w:sz w:val="28"/>
          <w:szCs w:val="28"/>
        </w:rPr>
        <w:t>定期檢討。</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451684"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12.4</w:t>
      </w:r>
      <w:r>
        <w:rPr>
          <w:rFonts w:eastAsia="標楷體" w:hint="eastAsia"/>
          <w:sz w:val="28"/>
          <w:szCs w:val="28"/>
        </w:rPr>
        <w:tab/>
      </w:r>
      <w:r>
        <w:rPr>
          <w:rFonts w:eastAsia="標楷體" w:hint="eastAsia"/>
          <w:sz w:val="28"/>
          <w:szCs w:val="28"/>
          <w:lang w:eastAsia="zh-HK"/>
        </w:rPr>
        <w:t>於</w:t>
      </w:r>
      <w:r>
        <w:rPr>
          <w:rFonts w:eastAsia="標楷體" w:hint="eastAsia"/>
          <w:sz w:val="28"/>
          <w:szCs w:val="28"/>
        </w:rPr>
        <w:t>2018</w:t>
      </w:r>
      <w:r>
        <w:rPr>
          <w:rFonts w:eastAsia="標楷體" w:hint="eastAsia"/>
          <w:sz w:val="28"/>
          <w:szCs w:val="28"/>
          <w:lang w:eastAsia="zh-HK"/>
        </w:rPr>
        <w:t>年通</w:t>
      </w:r>
      <w:r>
        <w:rPr>
          <w:rFonts w:eastAsia="標楷體" w:hint="eastAsia"/>
          <w:sz w:val="28"/>
          <w:szCs w:val="28"/>
        </w:rPr>
        <w:t>過</w:t>
      </w:r>
      <w:r>
        <w:rPr>
          <w:rFonts w:eastAsia="標楷體" w:hint="eastAsia"/>
          <w:sz w:val="28"/>
          <w:szCs w:val="28"/>
          <w:lang w:eastAsia="zh-HK"/>
        </w:rPr>
        <w:t>的</w:t>
      </w:r>
      <w:r w:rsidRPr="00F95BB5">
        <w:rPr>
          <w:rFonts w:eastAsia="標楷體" w:hint="eastAsia"/>
          <w:sz w:val="28"/>
          <w:szCs w:val="28"/>
        </w:rPr>
        <w:t>《私營醫療機構條例》</w:t>
      </w:r>
      <w:r w:rsidRPr="00BD2DA1">
        <w:rPr>
          <w:rFonts w:eastAsia="標楷體" w:hint="eastAsia"/>
          <w:sz w:val="28"/>
          <w:szCs w:val="28"/>
        </w:rPr>
        <w:t>（</w:t>
      </w:r>
      <w:r w:rsidRPr="00F95BB5">
        <w:rPr>
          <w:rFonts w:eastAsia="標楷體" w:hint="eastAsia"/>
          <w:sz w:val="28"/>
          <w:szCs w:val="28"/>
        </w:rPr>
        <w:t>第</w:t>
      </w:r>
      <w:r w:rsidRPr="00F95BB5">
        <w:rPr>
          <w:rFonts w:eastAsia="標楷體"/>
          <w:sz w:val="28"/>
          <w:szCs w:val="28"/>
        </w:rPr>
        <w:t>633</w:t>
      </w:r>
      <w:r w:rsidRPr="00F95BB5">
        <w:rPr>
          <w:rFonts w:eastAsia="標楷體" w:hint="eastAsia"/>
          <w:sz w:val="28"/>
          <w:szCs w:val="28"/>
        </w:rPr>
        <w:t>章</w:t>
      </w:r>
      <w:r w:rsidRPr="00BD2DA1">
        <w:rPr>
          <w:rFonts w:eastAsia="標楷體" w:hint="eastAsia"/>
          <w:sz w:val="28"/>
          <w:szCs w:val="28"/>
        </w:rPr>
        <w:t>）</w:t>
      </w:r>
      <w:r w:rsidRPr="00F95BB5">
        <w:rPr>
          <w:rFonts w:eastAsia="標楷體" w:hint="eastAsia"/>
          <w:sz w:val="28"/>
          <w:szCs w:val="28"/>
        </w:rPr>
        <w:t>，</w:t>
      </w:r>
      <w:r>
        <w:rPr>
          <w:rFonts w:eastAsia="標楷體" w:hint="eastAsia"/>
          <w:sz w:val="28"/>
          <w:szCs w:val="28"/>
          <w:lang w:eastAsia="zh-HK"/>
        </w:rPr>
        <w:t>將</w:t>
      </w:r>
      <w:r w:rsidRPr="00F95BB5">
        <w:rPr>
          <w:rFonts w:eastAsia="標楷體" w:hint="eastAsia"/>
          <w:sz w:val="28"/>
          <w:szCs w:val="28"/>
        </w:rPr>
        <w:t>為私營醫療機構引入以處所為本的新規管制度。</w:t>
      </w:r>
      <w:r>
        <w:rPr>
          <w:rFonts w:eastAsia="標楷體" w:hint="eastAsia"/>
          <w:sz w:val="28"/>
          <w:szCs w:val="28"/>
          <w:lang w:eastAsia="zh-HK"/>
        </w:rPr>
        <w:t>該條例</w:t>
      </w:r>
      <w:r w:rsidRPr="00F95BB5">
        <w:rPr>
          <w:rFonts w:eastAsia="標楷體" w:hint="eastAsia"/>
          <w:sz w:val="28"/>
          <w:szCs w:val="28"/>
        </w:rPr>
        <w:t>規管的私營醫療機構分為四類，分別是醫院、日間醫療中心、診所及衞生服務機構</w:t>
      </w:r>
      <w:r>
        <w:rPr>
          <w:rFonts w:eastAsia="標楷體" w:hint="eastAsia"/>
          <w:sz w:val="28"/>
          <w:szCs w:val="28"/>
          <w:lang w:eastAsia="zh-HK"/>
        </w:rPr>
        <w:t>，這</w:t>
      </w:r>
      <w:r>
        <w:rPr>
          <w:rFonts w:eastAsia="標楷體" w:hint="eastAsia"/>
          <w:sz w:val="28"/>
          <w:szCs w:val="28"/>
        </w:rPr>
        <w:t>些</w:t>
      </w:r>
      <w:r w:rsidRPr="00F95BB5">
        <w:rPr>
          <w:rFonts w:eastAsia="標楷體" w:hint="eastAsia"/>
          <w:sz w:val="28"/>
          <w:szCs w:val="28"/>
        </w:rPr>
        <w:t>機構除了須遵守《私營醫療機構條例》訂明的要求外，亦須遵守與其服務所涉風險相稱的規管標準。</w:t>
      </w:r>
      <w:r>
        <w:rPr>
          <w:rFonts w:eastAsia="標楷體" w:hint="eastAsia"/>
          <w:sz w:val="28"/>
          <w:szCs w:val="28"/>
          <w:lang w:eastAsia="zh-HK"/>
        </w:rPr>
        <w:t>該條例</w:t>
      </w:r>
      <w:r w:rsidRPr="00F95BB5">
        <w:rPr>
          <w:rFonts w:eastAsia="標楷體" w:hint="eastAsia"/>
          <w:sz w:val="28"/>
          <w:szCs w:val="28"/>
        </w:rPr>
        <w:t>會按私營醫療機構類型的風險程度分階段實施。我們會於</w:t>
      </w:r>
      <w:r w:rsidRPr="00F95BB5">
        <w:rPr>
          <w:rFonts w:eastAsia="標楷體"/>
          <w:sz w:val="28"/>
          <w:szCs w:val="28"/>
        </w:rPr>
        <w:t>2019</w:t>
      </w:r>
      <w:r w:rsidRPr="00F95BB5">
        <w:rPr>
          <w:rFonts w:eastAsia="標楷體" w:hint="eastAsia"/>
          <w:sz w:val="28"/>
          <w:szCs w:val="28"/>
        </w:rPr>
        <w:t>年中開始接受新制度下私家醫院的牌照申請，預計於</w:t>
      </w:r>
      <w:r w:rsidRPr="00F95BB5">
        <w:rPr>
          <w:rFonts w:eastAsia="標楷體"/>
          <w:sz w:val="28"/>
          <w:szCs w:val="28"/>
        </w:rPr>
        <w:t>2020</w:t>
      </w:r>
      <w:r w:rsidRPr="00F95BB5">
        <w:rPr>
          <w:rFonts w:eastAsia="標楷體" w:hint="eastAsia"/>
          <w:sz w:val="28"/>
          <w:szCs w:val="28"/>
        </w:rPr>
        <w:t>年接受日間醫療中心的牌照申請，</w:t>
      </w:r>
      <w:r>
        <w:rPr>
          <w:rFonts w:eastAsia="標楷體" w:hint="eastAsia"/>
          <w:sz w:val="28"/>
          <w:szCs w:val="28"/>
        </w:rPr>
        <w:t>並</w:t>
      </w:r>
      <w:r w:rsidRPr="00F95BB5">
        <w:rPr>
          <w:rFonts w:eastAsia="標楷體" w:hint="eastAsia"/>
          <w:sz w:val="28"/>
          <w:szCs w:val="28"/>
        </w:rPr>
        <w:t>最快於</w:t>
      </w:r>
      <w:r w:rsidRPr="00F95BB5">
        <w:rPr>
          <w:rFonts w:eastAsia="標楷體"/>
          <w:sz w:val="28"/>
          <w:szCs w:val="28"/>
        </w:rPr>
        <w:t>2021</w:t>
      </w:r>
      <w:r w:rsidRPr="00F95BB5">
        <w:rPr>
          <w:rFonts w:eastAsia="標楷體" w:hint="eastAsia"/>
          <w:sz w:val="28"/>
          <w:szCs w:val="28"/>
        </w:rPr>
        <w:t>年，開始接受診所牌照和豁免書的申請。</w:t>
      </w:r>
    </w:p>
    <w:p w:rsidR="006D2061"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Pr="00F95BB5" w:rsidRDefault="006D2061" w:rsidP="008375BB">
      <w:pPr>
        <w:pStyle w:val="2"/>
        <w:tabs>
          <w:tab w:val="left" w:pos="1440"/>
        </w:tabs>
        <w:adjustRightInd w:val="0"/>
        <w:snapToGrid w:val="0"/>
        <w:spacing w:after="0" w:line="400" w:lineRule="atLeast"/>
        <w:jc w:val="both"/>
        <w:rPr>
          <w:rFonts w:eastAsia="標楷體"/>
          <w:sz w:val="28"/>
          <w:szCs w:val="28"/>
          <w:u w:val="single"/>
        </w:rPr>
      </w:pPr>
      <w:r w:rsidRPr="00F95BB5">
        <w:rPr>
          <w:rFonts w:eastAsia="標楷體" w:hint="eastAsia"/>
          <w:sz w:val="28"/>
          <w:szCs w:val="28"/>
          <w:u w:val="single"/>
        </w:rPr>
        <w:t>自願醫保計劃</w:t>
      </w:r>
      <w:r w:rsidRPr="00BD2DA1">
        <w:rPr>
          <w:rFonts w:eastAsia="標楷體" w:hint="eastAsia"/>
          <w:sz w:val="28"/>
          <w:szCs w:val="28"/>
        </w:rPr>
        <w:t>（</w:t>
      </w:r>
      <w:r w:rsidRPr="00F95BB5">
        <w:rPr>
          <w:rFonts w:eastAsia="標楷體" w:hint="eastAsia"/>
          <w:sz w:val="28"/>
          <w:szCs w:val="28"/>
          <w:u w:val="single"/>
        </w:rPr>
        <w:t>自願醫保</w:t>
      </w:r>
      <w:r w:rsidRPr="00BD2DA1">
        <w:rPr>
          <w:rFonts w:eastAsia="標楷體" w:hint="eastAsia"/>
          <w:sz w:val="28"/>
          <w:szCs w:val="28"/>
        </w:rPr>
        <w:t>）</w:t>
      </w:r>
    </w:p>
    <w:p w:rsidR="006D2061"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w:t>
      </w:r>
      <w:r>
        <w:rPr>
          <w:rFonts w:eastAsia="標楷體"/>
          <w:sz w:val="28"/>
          <w:szCs w:val="28"/>
        </w:rPr>
        <w:t>2</w:t>
      </w:r>
      <w:r>
        <w:rPr>
          <w:rFonts w:eastAsia="標楷體" w:hint="eastAsia"/>
          <w:sz w:val="28"/>
          <w:szCs w:val="28"/>
        </w:rPr>
        <w:t>.5</w:t>
      </w:r>
      <w:r>
        <w:rPr>
          <w:rFonts w:eastAsia="標楷體"/>
          <w:sz w:val="28"/>
          <w:szCs w:val="28"/>
        </w:rPr>
        <w:tab/>
      </w:r>
      <w:r w:rsidRPr="00F95BB5">
        <w:rPr>
          <w:rFonts w:eastAsia="標楷體" w:hint="eastAsia"/>
          <w:sz w:val="28"/>
          <w:szCs w:val="28"/>
        </w:rPr>
        <w:t>由於市民對強制性醫療融資措施有所保留，政府遂建議推行自願計劃，讓巿民可更容易投購住院保險，同時提高產品質素。政府在</w:t>
      </w:r>
      <w:r>
        <w:rPr>
          <w:rFonts w:eastAsia="標楷體" w:hint="eastAsia"/>
          <w:sz w:val="28"/>
          <w:szCs w:val="28"/>
        </w:rPr>
        <w:t>2014</w:t>
      </w:r>
      <w:r w:rsidRPr="00F95BB5">
        <w:rPr>
          <w:rFonts w:eastAsia="標楷體" w:hint="eastAsia"/>
          <w:sz w:val="28"/>
          <w:szCs w:val="28"/>
        </w:rPr>
        <w:t>年</w:t>
      </w:r>
      <w:r>
        <w:rPr>
          <w:rFonts w:eastAsia="標楷體" w:hint="eastAsia"/>
          <w:sz w:val="28"/>
          <w:szCs w:val="28"/>
        </w:rPr>
        <w:t>12</w:t>
      </w:r>
      <w:r w:rsidRPr="00F95BB5">
        <w:rPr>
          <w:rFonts w:eastAsia="標楷體" w:hint="eastAsia"/>
          <w:sz w:val="28"/>
          <w:szCs w:val="28"/>
        </w:rPr>
        <w:t>月至</w:t>
      </w:r>
      <w:r>
        <w:rPr>
          <w:rFonts w:eastAsia="標楷體" w:hint="eastAsia"/>
          <w:sz w:val="28"/>
          <w:szCs w:val="28"/>
        </w:rPr>
        <w:t>2015</w:t>
      </w:r>
      <w:r w:rsidRPr="00F95BB5">
        <w:rPr>
          <w:rFonts w:eastAsia="標楷體" w:hint="eastAsia"/>
          <w:sz w:val="28"/>
          <w:szCs w:val="28"/>
        </w:rPr>
        <w:t>年</w:t>
      </w:r>
      <w:r>
        <w:rPr>
          <w:rFonts w:eastAsia="標楷體" w:hint="eastAsia"/>
          <w:sz w:val="28"/>
          <w:szCs w:val="28"/>
        </w:rPr>
        <w:t>4</w:t>
      </w:r>
      <w:r w:rsidRPr="00F95BB5">
        <w:rPr>
          <w:rFonts w:eastAsia="標楷體" w:hint="eastAsia"/>
          <w:sz w:val="28"/>
          <w:szCs w:val="28"/>
        </w:rPr>
        <w:t>月期間就自願醫保進行公眾諮詢。</w:t>
      </w:r>
      <w:r>
        <w:rPr>
          <w:rFonts w:eastAsia="標楷體" w:hint="eastAsia"/>
          <w:sz w:val="28"/>
          <w:szCs w:val="28"/>
        </w:rPr>
        <w:t>2017</w:t>
      </w:r>
      <w:r w:rsidRPr="00F95BB5">
        <w:rPr>
          <w:rFonts w:eastAsia="標楷體" w:hint="eastAsia"/>
          <w:sz w:val="28"/>
          <w:szCs w:val="28"/>
        </w:rPr>
        <w:t>年公布的諮詢結果顯示，自願醫保的概念和政策目標獲市民廣泛支持。</w:t>
      </w:r>
    </w:p>
    <w:p w:rsidR="006D2061" w:rsidRDefault="006D2061" w:rsidP="008375BB">
      <w:pPr>
        <w:pStyle w:val="2"/>
        <w:tabs>
          <w:tab w:val="left" w:pos="1440"/>
        </w:tabs>
        <w:adjustRightInd w:val="0"/>
        <w:snapToGrid w:val="0"/>
        <w:spacing w:line="400" w:lineRule="atLeast"/>
        <w:jc w:val="both"/>
        <w:rPr>
          <w:rFonts w:eastAsia="標楷體"/>
          <w:sz w:val="28"/>
          <w:szCs w:val="28"/>
        </w:rPr>
      </w:pPr>
    </w:p>
    <w:p w:rsidR="006D2061" w:rsidRPr="00F95BB5" w:rsidRDefault="006D2061" w:rsidP="009B0955">
      <w:pPr>
        <w:pStyle w:val="2"/>
        <w:tabs>
          <w:tab w:val="left" w:pos="1440"/>
          <w:tab w:val="left" w:pos="1680"/>
        </w:tabs>
        <w:overflowPunct w:val="0"/>
        <w:adjustRightInd w:val="0"/>
        <w:snapToGrid w:val="0"/>
        <w:spacing w:after="0" w:line="400" w:lineRule="atLeast"/>
        <w:jc w:val="both"/>
        <w:rPr>
          <w:rFonts w:eastAsia="標楷體"/>
          <w:sz w:val="28"/>
          <w:szCs w:val="28"/>
        </w:rPr>
      </w:pPr>
      <w:r>
        <w:rPr>
          <w:rFonts w:eastAsia="標楷體" w:hint="eastAsia"/>
          <w:sz w:val="28"/>
          <w:szCs w:val="28"/>
        </w:rPr>
        <w:t>12.6</w:t>
      </w:r>
      <w:r>
        <w:rPr>
          <w:rFonts w:eastAsia="標楷體" w:hint="eastAsia"/>
          <w:sz w:val="28"/>
          <w:szCs w:val="28"/>
        </w:rPr>
        <w:tab/>
      </w:r>
      <w:r w:rsidRPr="00F95BB5">
        <w:rPr>
          <w:rFonts w:eastAsia="標楷體" w:hint="eastAsia"/>
          <w:sz w:val="28"/>
          <w:szCs w:val="28"/>
        </w:rPr>
        <w:t>自願醫保旨在改善住院保險產品的質素，並為消費者提供更全面的優質住院保險產品作選擇。透過令消費者更易購買這類產品，提高產品質素和透明度，可促使消費者更有信心和更明確購買保</w:t>
      </w:r>
      <w:r w:rsidRPr="00F95BB5">
        <w:rPr>
          <w:rFonts w:eastAsia="標楷體" w:hint="eastAsia"/>
          <w:sz w:val="28"/>
          <w:szCs w:val="28"/>
        </w:rPr>
        <w:lastRenderedPageBreak/>
        <w:t>險保障以在有需要時使用私營醫療服務，從而減輕公營醫療系統的長遠財政壓力。</w:t>
      </w:r>
    </w:p>
    <w:p w:rsidR="006D2061" w:rsidRPr="00F95BB5" w:rsidRDefault="006D2061" w:rsidP="008375BB">
      <w:pPr>
        <w:pStyle w:val="2"/>
        <w:tabs>
          <w:tab w:val="left" w:pos="1440"/>
        </w:tabs>
        <w:adjustRightInd w:val="0"/>
        <w:snapToGrid w:val="0"/>
        <w:spacing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12.7</w:t>
      </w:r>
      <w:r>
        <w:rPr>
          <w:rFonts w:eastAsia="標楷體" w:hint="eastAsia"/>
          <w:sz w:val="28"/>
          <w:szCs w:val="28"/>
        </w:rPr>
        <w:tab/>
      </w:r>
      <w:r w:rsidRPr="00F95BB5">
        <w:rPr>
          <w:rFonts w:eastAsia="標楷體" w:hint="eastAsia"/>
          <w:sz w:val="28"/>
          <w:szCs w:val="28"/>
        </w:rPr>
        <w:t>自願醫保於</w:t>
      </w:r>
      <w:r>
        <w:rPr>
          <w:rFonts w:eastAsia="標楷體" w:hint="eastAsia"/>
          <w:sz w:val="28"/>
          <w:szCs w:val="28"/>
        </w:rPr>
        <w:t>2019</w:t>
      </w:r>
      <w:r w:rsidRPr="00F95BB5">
        <w:rPr>
          <w:rFonts w:eastAsia="標楷體" w:hint="eastAsia"/>
          <w:sz w:val="28"/>
          <w:szCs w:val="28"/>
        </w:rPr>
        <w:t>年</w:t>
      </w:r>
      <w:r>
        <w:rPr>
          <w:rFonts w:eastAsia="標楷體" w:hint="eastAsia"/>
          <w:sz w:val="28"/>
          <w:szCs w:val="28"/>
        </w:rPr>
        <w:t>4</w:t>
      </w:r>
      <w:r w:rsidRPr="00F95BB5">
        <w:rPr>
          <w:rFonts w:eastAsia="標楷體" w:hint="eastAsia"/>
          <w:sz w:val="28"/>
          <w:szCs w:val="28"/>
        </w:rPr>
        <w:t>月</w:t>
      </w:r>
      <w:r>
        <w:rPr>
          <w:rFonts w:eastAsia="標楷體" w:hint="eastAsia"/>
          <w:sz w:val="28"/>
          <w:szCs w:val="28"/>
        </w:rPr>
        <w:t>1</w:t>
      </w:r>
      <w:r w:rsidRPr="00F95BB5">
        <w:rPr>
          <w:rFonts w:eastAsia="標楷體" w:hint="eastAsia"/>
          <w:sz w:val="28"/>
          <w:szCs w:val="28"/>
        </w:rPr>
        <w:t>日起全面實施。與現有產品比較，自願醫保的認可產品在多方面更具吸引力，如保險公司須保證續保至受保人一百歲，且不得按受保人健康狀況的轉變而調整其保費；不設終身保障限額；以及承保範圍擴大至涵蓋未知的投保前已有病症</w:t>
      </w:r>
      <w:r w:rsidRPr="004F3DBB">
        <w:rPr>
          <w:rFonts w:eastAsia="標楷體" w:hint="eastAsia"/>
          <w:spacing w:val="2"/>
          <w:sz w:val="28"/>
          <w:szCs w:val="28"/>
        </w:rPr>
        <w:t>和日間手術（包括內窺鏡檢查）。為提供額外誘因，納稅人在</w:t>
      </w:r>
      <w:r w:rsidRPr="004F3DBB">
        <w:rPr>
          <w:rFonts w:eastAsia="標楷體" w:hint="eastAsia"/>
          <w:spacing w:val="2"/>
          <w:sz w:val="28"/>
          <w:szCs w:val="28"/>
        </w:rPr>
        <w:t>2019</w:t>
      </w:r>
      <w:r w:rsidRPr="00990518">
        <w:rPr>
          <w:rFonts w:eastAsia="標楷體" w:hint="eastAsia"/>
          <w:spacing w:val="-2"/>
          <w:sz w:val="28"/>
          <w:szCs w:val="28"/>
        </w:rPr>
        <w:t>年</w:t>
      </w:r>
      <w:r w:rsidRPr="00990518">
        <w:rPr>
          <w:rFonts w:eastAsia="標楷體" w:hint="eastAsia"/>
          <w:spacing w:val="-2"/>
          <w:sz w:val="28"/>
          <w:szCs w:val="28"/>
        </w:rPr>
        <w:t>4</w:t>
      </w:r>
      <w:r w:rsidRPr="00990518">
        <w:rPr>
          <w:rFonts w:eastAsia="標楷體" w:hint="eastAsia"/>
          <w:spacing w:val="-2"/>
          <w:sz w:val="28"/>
          <w:szCs w:val="28"/>
        </w:rPr>
        <w:t>月</w:t>
      </w:r>
      <w:r w:rsidRPr="00990518">
        <w:rPr>
          <w:rFonts w:eastAsia="標楷體" w:hint="eastAsia"/>
          <w:spacing w:val="-2"/>
          <w:sz w:val="28"/>
          <w:szCs w:val="28"/>
        </w:rPr>
        <w:t>1</w:t>
      </w:r>
      <w:r w:rsidRPr="00990518">
        <w:rPr>
          <w:rFonts w:eastAsia="標楷體" w:hint="eastAsia"/>
          <w:spacing w:val="-2"/>
          <w:sz w:val="28"/>
          <w:szCs w:val="28"/>
        </w:rPr>
        <w:t>日或之後就為其本人及／或指明親屬購買認可產品所繳付</w:t>
      </w:r>
      <w:r w:rsidRPr="00F95BB5">
        <w:rPr>
          <w:rFonts w:eastAsia="標楷體" w:hint="eastAsia"/>
          <w:sz w:val="28"/>
          <w:szCs w:val="28"/>
        </w:rPr>
        <w:t>的保費可申請稅務扣除。</w:t>
      </w:r>
    </w:p>
    <w:p w:rsidR="006D2061"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Pr="0010136F"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sidRPr="0010136F">
        <w:rPr>
          <w:rFonts w:eastAsia="標楷體" w:hint="eastAsia"/>
          <w:sz w:val="28"/>
          <w:szCs w:val="28"/>
          <w:u w:val="single"/>
        </w:rPr>
        <w:t>加強基層護理</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12.8</w:t>
      </w:r>
      <w:r>
        <w:rPr>
          <w:rFonts w:eastAsia="標楷體"/>
          <w:sz w:val="28"/>
          <w:szCs w:val="28"/>
        </w:rPr>
        <w:tab/>
      </w:r>
      <w:r w:rsidRPr="00965132">
        <w:rPr>
          <w:rFonts w:eastAsia="標楷體" w:hint="eastAsia"/>
          <w:sz w:val="28"/>
          <w:szCs w:val="28"/>
        </w:rPr>
        <w:t>加強基層醫療健康服務是食物及衞生局</w:t>
      </w:r>
      <w:r w:rsidRPr="00965132">
        <w:rPr>
          <w:rFonts w:eastAsia="標楷體"/>
          <w:sz w:val="28"/>
          <w:szCs w:val="28"/>
        </w:rPr>
        <w:t>(</w:t>
      </w:r>
      <w:r w:rsidRPr="00965132">
        <w:rPr>
          <w:rFonts w:eastAsia="標楷體" w:hint="eastAsia"/>
          <w:sz w:val="28"/>
          <w:szCs w:val="28"/>
        </w:rPr>
        <w:t>食衞局</w:t>
      </w:r>
      <w:r w:rsidRPr="00965132">
        <w:rPr>
          <w:rFonts w:eastAsia="標楷體"/>
          <w:sz w:val="28"/>
          <w:szCs w:val="28"/>
        </w:rPr>
        <w:t>)</w:t>
      </w:r>
      <w:r w:rsidRPr="00965132">
        <w:rPr>
          <w:rFonts w:eastAsia="標楷體" w:hint="eastAsia"/>
          <w:sz w:val="28"/>
          <w:szCs w:val="28"/>
        </w:rPr>
        <w:t>的重點政策之一。</w:t>
      </w:r>
      <w:r>
        <w:rPr>
          <w:rFonts w:eastAsia="標楷體" w:hint="eastAsia"/>
          <w:sz w:val="28"/>
          <w:szCs w:val="28"/>
          <w:lang w:eastAsia="zh-HK"/>
        </w:rPr>
        <w:t>該</w:t>
      </w:r>
      <w:r w:rsidRPr="00965132">
        <w:rPr>
          <w:rFonts w:eastAsia="標楷體" w:hint="eastAsia"/>
          <w:sz w:val="28"/>
          <w:szCs w:val="28"/>
        </w:rPr>
        <w:t>局在</w:t>
      </w:r>
      <w:r w:rsidRPr="00965132">
        <w:rPr>
          <w:rFonts w:eastAsia="標楷體"/>
          <w:sz w:val="28"/>
          <w:szCs w:val="28"/>
        </w:rPr>
        <w:t>2017</w:t>
      </w:r>
      <w:r w:rsidRPr="00965132">
        <w:rPr>
          <w:rFonts w:eastAsia="標楷體" w:hint="eastAsia"/>
          <w:sz w:val="28"/>
          <w:szCs w:val="28"/>
        </w:rPr>
        <w:t>年</w:t>
      </w:r>
      <w:r w:rsidRPr="00965132">
        <w:rPr>
          <w:rFonts w:eastAsia="標楷體"/>
          <w:sz w:val="28"/>
          <w:szCs w:val="28"/>
        </w:rPr>
        <w:t>11</w:t>
      </w:r>
      <w:r w:rsidRPr="00965132">
        <w:rPr>
          <w:rFonts w:eastAsia="標楷體" w:hint="eastAsia"/>
          <w:sz w:val="28"/>
          <w:szCs w:val="28"/>
        </w:rPr>
        <w:t>月成立基層醫療健康發展督導委員會，為基層醫療健康服務可持續發展制訂藍圖</w:t>
      </w:r>
      <w:r>
        <w:rPr>
          <w:rFonts w:eastAsia="標楷體" w:hint="eastAsia"/>
          <w:sz w:val="28"/>
          <w:szCs w:val="28"/>
        </w:rPr>
        <w:t>。</w:t>
      </w:r>
      <w:r>
        <w:rPr>
          <w:rFonts w:eastAsia="標楷體" w:hint="eastAsia"/>
          <w:sz w:val="28"/>
          <w:szCs w:val="28"/>
          <w:lang w:eastAsia="zh-HK"/>
        </w:rPr>
        <w:t>該</w:t>
      </w:r>
      <w:r w:rsidRPr="00965132">
        <w:rPr>
          <w:rFonts w:eastAsia="標楷體" w:hint="eastAsia"/>
          <w:sz w:val="28"/>
          <w:szCs w:val="28"/>
        </w:rPr>
        <w:t>局亦會於</w:t>
      </w:r>
      <w:r w:rsidRPr="00965132">
        <w:rPr>
          <w:rFonts w:eastAsia="標楷體"/>
          <w:sz w:val="28"/>
          <w:szCs w:val="28"/>
        </w:rPr>
        <w:t>2019</w:t>
      </w:r>
      <w:r w:rsidRPr="00965132">
        <w:rPr>
          <w:rFonts w:eastAsia="標楷體" w:hint="eastAsia"/>
          <w:sz w:val="28"/>
          <w:szCs w:val="28"/>
        </w:rPr>
        <w:t>年第三季左右設立作為試點的葵青區地區康健中心</w:t>
      </w:r>
      <w:r>
        <w:rPr>
          <w:rFonts w:eastAsia="標楷體" w:hint="eastAsia"/>
          <w:sz w:val="28"/>
          <w:szCs w:val="28"/>
          <w:lang w:eastAsia="zh-HK"/>
        </w:rPr>
        <w:t>，</w:t>
      </w:r>
      <w:r w:rsidRPr="00965132">
        <w:rPr>
          <w:rFonts w:eastAsia="標楷體" w:hint="eastAsia"/>
          <w:sz w:val="28"/>
          <w:szCs w:val="28"/>
        </w:rPr>
        <w:t>參考試行經驗，會逐步把康健中心推展至全港</w:t>
      </w:r>
      <w:r w:rsidRPr="00965132">
        <w:rPr>
          <w:rFonts w:eastAsia="標楷體"/>
          <w:sz w:val="28"/>
          <w:szCs w:val="28"/>
        </w:rPr>
        <w:t>18</w:t>
      </w:r>
      <w:r w:rsidRPr="00965132">
        <w:rPr>
          <w:rFonts w:eastAsia="標楷體" w:hint="eastAsia"/>
          <w:sz w:val="28"/>
          <w:szCs w:val="28"/>
        </w:rPr>
        <w:t>區。康健中心</w:t>
      </w:r>
      <w:r>
        <w:rPr>
          <w:rFonts w:eastAsia="標楷體" w:hint="eastAsia"/>
          <w:sz w:val="28"/>
          <w:szCs w:val="28"/>
          <w:lang w:eastAsia="zh-HK"/>
        </w:rPr>
        <w:t>旨在</w:t>
      </w:r>
      <w:r w:rsidRPr="00965132">
        <w:rPr>
          <w:rFonts w:eastAsia="標楷體" w:hint="eastAsia"/>
          <w:sz w:val="28"/>
          <w:szCs w:val="28"/>
        </w:rPr>
        <w:t>提高公眾對於個人健康管理的意識，加強疾病預防，強化社區醫療及復康服務，以減少不必要地使用醫院服務的情況。</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s>
        <w:adjustRightInd w:val="0"/>
        <w:snapToGrid w:val="0"/>
        <w:spacing w:after="0" w:line="400" w:lineRule="atLeast"/>
        <w:jc w:val="both"/>
        <w:rPr>
          <w:rFonts w:eastAsia="標楷體"/>
          <w:sz w:val="28"/>
          <w:szCs w:val="28"/>
        </w:rPr>
      </w:pPr>
      <w:r>
        <w:rPr>
          <w:rFonts w:eastAsia="標楷體" w:hint="eastAsia"/>
          <w:sz w:val="28"/>
          <w:szCs w:val="28"/>
        </w:rPr>
        <w:t>12.9</w:t>
      </w:r>
      <w:r>
        <w:rPr>
          <w:rFonts w:eastAsia="標楷體"/>
          <w:sz w:val="28"/>
          <w:szCs w:val="28"/>
        </w:rPr>
        <w:tab/>
      </w:r>
      <w:r w:rsidRPr="00965132">
        <w:rPr>
          <w:rFonts w:eastAsia="標楷體" w:hint="eastAsia"/>
          <w:sz w:val="28"/>
          <w:szCs w:val="28"/>
        </w:rPr>
        <w:t>多個試驗計劃</w:t>
      </w:r>
      <w:r>
        <w:rPr>
          <w:rFonts w:eastAsia="標楷體" w:hint="eastAsia"/>
          <w:sz w:val="28"/>
          <w:szCs w:val="28"/>
          <w:lang w:eastAsia="zh-HK"/>
        </w:rPr>
        <w:t>亦</w:t>
      </w:r>
      <w:r w:rsidRPr="00965132">
        <w:rPr>
          <w:rFonts w:eastAsia="標楷體" w:hint="eastAsia"/>
          <w:sz w:val="28"/>
          <w:szCs w:val="28"/>
        </w:rPr>
        <w:t>已開始推出，在社區內公私營層面同時加強支援慢性病患者。</w:t>
      </w:r>
      <w:r w:rsidRPr="00965132">
        <w:rPr>
          <w:rFonts w:eastAsia="標楷體"/>
          <w:sz w:val="28"/>
          <w:szCs w:val="28"/>
        </w:rPr>
        <w:t>2016</w:t>
      </w:r>
      <w:r w:rsidRPr="00965132">
        <w:rPr>
          <w:rFonts w:eastAsia="標楷體" w:hint="eastAsia"/>
          <w:sz w:val="28"/>
          <w:szCs w:val="28"/>
        </w:rPr>
        <w:t>年，政府為醫管局設立了</w:t>
      </w:r>
      <w:r w:rsidRPr="00965132">
        <w:rPr>
          <w:rFonts w:eastAsia="標楷體"/>
          <w:sz w:val="28"/>
          <w:szCs w:val="28"/>
        </w:rPr>
        <w:t>100</w:t>
      </w:r>
      <w:r w:rsidRPr="00965132">
        <w:rPr>
          <w:rFonts w:eastAsia="標楷體" w:hint="eastAsia"/>
          <w:sz w:val="28"/>
          <w:szCs w:val="28"/>
        </w:rPr>
        <w:t>億元的基金，讓醫管局可以利用投資收益繼續運作現有的試驗計劃，並在適當的情況下開展新計劃。</w:t>
      </w:r>
      <w:r>
        <w:rPr>
          <w:rFonts w:eastAsia="標楷體" w:hint="eastAsia"/>
          <w:sz w:val="28"/>
          <w:szCs w:val="28"/>
          <w:lang w:eastAsia="zh-HK"/>
        </w:rPr>
        <w:t>政</w:t>
      </w:r>
      <w:r>
        <w:rPr>
          <w:rFonts w:eastAsia="標楷體" w:hint="eastAsia"/>
          <w:sz w:val="28"/>
          <w:szCs w:val="28"/>
        </w:rPr>
        <w:t>府</w:t>
      </w:r>
      <w:r>
        <w:rPr>
          <w:rFonts w:eastAsia="標楷體" w:hint="eastAsia"/>
          <w:sz w:val="28"/>
          <w:szCs w:val="28"/>
          <w:lang w:eastAsia="zh-HK"/>
        </w:rPr>
        <w:t>亦</w:t>
      </w:r>
      <w:r w:rsidRPr="00965132">
        <w:rPr>
          <w:rFonts w:eastAsia="標楷體" w:hint="eastAsia"/>
          <w:sz w:val="28"/>
          <w:szCs w:val="28"/>
        </w:rPr>
        <w:t>會加強公營醫療的安全網，</w:t>
      </w:r>
      <w:r>
        <w:rPr>
          <w:rFonts w:eastAsia="標楷體" w:hint="eastAsia"/>
          <w:sz w:val="28"/>
          <w:szCs w:val="28"/>
          <w:lang w:eastAsia="zh-HK"/>
        </w:rPr>
        <w:t>更好保</w:t>
      </w:r>
      <w:r>
        <w:rPr>
          <w:rFonts w:eastAsia="標楷體" w:hint="eastAsia"/>
          <w:sz w:val="28"/>
          <w:szCs w:val="28"/>
        </w:rPr>
        <w:t>障</w:t>
      </w:r>
      <w:r w:rsidRPr="00965132">
        <w:rPr>
          <w:rFonts w:eastAsia="標楷體" w:hint="eastAsia"/>
          <w:sz w:val="28"/>
          <w:szCs w:val="28"/>
        </w:rPr>
        <w:t>需要成本高昂的藥物及治療的病人。</w:t>
      </w:r>
    </w:p>
    <w:p w:rsidR="006D2061" w:rsidRDefault="006D2061" w:rsidP="008375BB">
      <w:pPr>
        <w:pStyle w:val="2"/>
        <w:tabs>
          <w:tab w:val="left" w:pos="1440"/>
        </w:tabs>
        <w:adjustRightInd w:val="0"/>
        <w:snapToGrid w:val="0"/>
        <w:spacing w:after="0" w:line="400" w:lineRule="atLeast"/>
        <w:jc w:val="both"/>
        <w:rPr>
          <w:rFonts w:eastAsia="標楷體"/>
          <w:sz w:val="28"/>
          <w:szCs w:val="28"/>
          <w:u w:val="single"/>
        </w:rPr>
      </w:pPr>
    </w:p>
    <w:p w:rsidR="006D2061" w:rsidRPr="0010136F"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sidRPr="0010136F">
        <w:rPr>
          <w:rFonts w:eastAsia="標楷體" w:hint="eastAsia"/>
          <w:sz w:val="28"/>
          <w:szCs w:val="28"/>
          <w:u w:val="single"/>
        </w:rPr>
        <w:t>全港性電子健康紀錄互通系統</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965132"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w:t>
      </w:r>
      <w:r>
        <w:rPr>
          <w:rFonts w:eastAsia="標楷體"/>
          <w:sz w:val="28"/>
          <w:szCs w:val="28"/>
        </w:rPr>
        <w:t>1</w:t>
      </w:r>
      <w:r>
        <w:rPr>
          <w:rFonts w:eastAsia="標楷體" w:hint="eastAsia"/>
          <w:sz w:val="28"/>
          <w:szCs w:val="28"/>
        </w:rPr>
        <w:t>0</w:t>
      </w:r>
      <w:r>
        <w:rPr>
          <w:rFonts w:eastAsia="標楷體"/>
          <w:sz w:val="28"/>
          <w:szCs w:val="28"/>
        </w:rPr>
        <w:tab/>
      </w:r>
      <w:r w:rsidRPr="00965132">
        <w:rPr>
          <w:rFonts w:eastAsia="標楷體" w:hint="eastAsia"/>
          <w:sz w:val="28"/>
          <w:szCs w:val="28"/>
        </w:rPr>
        <w:t>全港性電子健康紀錄互通系統於</w:t>
      </w:r>
      <w:r w:rsidRPr="00965132">
        <w:rPr>
          <w:rFonts w:eastAsia="標楷體"/>
          <w:sz w:val="28"/>
          <w:szCs w:val="28"/>
        </w:rPr>
        <w:t>2016</w:t>
      </w:r>
      <w:r w:rsidRPr="00965132">
        <w:rPr>
          <w:rFonts w:eastAsia="標楷體" w:hint="eastAsia"/>
          <w:sz w:val="28"/>
          <w:szCs w:val="28"/>
        </w:rPr>
        <w:t>年</w:t>
      </w:r>
      <w:r w:rsidRPr="00965132">
        <w:rPr>
          <w:rFonts w:eastAsia="標楷體"/>
          <w:sz w:val="28"/>
          <w:szCs w:val="28"/>
        </w:rPr>
        <w:t>3</w:t>
      </w:r>
      <w:r w:rsidRPr="00965132">
        <w:rPr>
          <w:rFonts w:eastAsia="標楷體" w:hint="eastAsia"/>
          <w:sz w:val="28"/>
          <w:szCs w:val="28"/>
        </w:rPr>
        <w:t>月啟用，推動公私營協作、促進更連貫的病人護理服務，以及提升醫療服務質素和成本效益。</w:t>
      </w:r>
      <w:r>
        <w:rPr>
          <w:rFonts w:eastAsia="標楷體" w:hint="eastAsia"/>
          <w:sz w:val="28"/>
          <w:szCs w:val="28"/>
        </w:rPr>
        <w:t>詳情見</w:t>
      </w:r>
      <w:r w:rsidRPr="00D60540">
        <w:rPr>
          <w:rFonts w:eastAsia="標楷體" w:hint="eastAsia"/>
          <w:b/>
          <w:sz w:val="28"/>
          <w:szCs w:val="28"/>
        </w:rPr>
        <w:t>附件</w:t>
      </w:r>
      <w:r w:rsidRPr="00D60540">
        <w:rPr>
          <w:rFonts w:eastAsia="標楷體" w:hint="eastAsia"/>
          <w:b/>
          <w:sz w:val="28"/>
          <w:szCs w:val="28"/>
        </w:rPr>
        <w:t>12A</w:t>
      </w:r>
      <w:r>
        <w:rPr>
          <w:rFonts w:eastAsia="標楷體" w:hint="eastAsia"/>
          <w:sz w:val="28"/>
          <w:szCs w:val="28"/>
        </w:rPr>
        <w:t>。</w:t>
      </w:r>
    </w:p>
    <w:p w:rsidR="006D2061" w:rsidRPr="00965132"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s>
        <w:adjustRightInd w:val="0"/>
        <w:snapToGrid w:val="0"/>
        <w:spacing w:after="0" w:line="400" w:lineRule="atLeast"/>
        <w:jc w:val="both"/>
        <w:rPr>
          <w:rFonts w:eastAsia="標楷體"/>
          <w:sz w:val="28"/>
          <w:szCs w:val="28"/>
          <w:u w:val="single"/>
        </w:rPr>
      </w:pPr>
    </w:p>
    <w:p w:rsidR="006D2061" w:rsidRPr="00D60540" w:rsidRDefault="006D2061" w:rsidP="008375BB">
      <w:pPr>
        <w:pStyle w:val="2"/>
        <w:tabs>
          <w:tab w:val="left" w:pos="1440"/>
        </w:tabs>
        <w:adjustRightInd w:val="0"/>
        <w:snapToGrid w:val="0"/>
        <w:spacing w:after="0" w:line="400" w:lineRule="atLeast"/>
        <w:jc w:val="both"/>
        <w:rPr>
          <w:rFonts w:eastAsia="標楷體"/>
          <w:sz w:val="28"/>
          <w:szCs w:val="28"/>
          <w:u w:val="single"/>
        </w:rPr>
      </w:pPr>
      <w:r w:rsidRPr="00D60540">
        <w:rPr>
          <w:rFonts w:eastAsia="標楷體" w:hint="eastAsia"/>
          <w:sz w:val="28"/>
          <w:szCs w:val="28"/>
          <w:u w:val="single"/>
          <w:lang w:eastAsia="zh-HK"/>
        </w:rPr>
        <w:lastRenderedPageBreak/>
        <w:t>公立醫院及門診服務和牙</w:t>
      </w:r>
      <w:r w:rsidRPr="00D60540">
        <w:rPr>
          <w:rFonts w:eastAsia="標楷體" w:hint="eastAsia"/>
          <w:sz w:val="28"/>
          <w:szCs w:val="28"/>
          <w:u w:val="single"/>
        </w:rPr>
        <w:t>齒</w:t>
      </w:r>
      <w:r w:rsidRPr="00D60540">
        <w:rPr>
          <w:rFonts w:eastAsia="標楷體" w:hint="eastAsia"/>
          <w:sz w:val="28"/>
          <w:szCs w:val="28"/>
          <w:u w:val="single"/>
          <w:lang w:eastAsia="zh-HK"/>
        </w:rPr>
        <w:t>保健服</w:t>
      </w:r>
      <w:r w:rsidRPr="00D60540">
        <w:rPr>
          <w:rFonts w:eastAsia="標楷體" w:hint="eastAsia"/>
          <w:sz w:val="28"/>
          <w:szCs w:val="28"/>
          <w:u w:val="single"/>
        </w:rPr>
        <w:t>務</w:t>
      </w:r>
    </w:p>
    <w:p w:rsidR="006D2061" w:rsidRDefault="006D2061" w:rsidP="008375BB">
      <w:pPr>
        <w:pStyle w:val="2"/>
        <w:tabs>
          <w:tab w:val="left" w:pos="1440"/>
        </w:tabs>
        <w:adjustRightInd w:val="0"/>
        <w:snapToGrid w:val="0"/>
        <w:spacing w:after="0" w:line="400" w:lineRule="atLeast"/>
        <w:jc w:val="both"/>
        <w:rPr>
          <w:rFonts w:eastAsia="標楷體"/>
          <w:sz w:val="28"/>
          <w:szCs w:val="28"/>
        </w:rPr>
      </w:pPr>
    </w:p>
    <w:p w:rsidR="006D2061" w:rsidRPr="0010136F" w:rsidRDefault="006D2061" w:rsidP="008375BB">
      <w:pPr>
        <w:pStyle w:val="2"/>
        <w:tabs>
          <w:tab w:val="left" w:pos="1440"/>
        </w:tabs>
        <w:adjustRightInd w:val="0"/>
        <w:snapToGrid w:val="0"/>
        <w:spacing w:after="0" w:line="400" w:lineRule="atLeast"/>
        <w:jc w:val="both"/>
        <w:rPr>
          <w:rFonts w:eastAsia="標楷體"/>
          <w:sz w:val="28"/>
          <w:szCs w:val="28"/>
        </w:rPr>
      </w:pPr>
      <w:r w:rsidRPr="0010136F">
        <w:rPr>
          <w:rFonts w:eastAsia="標楷體" w:hint="eastAsia"/>
          <w:sz w:val="28"/>
          <w:szCs w:val="28"/>
        </w:rPr>
        <w:t>12.</w:t>
      </w:r>
      <w:r>
        <w:rPr>
          <w:rFonts w:eastAsia="標楷體"/>
          <w:sz w:val="28"/>
          <w:szCs w:val="28"/>
        </w:rPr>
        <w:t>1</w:t>
      </w:r>
      <w:r>
        <w:rPr>
          <w:rFonts w:eastAsia="標楷體" w:hint="eastAsia"/>
          <w:sz w:val="28"/>
          <w:szCs w:val="28"/>
        </w:rPr>
        <w:t>1</w:t>
      </w:r>
      <w:r w:rsidRPr="0010136F">
        <w:rPr>
          <w:rFonts w:eastAsia="標楷體" w:hint="eastAsia"/>
          <w:sz w:val="28"/>
          <w:szCs w:val="28"/>
        </w:rPr>
        <w:tab/>
      </w:r>
      <w:r>
        <w:rPr>
          <w:rFonts w:eastAsia="標楷體" w:hint="eastAsia"/>
          <w:sz w:val="28"/>
          <w:szCs w:val="28"/>
        </w:rPr>
        <w:t>有關</w:t>
      </w:r>
      <w:r>
        <w:rPr>
          <w:rFonts w:eastAsia="標楷體" w:hint="eastAsia"/>
          <w:sz w:val="28"/>
          <w:szCs w:val="28"/>
          <w:lang w:eastAsia="zh-HK"/>
        </w:rPr>
        <w:t>公立醫院及門診服務和牙</w:t>
      </w:r>
      <w:r>
        <w:rPr>
          <w:rFonts w:eastAsia="標楷體" w:hint="eastAsia"/>
          <w:sz w:val="28"/>
          <w:szCs w:val="28"/>
        </w:rPr>
        <w:t>齒</w:t>
      </w:r>
      <w:r>
        <w:rPr>
          <w:rFonts w:eastAsia="標楷體" w:hint="eastAsia"/>
          <w:sz w:val="28"/>
          <w:szCs w:val="28"/>
          <w:lang w:eastAsia="zh-HK"/>
        </w:rPr>
        <w:t>保健服</w:t>
      </w:r>
      <w:r>
        <w:rPr>
          <w:rFonts w:eastAsia="標楷體" w:hint="eastAsia"/>
          <w:sz w:val="28"/>
          <w:szCs w:val="28"/>
        </w:rPr>
        <w:t>務</w:t>
      </w:r>
      <w:r>
        <w:rPr>
          <w:rFonts w:eastAsia="標楷體" w:hint="eastAsia"/>
          <w:sz w:val="28"/>
          <w:szCs w:val="28"/>
          <w:lang w:eastAsia="zh-HK"/>
        </w:rPr>
        <w:t>的最新情</w:t>
      </w:r>
      <w:r>
        <w:rPr>
          <w:rFonts w:eastAsia="標楷體" w:hint="eastAsia"/>
          <w:sz w:val="28"/>
          <w:szCs w:val="28"/>
        </w:rPr>
        <w:t>況亦</w:t>
      </w:r>
      <w:r>
        <w:rPr>
          <w:rFonts w:eastAsia="標楷體" w:hint="eastAsia"/>
          <w:sz w:val="28"/>
          <w:szCs w:val="28"/>
          <w:lang w:eastAsia="zh-HK"/>
        </w:rPr>
        <w:t>載於</w:t>
      </w:r>
      <w:r w:rsidRPr="0010136F">
        <w:rPr>
          <w:rFonts w:eastAsia="標楷體" w:hint="eastAsia"/>
          <w:b/>
          <w:sz w:val="28"/>
          <w:szCs w:val="28"/>
          <w:lang w:eastAsia="zh-HK"/>
        </w:rPr>
        <w:t>附件</w:t>
      </w:r>
      <w:r w:rsidRPr="0010136F">
        <w:rPr>
          <w:rFonts w:eastAsia="標楷體" w:hint="eastAsia"/>
          <w:b/>
          <w:sz w:val="28"/>
          <w:szCs w:val="28"/>
        </w:rPr>
        <w:t>12A</w:t>
      </w:r>
      <w:r>
        <w:rPr>
          <w:rFonts w:eastAsia="標楷體" w:hint="eastAsia"/>
          <w:sz w:val="28"/>
          <w:szCs w:val="28"/>
        </w:rPr>
        <w:t>。</w:t>
      </w:r>
    </w:p>
    <w:p w:rsidR="006D2061" w:rsidRDefault="006D2061" w:rsidP="008375BB">
      <w:pPr>
        <w:pStyle w:val="2"/>
        <w:tabs>
          <w:tab w:val="left" w:pos="1440"/>
        </w:tabs>
        <w:adjustRightInd w:val="0"/>
        <w:snapToGrid w:val="0"/>
        <w:spacing w:after="0" w:line="400" w:lineRule="atLeast"/>
        <w:jc w:val="both"/>
        <w:rPr>
          <w:rFonts w:eastAsia="標楷體"/>
          <w:sz w:val="28"/>
          <w:szCs w:val="28"/>
          <w:u w:val="single"/>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sidRPr="004B7F08">
        <w:rPr>
          <w:rFonts w:eastAsia="標楷體" w:hint="eastAsia"/>
          <w:sz w:val="28"/>
          <w:szCs w:val="28"/>
          <w:u w:val="single"/>
        </w:rPr>
        <w:t>中醫藥</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4B7F08"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Pr>
          <w:rFonts w:eastAsia="標楷體" w:hint="eastAsia"/>
          <w:sz w:val="28"/>
          <w:szCs w:val="28"/>
        </w:rPr>
        <w:t>12.12</w:t>
      </w:r>
      <w:r>
        <w:rPr>
          <w:rFonts w:eastAsia="標楷體" w:hint="eastAsia"/>
          <w:sz w:val="28"/>
          <w:szCs w:val="28"/>
        </w:rPr>
        <w:tab/>
      </w:r>
      <w:r>
        <w:rPr>
          <w:rFonts w:eastAsia="標楷體" w:hint="eastAsia"/>
          <w:sz w:val="28"/>
          <w:szCs w:val="28"/>
        </w:rPr>
        <w:t>政府在</w:t>
      </w:r>
      <w:r w:rsidRPr="00D60540">
        <w:rPr>
          <w:rFonts w:eastAsia="標楷體" w:hint="eastAsia"/>
          <w:sz w:val="28"/>
          <w:szCs w:val="28"/>
        </w:rPr>
        <w:t>中醫藥發展做了很多工作，詳情</w:t>
      </w:r>
      <w:r>
        <w:rPr>
          <w:rFonts w:eastAsia="標楷體" w:hint="eastAsia"/>
          <w:sz w:val="28"/>
          <w:szCs w:val="28"/>
          <w:lang w:eastAsia="zh-HK"/>
        </w:rPr>
        <w:t>載於</w:t>
      </w:r>
      <w:r w:rsidRPr="0010136F">
        <w:rPr>
          <w:rFonts w:eastAsia="標楷體" w:hint="eastAsia"/>
          <w:b/>
          <w:sz w:val="28"/>
          <w:szCs w:val="28"/>
          <w:lang w:eastAsia="zh-HK"/>
        </w:rPr>
        <w:t>附件</w:t>
      </w:r>
      <w:r w:rsidRPr="0010136F">
        <w:rPr>
          <w:rFonts w:eastAsia="標楷體" w:hint="eastAsia"/>
          <w:b/>
          <w:sz w:val="28"/>
          <w:szCs w:val="28"/>
        </w:rPr>
        <w:t>12</w:t>
      </w:r>
      <w:r>
        <w:rPr>
          <w:rFonts w:eastAsia="標楷體" w:hint="eastAsia"/>
          <w:b/>
          <w:sz w:val="28"/>
          <w:szCs w:val="28"/>
        </w:rPr>
        <w:t>B</w:t>
      </w:r>
      <w:r>
        <w:rPr>
          <w:rFonts w:eastAsia="標楷體" w:hint="eastAsia"/>
          <w:b/>
          <w:sz w:val="28"/>
          <w:szCs w:val="28"/>
        </w:rPr>
        <w:t>。</w:t>
      </w:r>
    </w:p>
    <w:p w:rsidR="006D2061" w:rsidRPr="0010136F"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E5232B"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sidRPr="00E5232B">
        <w:rPr>
          <w:rFonts w:eastAsia="標楷體" w:hint="eastAsia"/>
          <w:b/>
          <w:sz w:val="28"/>
          <w:szCs w:val="28"/>
        </w:rPr>
        <w:t>打擊毒品</w:t>
      </w:r>
    </w:p>
    <w:p w:rsidR="006D2061" w:rsidRPr="00E5232B"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E5232B"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sz w:val="28"/>
          <w:szCs w:val="28"/>
        </w:rPr>
        <w:t>12.</w:t>
      </w:r>
      <w:r>
        <w:rPr>
          <w:rFonts w:eastAsia="標楷體" w:hint="eastAsia"/>
          <w:sz w:val="28"/>
          <w:szCs w:val="28"/>
        </w:rPr>
        <w:t>13</w:t>
      </w:r>
      <w:r w:rsidRPr="00E5232B">
        <w:rPr>
          <w:rFonts w:eastAsia="標楷體"/>
          <w:sz w:val="28"/>
          <w:szCs w:val="28"/>
        </w:rPr>
        <w:tab/>
      </w:r>
      <w:r w:rsidRPr="00AC5FFF">
        <w:rPr>
          <w:rFonts w:eastAsia="標楷體" w:hint="eastAsia"/>
          <w:sz w:val="28"/>
          <w:szCs w:val="28"/>
        </w:rPr>
        <w:t>如上次報告第</w:t>
      </w:r>
      <w:r w:rsidRPr="00AC5FFF">
        <w:rPr>
          <w:rFonts w:eastAsia="標楷體"/>
          <w:sz w:val="28"/>
          <w:szCs w:val="28"/>
        </w:rPr>
        <w:t>12.119</w:t>
      </w:r>
      <w:r w:rsidRPr="00AC5FFF">
        <w:rPr>
          <w:rFonts w:eastAsia="標楷體" w:hint="eastAsia"/>
          <w:sz w:val="28"/>
          <w:szCs w:val="28"/>
        </w:rPr>
        <w:t>段所述，我們的禁毒政策及措施建基於五管齊下的策略，涵蓋預防教育和宣傳、戒毒治療和康復服務、立法和執法、對外合作及研究工作。禁毒是長期工作，需要持續循上述策略協力進行，以應對最新的毒品趨勢。</w:t>
      </w:r>
      <w:r>
        <w:rPr>
          <w:rFonts w:eastAsia="標楷體" w:hint="eastAsia"/>
          <w:sz w:val="28"/>
          <w:szCs w:val="28"/>
          <w:lang w:eastAsia="zh-HK"/>
        </w:rPr>
        <w:t>整</w:t>
      </w:r>
      <w:r>
        <w:rPr>
          <w:rFonts w:eastAsia="標楷體" w:hint="eastAsia"/>
          <w:sz w:val="28"/>
          <w:szCs w:val="28"/>
        </w:rPr>
        <w:t>體</w:t>
      </w:r>
      <w:r>
        <w:rPr>
          <w:rFonts w:eastAsia="標楷體" w:hint="eastAsia"/>
          <w:sz w:val="28"/>
          <w:szCs w:val="28"/>
          <w:lang w:eastAsia="zh-HK"/>
        </w:rPr>
        <w:t>吸</w:t>
      </w:r>
      <w:r>
        <w:rPr>
          <w:rFonts w:eastAsia="標楷體" w:hint="eastAsia"/>
          <w:sz w:val="28"/>
          <w:szCs w:val="28"/>
        </w:rPr>
        <w:t>毒</w:t>
      </w:r>
      <w:r>
        <w:rPr>
          <w:rFonts w:eastAsia="標楷體" w:hint="eastAsia"/>
          <w:sz w:val="28"/>
          <w:szCs w:val="28"/>
          <w:lang w:eastAsia="zh-HK"/>
        </w:rPr>
        <w:t>情</w:t>
      </w:r>
      <w:r>
        <w:rPr>
          <w:rFonts w:eastAsia="標楷體" w:hint="eastAsia"/>
          <w:sz w:val="28"/>
          <w:szCs w:val="28"/>
        </w:rPr>
        <w:t>況</w:t>
      </w:r>
      <w:r>
        <w:rPr>
          <w:rFonts w:eastAsia="標楷體" w:hint="eastAsia"/>
          <w:sz w:val="28"/>
          <w:szCs w:val="28"/>
          <w:lang w:eastAsia="zh-HK"/>
        </w:rPr>
        <w:t>、禁</w:t>
      </w:r>
      <w:r>
        <w:rPr>
          <w:rFonts w:eastAsia="標楷體" w:hint="eastAsia"/>
          <w:sz w:val="28"/>
          <w:szCs w:val="28"/>
        </w:rPr>
        <w:t>毒</w:t>
      </w:r>
      <w:r>
        <w:rPr>
          <w:rFonts w:eastAsia="標楷體" w:hint="eastAsia"/>
          <w:sz w:val="28"/>
          <w:szCs w:val="28"/>
          <w:lang w:eastAsia="zh-HK"/>
        </w:rPr>
        <w:t>政</w:t>
      </w:r>
      <w:r>
        <w:rPr>
          <w:rFonts w:eastAsia="標楷體" w:hint="eastAsia"/>
          <w:sz w:val="28"/>
          <w:szCs w:val="28"/>
        </w:rPr>
        <w:t>策</w:t>
      </w:r>
      <w:r>
        <w:rPr>
          <w:rFonts w:eastAsia="標楷體" w:hint="eastAsia"/>
          <w:sz w:val="28"/>
          <w:szCs w:val="28"/>
          <w:lang w:eastAsia="zh-HK"/>
        </w:rPr>
        <w:t>及措</w:t>
      </w:r>
      <w:r>
        <w:rPr>
          <w:rFonts w:eastAsia="標楷體" w:hint="eastAsia"/>
          <w:sz w:val="28"/>
          <w:szCs w:val="28"/>
        </w:rPr>
        <w:t>施</w:t>
      </w:r>
      <w:r w:rsidRPr="00AC5FFF">
        <w:rPr>
          <w:rFonts w:eastAsia="標楷體" w:hint="eastAsia"/>
          <w:sz w:val="28"/>
          <w:szCs w:val="28"/>
        </w:rPr>
        <w:t>見</w:t>
      </w:r>
      <w:r w:rsidRPr="00AC5FFF">
        <w:rPr>
          <w:rFonts w:eastAsia="標楷體" w:hint="eastAsia"/>
          <w:b/>
          <w:sz w:val="28"/>
          <w:szCs w:val="28"/>
        </w:rPr>
        <w:t>附件</w:t>
      </w:r>
      <w:r w:rsidRPr="00AC5FFF">
        <w:rPr>
          <w:rFonts w:eastAsia="標楷體"/>
          <w:b/>
          <w:sz w:val="28"/>
          <w:szCs w:val="28"/>
        </w:rPr>
        <w:t>12C</w:t>
      </w:r>
      <w:r w:rsidRPr="00AC5FFF">
        <w:rPr>
          <w:rFonts w:eastAsia="標楷體" w:hint="eastAsia"/>
          <w:sz w:val="28"/>
          <w:szCs w:val="28"/>
        </w:rPr>
        <w:t>。</w:t>
      </w:r>
    </w:p>
    <w:p w:rsidR="006D2061" w:rsidRPr="00E5232B"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286CB0"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Pr>
          <w:rFonts w:eastAsia="標楷體" w:hint="eastAsia"/>
          <w:b/>
          <w:sz w:val="28"/>
          <w:szCs w:val="28"/>
          <w:lang w:eastAsia="zh-HK"/>
        </w:rPr>
        <w:t>控煙</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286CB0"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990518">
        <w:rPr>
          <w:rFonts w:eastAsia="標楷體" w:hint="eastAsia"/>
          <w:spacing w:val="2"/>
          <w:sz w:val="28"/>
          <w:szCs w:val="28"/>
        </w:rPr>
        <w:t>12.</w:t>
      </w:r>
      <w:r w:rsidRPr="00990518">
        <w:rPr>
          <w:rFonts w:eastAsia="標楷體"/>
          <w:spacing w:val="2"/>
          <w:sz w:val="28"/>
          <w:szCs w:val="28"/>
        </w:rPr>
        <w:t>1</w:t>
      </w:r>
      <w:r w:rsidRPr="00990518">
        <w:rPr>
          <w:rFonts w:eastAsia="標楷體" w:hint="eastAsia"/>
          <w:spacing w:val="2"/>
          <w:sz w:val="28"/>
          <w:szCs w:val="28"/>
        </w:rPr>
        <w:t>4</w:t>
      </w:r>
      <w:r w:rsidRPr="00990518">
        <w:rPr>
          <w:rFonts w:eastAsia="標楷體"/>
          <w:spacing w:val="2"/>
          <w:sz w:val="28"/>
          <w:szCs w:val="28"/>
        </w:rPr>
        <w:tab/>
      </w:r>
      <w:r w:rsidRPr="00990518">
        <w:rPr>
          <w:rFonts w:eastAsia="標楷體" w:hint="eastAsia"/>
          <w:spacing w:val="2"/>
          <w:sz w:val="28"/>
          <w:szCs w:val="28"/>
        </w:rPr>
        <w:t>政府的控煙政策透過勸阻市民吸煙，阻止吸煙行為的擴散，</w:t>
      </w:r>
      <w:r w:rsidRPr="00286CB0">
        <w:rPr>
          <w:rFonts w:eastAsia="標楷體" w:hint="eastAsia"/>
          <w:sz w:val="28"/>
          <w:szCs w:val="28"/>
        </w:rPr>
        <w:t>及盡量減低二手煙對公眾造成的禍害，以保障市民健康。政策按照國際控煙趨勢、本地社會期望和世界衞生組織《煙草控制框架公約》的規定實施控煙措施。政府透過立法、徵稅、宣傳、教育、執法和戒煙計劃，經過多年努力，吸煙人數續漸下降，在</w:t>
      </w:r>
      <w:r w:rsidRPr="00286CB0">
        <w:rPr>
          <w:rFonts w:eastAsia="標楷體"/>
          <w:sz w:val="28"/>
          <w:szCs w:val="28"/>
        </w:rPr>
        <w:t>15</w:t>
      </w:r>
      <w:r w:rsidRPr="00286CB0">
        <w:rPr>
          <w:rFonts w:eastAsia="標楷體" w:hint="eastAsia"/>
          <w:sz w:val="28"/>
          <w:szCs w:val="28"/>
        </w:rPr>
        <w:t>歲或以上的香港人口中，習慣每日吸煙的人士從</w:t>
      </w:r>
      <w:r w:rsidRPr="00286CB0">
        <w:rPr>
          <w:rFonts w:eastAsia="標楷體"/>
          <w:sz w:val="28"/>
          <w:szCs w:val="28"/>
        </w:rPr>
        <w:t>1982</w:t>
      </w:r>
      <w:r w:rsidRPr="00286CB0">
        <w:rPr>
          <w:rFonts w:eastAsia="標楷體" w:hint="eastAsia"/>
          <w:sz w:val="28"/>
          <w:szCs w:val="28"/>
        </w:rPr>
        <w:t>年的</w:t>
      </w:r>
      <w:r w:rsidRPr="00286CB0">
        <w:rPr>
          <w:rFonts w:eastAsia="標楷體"/>
          <w:sz w:val="28"/>
          <w:szCs w:val="28"/>
        </w:rPr>
        <w:t>23.8%</w:t>
      </w:r>
      <w:r w:rsidRPr="00286CB0">
        <w:rPr>
          <w:rFonts w:eastAsia="標楷體" w:hint="eastAsia"/>
          <w:sz w:val="28"/>
          <w:szCs w:val="28"/>
        </w:rPr>
        <w:t>下降至</w:t>
      </w:r>
      <w:r w:rsidRPr="00286CB0">
        <w:rPr>
          <w:rFonts w:eastAsia="標楷體"/>
          <w:sz w:val="28"/>
          <w:szCs w:val="28"/>
        </w:rPr>
        <w:t>2017</w:t>
      </w:r>
      <w:r w:rsidRPr="00286CB0">
        <w:rPr>
          <w:rFonts w:eastAsia="標楷體" w:hint="eastAsia"/>
          <w:sz w:val="28"/>
          <w:szCs w:val="28"/>
        </w:rPr>
        <w:t>年的</w:t>
      </w:r>
      <w:r w:rsidRPr="00286CB0">
        <w:rPr>
          <w:rFonts w:eastAsia="標楷體"/>
          <w:sz w:val="28"/>
          <w:szCs w:val="28"/>
        </w:rPr>
        <w:t>10%</w:t>
      </w:r>
      <w:r w:rsidRPr="00286CB0">
        <w:rPr>
          <w:rFonts w:eastAsia="標楷體" w:hint="eastAsia"/>
          <w:sz w:val="28"/>
          <w:szCs w:val="28"/>
        </w:rPr>
        <w:t>。</w:t>
      </w:r>
    </w:p>
    <w:p w:rsidR="006D2061" w:rsidRPr="00286CB0"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286CB0"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w:t>
      </w:r>
      <w:r>
        <w:rPr>
          <w:rFonts w:eastAsia="標楷體"/>
          <w:sz w:val="28"/>
          <w:szCs w:val="28"/>
        </w:rPr>
        <w:t>1</w:t>
      </w:r>
      <w:r>
        <w:rPr>
          <w:rFonts w:eastAsia="標楷體" w:hint="eastAsia"/>
          <w:sz w:val="28"/>
          <w:szCs w:val="28"/>
        </w:rPr>
        <w:t>5</w:t>
      </w:r>
      <w:r>
        <w:rPr>
          <w:rFonts w:eastAsia="標楷體"/>
          <w:sz w:val="28"/>
          <w:szCs w:val="28"/>
        </w:rPr>
        <w:tab/>
      </w:r>
      <w:r w:rsidRPr="00286CB0">
        <w:rPr>
          <w:rFonts w:eastAsia="標楷體" w:hint="eastAsia"/>
          <w:sz w:val="28"/>
          <w:szCs w:val="28"/>
        </w:rPr>
        <w:t>政府在</w:t>
      </w:r>
      <w:r w:rsidRPr="00286CB0">
        <w:rPr>
          <w:rFonts w:eastAsia="標楷體"/>
          <w:sz w:val="28"/>
          <w:szCs w:val="28"/>
        </w:rPr>
        <w:t>2018</w:t>
      </w:r>
      <w:r w:rsidRPr="00286CB0">
        <w:rPr>
          <w:rFonts w:eastAsia="標楷體" w:hint="eastAsia"/>
          <w:sz w:val="28"/>
          <w:szCs w:val="28"/>
        </w:rPr>
        <w:t>年修訂法例，規定香煙的封包上健康忠告圖像的面積須由至少覆蓋封包表面的最大的兩個表面的</w:t>
      </w:r>
      <w:r w:rsidRPr="00286CB0">
        <w:rPr>
          <w:rFonts w:eastAsia="標楷體"/>
          <w:sz w:val="28"/>
          <w:szCs w:val="28"/>
        </w:rPr>
        <w:t>50%</w:t>
      </w:r>
      <w:r w:rsidRPr="00286CB0">
        <w:rPr>
          <w:rFonts w:eastAsia="標楷體" w:hint="eastAsia"/>
          <w:sz w:val="28"/>
          <w:szCs w:val="28"/>
        </w:rPr>
        <w:t>提高至</w:t>
      </w:r>
      <w:r w:rsidRPr="00286CB0">
        <w:rPr>
          <w:rFonts w:eastAsia="標楷體"/>
          <w:sz w:val="28"/>
          <w:szCs w:val="28"/>
        </w:rPr>
        <w:t>85%</w:t>
      </w:r>
      <w:r w:rsidRPr="00286CB0">
        <w:rPr>
          <w:rFonts w:eastAsia="標楷體" w:hint="eastAsia"/>
          <w:sz w:val="28"/>
          <w:szCs w:val="28"/>
        </w:rPr>
        <w:t>，圖像健康忠告由</w:t>
      </w:r>
      <w:r w:rsidRPr="00286CB0">
        <w:rPr>
          <w:rFonts w:eastAsia="標楷體"/>
          <w:sz w:val="28"/>
          <w:szCs w:val="28"/>
        </w:rPr>
        <w:t>6</w:t>
      </w:r>
      <w:r w:rsidRPr="00286CB0">
        <w:rPr>
          <w:rFonts w:eastAsia="標楷體" w:hint="eastAsia"/>
          <w:sz w:val="28"/>
          <w:szCs w:val="28"/>
        </w:rPr>
        <w:t>款增至</w:t>
      </w:r>
      <w:r w:rsidRPr="00286CB0">
        <w:rPr>
          <w:rFonts w:eastAsia="標楷體"/>
          <w:sz w:val="28"/>
          <w:szCs w:val="28"/>
        </w:rPr>
        <w:t>12</w:t>
      </w:r>
      <w:r w:rsidRPr="00286CB0">
        <w:rPr>
          <w:rFonts w:eastAsia="標楷體" w:hint="eastAsia"/>
          <w:sz w:val="28"/>
          <w:szCs w:val="28"/>
        </w:rPr>
        <w:t>款，並加入衞生署的戒煙熱綫詳情。我們亦將禁煙區擴大</w:t>
      </w:r>
      <w:r>
        <w:rPr>
          <w:rFonts w:eastAsia="標楷體" w:hint="eastAsia"/>
          <w:sz w:val="28"/>
          <w:szCs w:val="28"/>
          <w:lang w:eastAsia="zh-HK"/>
        </w:rPr>
        <w:t>至</w:t>
      </w:r>
      <w:r w:rsidRPr="00286CB0">
        <w:rPr>
          <w:rFonts w:eastAsia="標楷體"/>
          <w:sz w:val="28"/>
          <w:szCs w:val="28"/>
        </w:rPr>
        <w:t>11</w:t>
      </w:r>
      <w:r w:rsidRPr="00286CB0">
        <w:rPr>
          <w:rFonts w:eastAsia="標楷體" w:hint="eastAsia"/>
          <w:sz w:val="28"/>
          <w:szCs w:val="28"/>
        </w:rPr>
        <w:t>個巴士轉乘處。</w:t>
      </w:r>
    </w:p>
    <w:p w:rsidR="006D2061" w:rsidRPr="00286CB0"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12.16</w:t>
      </w:r>
      <w:r>
        <w:rPr>
          <w:rFonts w:eastAsia="標楷體"/>
          <w:sz w:val="28"/>
          <w:szCs w:val="28"/>
        </w:rPr>
        <w:tab/>
      </w:r>
      <w:r w:rsidRPr="00286CB0">
        <w:rPr>
          <w:rFonts w:eastAsia="標楷體" w:hint="eastAsia"/>
          <w:sz w:val="28"/>
          <w:szCs w:val="28"/>
        </w:rPr>
        <w:t>政府視戒煙服務為推行控煙政策中不可或缺的一部分。綜</w:t>
      </w:r>
      <w:r w:rsidRPr="00990518">
        <w:rPr>
          <w:rFonts w:eastAsia="標楷體" w:hint="eastAsia"/>
          <w:spacing w:val="2"/>
          <w:sz w:val="28"/>
          <w:szCs w:val="28"/>
        </w:rPr>
        <w:t>合戒煙熱線（</w:t>
      </w:r>
      <w:r w:rsidRPr="00990518">
        <w:rPr>
          <w:rFonts w:eastAsia="標楷體"/>
          <w:spacing w:val="2"/>
          <w:sz w:val="28"/>
          <w:szCs w:val="28"/>
        </w:rPr>
        <w:t>Quitline: 1833183</w:t>
      </w:r>
      <w:r w:rsidRPr="00990518">
        <w:rPr>
          <w:rFonts w:eastAsia="標楷體" w:hint="eastAsia"/>
          <w:spacing w:val="2"/>
          <w:sz w:val="28"/>
          <w:szCs w:val="28"/>
        </w:rPr>
        <w:t>）提供專業戒煙輔導、戒煙資訊和轉</w:t>
      </w:r>
      <w:r w:rsidRPr="000112F5">
        <w:rPr>
          <w:rFonts w:eastAsia="標楷體" w:hint="eastAsia"/>
          <w:spacing w:val="2"/>
          <w:sz w:val="28"/>
          <w:szCs w:val="28"/>
        </w:rPr>
        <w:lastRenderedPageBreak/>
        <w:t>介服務。非政府機構</w:t>
      </w:r>
      <w:r w:rsidRPr="000112F5">
        <w:rPr>
          <w:rFonts w:eastAsia="標楷體" w:hint="eastAsia"/>
          <w:spacing w:val="2"/>
          <w:sz w:val="28"/>
          <w:szCs w:val="28"/>
          <w:lang w:eastAsia="zh-HK"/>
        </w:rPr>
        <w:t>亦</w:t>
      </w:r>
      <w:r w:rsidRPr="000112F5">
        <w:rPr>
          <w:rFonts w:eastAsia="標楷體" w:hint="eastAsia"/>
          <w:spacing w:val="2"/>
          <w:sz w:val="28"/>
          <w:szCs w:val="28"/>
        </w:rPr>
        <w:t>有提供免費戒煙服務，包括以社區為本的服務，</w:t>
      </w:r>
      <w:r w:rsidRPr="00286CB0">
        <w:rPr>
          <w:rFonts w:eastAsia="標楷體" w:hint="eastAsia"/>
          <w:sz w:val="28"/>
          <w:szCs w:val="28"/>
        </w:rPr>
        <w:t>提供輔導、戒煙藥物、針灸、外展服務針對在職人士、青少年、少數族裔及新移民，教育市民關於吸煙的禍害，為醫護專業人員提供培訓，及進行研究工作。</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363306"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sidRPr="00363306">
        <w:rPr>
          <w:rFonts w:eastAsia="標楷體" w:hint="eastAsia"/>
          <w:b/>
          <w:sz w:val="28"/>
          <w:szCs w:val="28"/>
          <w:lang w:eastAsia="zh-HK"/>
        </w:rPr>
        <w:t>減</w:t>
      </w:r>
      <w:r w:rsidRPr="00363306">
        <w:rPr>
          <w:rFonts w:eastAsia="標楷體" w:hint="eastAsia"/>
          <w:b/>
          <w:sz w:val="28"/>
          <w:szCs w:val="28"/>
        </w:rPr>
        <w:t>少</w:t>
      </w:r>
      <w:r w:rsidRPr="00363306">
        <w:rPr>
          <w:rFonts w:eastAsia="標楷體" w:hint="eastAsia"/>
          <w:b/>
          <w:sz w:val="28"/>
          <w:szCs w:val="28"/>
          <w:lang w:eastAsia="zh-HK"/>
        </w:rPr>
        <w:t>酒</w:t>
      </w:r>
      <w:r w:rsidRPr="00363306">
        <w:rPr>
          <w:rFonts w:eastAsia="標楷體" w:hint="eastAsia"/>
          <w:b/>
          <w:sz w:val="28"/>
          <w:szCs w:val="28"/>
        </w:rPr>
        <w:t>精</w:t>
      </w:r>
      <w:r w:rsidRPr="00363306">
        <w:rPr>
          <w:rFonts w:eastAsia="標楷體" w:hint="eastAsia"/>
          <w:b/>
          <w:sz w:val="28"/>
          <w:szCs w:val="28"/>
          <w:lang w:eastAsia="zh-HK"/>
        </w:rPr>
        <w:t>的禍</w:t>
      </w:r>
      <w:r w:rsidRPr="00363306">
        <w:rPr>
          <w:rFonts w:eastAsia="標楷體" w:hint="eastAsia"/>
          <w:b/>
          <w:sz w:val="28"/>
          <w:szCs w:val="28"/>
        </w:rPr>
        <w:t>害</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BC003A">
        <w:rPr>
          <w:rFonts w:eastAsia="標楷體" w:hint="eastAsia"/>
          <w:sz w:val="28"/>
          <w:szCs w:val="28"/>
        </w:rPr>
        <w:t>12.</w:t>
      </w:r>
      <w:r>
        <w:rPr>
          <w:rFonts w:eastAsia="標楷體"/>
          <w:sz w:val="28"/>
          <w:szCs w:val="28"/>
        </w:rPr>
        <w:t>1</w:t>
      </w:r>
      <w:r>
        <w:rPr>
          <w:rFonts w:eastAsia="標楷體" w:hint="eastAsia"/>
          <w:sz w:val="28"/>
          <w:szCs w:val="28"/>
        </w:rPr>
        <w:t>7</w:t>
      </w:r>
      <w:r w:rsidRPr="00BC003A">
        <w:rPr>
          <w:rFonts w:eastAsia="標楷體"/>
          <w:sz w:val="28"/>
          <w:szCs w:val="28"/>
        </w:rPr>
        <w:tab/>
      </w:r>
      <w:r w:rsidRPr="00BC003A">
        <w:rPr>
          <w:rFonts w:eastAsia="標楷體"/>
          <w:sz w:val="28"/>
          <w:szCs w:val="28"/>
        </w:rPr>
        <w:t>政府已修改《應課稅品條例》</w:t>
      </w:r>
      <w:r w:rsidRPr="00E5232B">
        <w:rPr>
          <w:rFonts w:eastAsia="標楷體" w:hint="eastAsia"/>
          <w:sz w:val="28"/>
          <w:szCs w:val="28"/>
        </w:rPr>
        <w:t>（</w:t>
      </w:r>
      <w:r w:rsidRPr="00BC003A">
        <w:rPr>
          <w:rFonts w:eastAsia="標楷體"/>
          <w:sz w:val="28"/>
          <w:szCs w:val="28"/>
        </w:rPr>
        <w:t>第</w:t>
      </w:r>
      <w:r w:rsidRPr="00BC003A">
        <w:rPr>
          <w:rFonts w:eastAsia="標楷體"/>
          <w:sz w:val="28"/>
          <w:szCs w:val="28"/>
        </w:rPr>
        <w:t>109</w:t>
      </w:r>
      <w:r w:rsidRPr="00BC003A">
        <w:rPr>
          <w:rFonts w:eastAsia="標楷體"/>
          <w:sz w:val="28"/>
          <w:szCs w:val="28"/>
        </w:rPr>
        <w:t>章</w:t>
      </w:r>
      <w:r w:rsidRPr="00E5232B">
        <w:rPr>
          <w:rFonts w:eastAsia="標楷體" w:hint="eastAsia"/>
          <w:sz w:val="28"/>
          <w:szCs w:val="28"/>
        </w:rPr>
        <w:t>）</w:t>
      </w:r>
      <w:r w:rsidRPr="00BC003A">
        <w:rPr>
          <w:rFonts w:eastAsia="標楷體"/>
          <w:sz w:val="28"/>
          <w:szCs w:val="28"/>
        </w:rPr>
        <w:t>及《應課稅品</w:t>
      </w:r>
      <w:r w:rsidRPr="00E5232B">
        <w:rPr>
          <w:rFonts w:eastAsia="標楷體" w:hint="eastAsia"/>
          <w:sz w:val="28"/>
          <w:szCs w:val="28"/>
        </w:rPr>
        <w:t>（</w:t>
      </w:r>
      <w:r w:rsidRPr="00BC003A">
        <w:rPr>
          <w:rFonts w:eastAsia="標楷體"/>
          <w:sz w:val="28"/>
          <w:szCs w:val="28"/>
        </w:rPr>
        <w:t>酒類</w:t>
      </w:r>
      <w:r w:rsidRPr="00E5232B">
        <w:rPr>
          <w:rFonts w:eastAsia="標楷體" w:hint="eastAsia"/>
          <w:sz w:val="28"/>
          <w:szCs w:val="28"/>
        </w:rPr>
        <w:t>）</w:t>
      </w:r>
      <w:r w:rsidRPr="00BC003A">
        <w:rPr>
          <w:rFonts w:eastAsia="標楷體"/>
          <w:sz w:val="28"/>
          <w:szCs w:val="28"/>
        </w:rPr>
        <w:t>規例》</w:t>
      </w:r>
      <w:r w:rsidRPr="00E5232B">
        <w:rPr>
          <w:rFonts w:eastAsia="標楷體" w:hint="eastAsia"/>
          <w:sz w:val="28"/>
          <w:szCs w:val="28"/>
        </w:rPr>
        <w:t>（</w:t>
      </w:r>
      <w:r w:rsidRPr="00BC003A">
        <w:rPr>
          <w:rFonts w:eastAsia="標楷體"/>
          <w:sz w:val="28"/>
          <w:szCs w:val="28"/>
        </w:rPr>
        <w:t>第</w:t>
      </w:r>
      <w:r w:rsidRPr="00BC003A">
        <w:rPr>
          <w:rFonts w:eastAsia="標楷體"/>
          <w:sz w:val="28"/>
          <w:szCs w:val="28"/>
        </w:rPr>
        <w:t>109B</w:t>
      </w:r>
      <w:r w:rsidRPr="00BC003A">
        <w:rPr>
          <w:rFonts w:eastAsia="標楷體"/>
          <w:sz w:val="28"/>
          <w:szCs w:val="28"/>
        </w:rPr>
        <w:t>章</w:t>
      </w:r>
      <w:r w:rsidRPr="00E5232B">
        <w:rPr>
          <w:rFonts w:eastAsia="標楷體" w:hint="eastAsia"/>
          <w:sz w:val="28"/>
          <w:szCs w:val="28"/>
        </w:rPr>
        <w:t>）</w:t>
      </w:r>
      <w:r w:rsidRPr="00BC003A">
        <w:rPr>
          <w:rFonts w:eastAsia="標楷體"/>
          <w:sz w:val="28"/>
          <w:szCs w:val="28"/>
        </w:rPr>
        <w:t>以禁止任何人在業務過程中向未成年人售買和供應令人醺醉的酒類</w:t>
      </w:r>
      <w:r>
        <w:rPr>
          <w:rFonts w:eastAsia="標楷體" w:hint="eastAsia"/>
          <w:sz w:val="28"/>
          <w:szCs w:val="28"/>
          <w:lang w:eastAsia="zh-HK"/>
        </w:rPr>
        <w:t>，無</w:t>
      </w:r>
      <w:r>
        <w:rPr>
          <w:rFonts w:eastAsia="標楷體" w:hint="eastAsia"/>
          <w:sz w:val="28"/>
          <w:szCs w:val="28"/>
        </w:rPr>
        <w:t>論</w:t>
      </w:r>
      <w:r>
        <w:rPr>
          <w:rFonts w:eastAsia="標楷體" w:hint="eastAsia"/>
          <w:sz w:val="28"/>
          <w:szCs w:val="28"/>
          <w:lang w:eastAsia="zh-HK"/>
        </w:rPr>
        <w:t>當中有否涉及付</w:t>
      </w:r>
      <w:r>
        <w:rPr>
          <w:rFonts w:eastAsia="標楷體" w:hint="eastAsia"/>
          <w:sz w:val="28"/>
          <w:szCs w:val="28"/>
        </w:rPr>
        <w:t>款</w:t>
      </w:r>
      <w:r w:rsidRPr="00BC003A">
        <w:rPr>
          <w:rFonts w:eastAsia="標楷體"/>
          <w:sz w:val="28"/>
          <w:szCs w:val="28"/>
        </w:rPr>
        <w:t>。相關法例已於</w:t>
      </w:r>
      <w:r w:rsidRPr="00BC003A">
        <w:rPr>
          <w:rFonts w:eastAsia="標楷體"/>
          <w:sz w:val="28"/>
          <w:szCs w:val="28"/>
        </w:rPr>
        <w:t>2018</w:t>
      </w:r>
      <w:r w:rsidRPr="00BC003A">
        <w:rPr>
          <w:rFonts w:eastAsia="標楷體"/>
          <w:sz w:val="28"/>
          <w:szCs w:val="28"/>
        </w:rPr>
        <w:t>年</w:t>
      </w:r>
      <w:r w:rsidRPr="00BC003A">
        <w:rPr>
          <w:rFonts w:eastAsia="標楷體"/>
          <w:sz w:val="28"/>
          <w:szCs w:val="28"/>
        </w:rPr>
        <w:t>11</w:t>
      </w:r>
      <w:r w:rsidRPr="00BC003A">
        <w:rPr>
          <w:rFonts w:eastAsia="標楷體"/>
          <w:sz w:val="28"/>
          <w:szCs w:val="28"/>
        </w:rPr>
        <w:t>月</w:t>
      </w:r>
      <w:r w:rsidRPr="00BC003A">
        <w:rPr>
          <w:rFonts w:eastAsia="標楷體"/>
          <w:sz w:val="28"/>
          <w:szCs w:val="28"/>
        </w:rPr>
        <w:t>30</w:t>
      </w:r>
      <w:r w:rsidRPr="00BC003A">
        <w:rPr>
          <w:rFonts w:eastAsia="標楷體"/>
          <w:sz w:val="28"/>
          <w:szCs w:val="28"/>
        </w:rPr>
        <w:t>日生效。控煙酒辦公室的執法人員會進行巡查，並會在獲情報或投訴後採取執法行動。</w:t>
      </w:r>
      <w:r>
        <w:rPr>
          <w:rFonts w:eastAsia="標楷體" w:hint="eastAsia"/>
          <w:sz w:val="28"/>
          <w:szCs w:val="28"/>
          <w:lang w:eastAsia="zh-HK"/>
        </w:rPr>
        <w:t>有關</w:t>
      </w:r>
      <w:r w:rsidRPr="0010136F">
        <w:rPr>
          <w:rFonts w:eastAsia="標楷體" w:hint="eastAsia"/>
          <w:bCs/>
          <w:sz w:val="28"/>
          <w:szCs w:val="28"/>
          <w:lang w:eastAsia="zh-HK"/>
        </w:rPr>
        <w:t>本地酒精相關危害的情況</w:t>
      </w:r>
      <w:r>
        <w:rPr>
          <w:rFonts w:eastAsia="標楷體" w:hint="eastAsia"/>
          <w:bCs/>
          <w:sz w:val="28"/>
          <w:szCs w:val="28"/>
          <w:lang w:eastAsia="zh-HK"/>
        </w:rPr>
        <w:t>及現行介入措施見</w:t>
      </w:r>
      <w:r w:rsidRPr="0010136F">
        <w:rPr>
          <w:rFonts w:eastAsia="標楷體" w:hint="eastAsia"/>
          <w:b/>
          <w:bCs/>
          <w:sz w:val="28"/>
          <w:szCs w:val="28"/>
          <w:lang w:eastAsia="zh-HK"/>
        </w:rPr>
        <w:t>附</w:t>
      </w:r>
      <w:r w:rsidRPr="003D48A2">
        <w:rPr>
          <w:rFonts w:eastAsia="標楷體"/>
          <w:b/>
          <w:bCs/>
          <w:sz w:val="28"/>
          <w:lang w:val="en-GB" w:eastAsia="zh-HK"/>
        </w:rPr>
        <w:t>‍</w:t>
      </w:r>
      <w:r w:rsidRPr="0010136F">
        <w:rPr>
          <w:rFonts w:eastAsia="標楷體" w:hint="eastAsia"/>
          <w:b/>
          <w:bCs/>
          <w:sz w:val="28"/>
          <w:szCs w:val="28"/>
          <w:lang w:eastAsia="zh-HK"/>
        </w:rPr>
        <w:t>件</w:t>
      </w:r>
      <w:r w:rsidRPr="003D48A2">
        <w:rPr>
          <w:rFonts w:eastAsia="標楷體"/>
          <w:b/>
          <w:bCs/>
          <w:sz w:val="28"/>
          <w:lang w:val="en-GB" w:eastAsia="zh-HK"/>
        </w:rPr>
        <w:t>‍</w:t>
      </w:r>
      <w:r w:rsidRPr="0010136F">
        <w:rPr>
          <w:rFonts w:eastAsia="標楷體" w:hint="eastAsia"/>
          <w:b/>
          <w:bCs/>
          <w:sz w:val="28"/>
          <w:szCs w:val="28"/>
        </w:rPr>
        <w:t>12D</w:t>
      </w:r>
      <w:r>
        <w:rPr>
          <w:rFonts w:eastAsia="標楷體" w:hint="eastAsia"/>
          <w:b/>
          <w:bCs/>
          <w:sz w:val="28"/>
          <w:szCs w:val="28"/>
        </w:rPr>
        <w:t>。</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8E60AF"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sidRPr="008E60AF">
        <w:rPr>
          <w:rFonts w:eastAsia="標楷體" w:hint="eastAsia"/>
          <w:b/>
          <w:sz w:val="28"/>
          <w:szCs w:val="28"/>
        </w:rPr>
        <w:t>食物安全</w:t>
      </w:r>
    </w:p>
    <w:p w:rsidR="006D2061" w:rsidRPr="008E60AF"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p>
    <w:p w:rsidR="006D2061" w:rsidRPr="008E60AF" w:rsidRDefault="006D2061" w:rsidP="00CF75FA">
      <w:pPr>
        <w:pStyle w:val="2"/>
        <w:tabs>
          <w:tab w:val="left" w:pos="1440"/>
          <w:tab w:val="left" w:pos="1680"/>
        </w:tabs>
        <w:overflowPunct w:val="0"/>
        <w:adjustRightInd w:val="0"/>
        <w:snapToGrid w:val="0"/>
        <w:spacing w:after="0" w:line="400" w:lineRule="atLeast"/>
        <w:jc w:val="both"/>
        <w:rPr>
          <w:rFonts w:eastAsia="標楷體"/>
          <w:sz w:val="28"/>
          <w:szCs w:val="28"/>
        </w:rPr>
      </w:pPr>
      <w:r w:rsidRPr="008E60AF">
        <w:rPr>
          <w:rFonts w:eastAsia="標楷體" w:hint="eastAsia"/>
          <w:sz w:val="28"/>
          <w:szCs w:val="28"/>
        </w:rPr>
        <w:t>12.</w:t>
      </w:r>
      <w:r>
        <w:rPr>
          <w:rFonts w:eastAsia="標楷體" w:hint="eastAsia"/>
          <w:sz w:val="28"/>
          <w:szCs w:val="28"/>
        </w:rPr>
        <w:t>18</w:t>
      </w:r>
      <w:r w:rsidRPr="008E60AF">
        <w:rPr>
          <w:rFonts w:eastAsia="標楷體"/>
          <w:sz w:val="28"/>
          <w:szCs w:val="28"/>
        </w:rPr>
        <w:tab/>
      </w:r>
      <w:r w:rsidRPr="008E60AF">
        <w:rPr>
          <w:rFonts w:eastAsia="標楷體" w:hint="eastAsia"/>
          <w:sz w:val="28"/>
          <w:szCs w:val="28"/>
        </w:rPr>
        <w:t>政府多管齊下保障食物安全，包括制定有效的食物安全法例及更新食物標準、融合「從農場到餐桌」的概念擬定全面的食物監察策略、與主要食品出口經濟體的規管當局及相關國際機構緊密聯繫，及加強與食品商和消費者的溝通。</w:t>
      </w:r>
      <w:r>
        <w:rPr>
          <w:rFonts w:eastAsia="標楷體" w:hint="eastAsia"/>
          <w:sz w:val="28"/>
          <w:szCs w:val="28"/>
        </w:rPr>
        <w:t>有關</w:t>
      </w:r>
      <w:r w:rsidRPr="008E60AF">
        <w:rPr>
          <w:rFonts w:eastAsia="標楷體" w:hint="eastAsia"/>
          <w:sz w:val="28"/>
          <w:szCs w:val="28"/>
        </w:rPr>
        <w:t>保障食物安全</w:t>
      </w:r>
      <w:r>
        <w:rPr>
          <w:rFonts w:eastAsia="標楷體" w:hint="eastAsia"/>
          <w:sz w:val="28"/>
          <w:szCs w:val="28"/>
        </w:rPr>
        <w:t>的工作見</w:t>
      </w:r>
      <w:r w:rsidRPr="0010136F">
        <w:rPr>
          <w:rFonts w:eastAsia="標楷體" w:hint="eastAsia"/>
          <w:b/>
          <w:bCs/>
          <w:sz w:val="28"/>
          <w:szCs w:val="28"/>
          <w:lang w:eastAsia="zh-HK"/>
        </w:rPr>
        <w:t>附</w:t>
      </w:r>
      <w:r w:rsidRPr="003D48A2">
        <w:rPr>
          <w:rFonts w:eastAsia="標楷體"/>
          <w:b/>
          <w:bCs/>
          <w:sz w:val="28"/>
          <w:lang w:val="en-GB" w:eastAsia="zh-HK"/>
        </w:rPr>
        <w:t>‍</w:t>
      </w:r>
      <w:r w:rsidRPr="0010136F">
        <w:rPr>
          <w:rFonts w:eastAsia="標楷體" w:hint="eastAsia"/>
          <w:b/>
          <w:bCs/>
          <w:sz w:val="28"/>
          <w:szCs w:val="28"/>
          <w:lang w:eastAsia="zh-HK"/>
        </w:rPr>
        <w:t>件</w:t>
      </w:r>
      <w:r w:rsidRPr="003D48A2">
        <w:rPr>
          <w:rFonts w:eastAsia="標楷體"/>
          <w:b/>
          <w:bCs/>
          <w:sz w:val="28"/>
          <w:lang w:val="en-GB" w:eastAsia="zh-HK"/>
        </w:rPr>
        <w:t>‍</w:t>
      </w:r>
      <w:r w:rsidRPr="0010136F">
        <w:rPr>
          <w:rFonts w:eastAsia="標楷體" w:hint="eastAsia"/>
          <w:b/>
          <w:bCs/>
          <w:sz w:val="28"/>
          <w:szCs w:val="28"/>
        </w:rPr>
        <w:t>12</w:t>
      </w:r>
      <w:r>
        <w:rPr>
          <w:rFonts w:eastAsia="標楷體" w:hint="eastAsia"/>
          <w:b/>
          <w:bCs/>
          <w:sz w:val="28"/>
          <w:szCs w:val="28"/>
        </w:rPr>
        <w:t>E</w:t>
      </w:r>
      <w:r>
        <w:rPr>
          <w:rFonts w:eastAsia="標楷體" w:hint="eastAsia"/>
          <w:b/>
          <w:bCs/>
          <w:sz w:val="28"/>
          <w:szCs w:val="28"/>
        </w:rPr>
        <w:t>。</w:t>
      </w:r>
    </w:p>
    <w:p w:rsidR="006D2061" w:rsidRPr="008E60AF"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sidRPr="00AF4AAD">
        <w:rPr>
          <w:rFonts w:eastAsia="標楷體" w:hint="eastAsia"/>
          <w:b/>
          <w:sz w:val="28"/>
          <w:szCs w:val="28"/>
        </w:rPr>
        <w:t>為殘疾人士提供的服務</w:t>
      </w: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sidRPr="00AF4AAD">
        <w:rPr>
          <w:rFonts w:eastAsia="標楷體" w:hint="eastAsia"/>
          <w:sz w:val="28"/>
          <w:szCs w:val="28"/>
          <w:u w:val="single"/>
        </w:rPr>
        <w:t>學前康復服務</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AF4AAD">
        <w:rPr>
          <w:rFonts w:eastAsia="標楷體"/>
          <w:sz w:val="28"/>
          <w:szCs w:val="28"/>
        </w:rPr>
        <w:t>12.</w:t>
      </w:r>
      <w:r>
        <w:rPr>
          <w:rFonts w:eastAsia="標楷體" w:hint="eastAsia"/>
          <w:sz w:val="28"/>
          <w:szCs w:val="28"/>
        </w:rPr>
        <w:t>19</w:t>
      </w:r>
      <w:r w:rsidRPr="00AF4AAD">
        <w:rPr>
          <w:rFonts w:eastAsia="標楷體"/>
          <w:sz w:val="28"/>
          <w:szCs w:val="28"/>
        </w:rPr>
        <w:tab/>
      </w:r>
      <w:r w:rsidRPr="00AF4AAD">
        <w:rPr>
          <w:rFonts w:eastAsia="標楷體" w:hint="eastAsia"/>
          <w:sz w:val="28"/>
          <w:szCs w:val="28"/>
        </w:rPr>
        <w:t>鑑於「及早識別、即時介入」對有特殊需要的兒童的重要性，我們推出了嶄新的服務模式提供康復服務，以克服傳統服務受合適場所供應的限制。我們撥款</w:t>
      </w:r>
      <w:r w:rsidRPr="00AF4AAD">
        <w:rPr>
          <w:rFonts w:eastAsia="標楷體"/>
          <w:sz w:val="28"/>
          <w:szCs w:val="28"/>
        </w:rPr>
        <w:t>4.22</w:t>
      </w:r>
      <w:r w:rsidRPr="00AF4AAD">
        <w:rPr>
          <w:rFonts w:eastAsia="標楷體" w:hint="eastAsia"/>
          <w:sz w:val="28"/>
          <w:szCs w:val="28"/>
        </w:rPr>
        <w:t>億元，於</w:t>
      </w:r>
      <w:r w:rsidRPr="00AF4AAD">
        <w:rPr>
          <w:rFonts w:eastAsia="標楷體"/>
          <w:sz w:val="28"/>
          <w:szCs w:val="28"/>
        </w:rPr>
        <w:t>2015</w:t>
      </w:r>
      <w:r w:rsidRPr="00AF4AAD">
        <w:rPr>
          <w:rFonts w:eastAsia="標楷體" w:hint="eastAsia"/>
          <w:sz w:val="28"/>
          <w:szCs w:val="28"/>
        </w:rPr>
        <w:t>年</w:t>
      </w:r>
      <w:r w:rsidRPr="00AF4AAD">
        <w:rPr>
          <w:rFonts w:eastAsia="標楷體"/>
          <w:sz w:val="28"/>
          <w:szCs w:val="28"/>
        </w:rPr>
        <w:t>11</w:t>
      </w:r>
      <w:r w:rsidRPr="00AF4AAD">
        <w:rPr>
          <w:rFonts w:eastAsia="標楷體" w:hint="eastAsia"/>
          <w:sz w:val="28"/>
          <w:szCs w:val="28"/>
        </w:rPr>
        <w:t>月推行「到校學前康復服務試驗計劃」，以提供「到校」康復服務。跨專業服務團隊</w:t>
      </w:r>
      <w:r>
        <w:rPr>
          <w:rStyle w:val="a9"/>
          <w:rFonts w:eastAsia="標楷體"/>
          <w:sz w:val="28"/>
          <w:szCs w:val="28"/>
        </w:rPr>
        <w:footnoteReference w:id="2"/>
      </w:r>
      <w:r w:rsidRPr="00AF4AAD">
        <w:rPr>
          <w:rFonts w:eastAsia="標楷體" w:hint="eastAsia"/>
          <w:sz w:val="28"/>
          <w:szCs w:val="28"/>
        </w:rPr>
        <w:t>到幼稚園為有特殊需要兒童提供康復服務；為幼稚園教師／幼</w:t>
      </w:r>
      <w:r w:rsidRPr="004F23B5">
        <w:rPr>
          <w:rFonts w:eastAsia="標楷體" w:hint="eastAsia"/>
          <w:spacing w:val="2"/>
          <w:sz w:val="28"/>
          <w:szCs w:val="28"/>
        </w:rPr>
        <w:t>兒工作員提供諮詢和協助；以及為家長提供支援。試驗計劃初見成</w:t>
      </w:r>
      <w:r w:rsidRPr="004F23B5">
        <w:rPr>
          <w:rFonts w:eastAsia="標楷體" w:hint="eastAsia"/>
          <w:spacing w:val="2"/>
          <w:sz w:val="28"/>
          <w:szCs w:val="28"/>
        </w:rPr>
        <w:lastRenderedPageBreak/>
        <w:t>效，</w:t>
      </w:r>
      <w:r w:rsidRPr="00AF4AAD">
        <w:rPr>
          <w:rFonts w:eastAsia="標楷體" w:hint="eastAsia"/>
          <w:sz w:val="28"/>
          <w:szCs w:val="28"/>
        </w:rPr>
        <w:t>行政長官在</w:t>
      </w:r>
      <w:r w:rsidRPr="00AF4AAD">
        <w:rPr>
          <w:rFonts w:eastAsia="標楷體"/>
          <w:sz w:val="28"/>
          <w:szCs w:val="28"/>
        </w:rPr>
        <w:t>2017</w:t>
      </w:r>
      <w:r w:rsidRPr="00AF4AAD">
        <w:rPr>
          <w:rFonts w:eastAsia="標楷體" w:hint="eastAsia"/>
          <w:sz w:val="28"/>
          <w:szCs w:val="28"/>
        </w:rPr>
        <w:t>年的《施政報告》中</w:t>
      </w:r>
      <w:r>
        <w:rPr>
          <w:rFonts w:eastAsia="標楷體" w:hint="eastAsia"/>
          <w:sz w:val="28"/>
          <w:szCs w:val="28"/>
        </w:rPr>
        <w:t>進而</w:t>
      </w:r>
      <w:r w:rsidRPr="00AF4AAD">
        <w:rPr>
          <w:rFonts w:eastAsia="標楷體" w:hint="eastAsia"/>
          <w:sz w:val="28"/>
          <w:szCs w:val="28"/>
        </w:rPr>
        <w:t>宣布在</w:t>
      </w:r>
      <w:r w:rsidRPr="00AF4AAD">
        <w:rPr>
          <w:rFonts w:eastAsia="標楷體"/>
          <w:sz w:val="28"/>
          <w:szCs w:val="28"/>
        </w:rPr>
        <w:t>2018</w:t>
      </w:r>
      <w:r w:rsidRPr="00AF4AAD">
        <w:rPr>
          <w:rFonts w:eastAsia="標楷體" w:hint="eastAsia"/>
          <w:sz w:val="28"/>
          <w:szCs w:val="28"/>
        </w:rPr>
        <w:t>年</w:t>
      </w:r>
      <w:r w:rsidRPr="00AF4AAD">
        <w:rPr>
          <w:rFonts w:eastAsia="標楷體"/>
          <w:sz w:val="28"/>
          <w:szCs w:val="28"/>
        </w:rPr>
        <w:t>10</w:t>
      </w:r>
      <w:r w:rsidRPr="00AF4AAD">
        <w:rPr>
          <w:rFonts w:eastAsia="標楷體" w:hint="eastAsia"/>
          <w:sz w:val="28"/>
          <w:szCs w:val="28"/>
        </w:rPr>
        <w:t>月將</w:t>
      </w:r>
      <w:r>
        <w:rPr>
          <w:rFonts w:eastAsia="標楷體" w:hint="eastAsia"/>
          <w:sz w:val="28"/>
          <w:szCs w:val="28"/>
        </w:rPr>
        <w:t>之</w:t>
      </w:r>
      <w:r w:rsidRPr="00AF4AAD">
        <w:rPr>
          <w:rFonts w:eastAsia="標楷體" w:hint="eastAsia"/>
          <w:sz w:val="28"/>
          <w:szCs w:val="28"/>
        </w:rPr>
        <w:t>納入常規服務，並預留全年經常開支</w:t>
      </w:r>
      <w:r w:rsidRPr="00AF4AAD">
        <w:rPr>
          <w:rFonts w:eastAsia="標楷體"/>
          <w:sz w:val="28"/>
          <w:szCs w:val="28"/>
        </w:rPr>
        <w:t>4.6</w:t>
      </w:r>
      <w:r w:rsidRPr="00AF4AAD">
        <w:rPr>
          <w:rFonts w:eastAsia="標楷體" w:hint="eastAsia"/>
          <w:sz w:val="28"/>
          <w:szCs w:val="28"/>
        </w:rPr>
        <w:t>億元，把服務名額由約</w:t>
      </w:r>
      <w:r w:rsidRPr="00AF4AAD">
        <w:rPr>
          <w:rFonts w:eastAsia="標楷體"/>
          <w:sz w:val="28"/>
          <w:szCs w:val="28"/>
        </w:rPr>
        <w:t>3</w:t>
      </w:r>
      <w:r>
        <w:rPr>
          <w:rFonts w:eastAsia="標楷體"/>
          <w:sz w:val="28"/>
          <w:szCs w:val="28"/>
        </w:rPr>
        <w:t> </w:t>
      </w:r>
      <w:r w:rsidRPr="00AF4AAD">
        <w:rPr>
          <w:rFonts w:eastAsia="標楷體"/>
          <w:sz w:val="28"/>
          <w:szCs w:val="28"/>
        </w:rPr>
        <w:t>000</w:t>
      </w:r>
      <w:r w:rsidRPr="00AF4AAD">
        <w:rPr>
          <w:rFonts w:eastAsia="標楷體" w:hint="eastAsia"/>
          <w:sz w:val="28"/>
          <w:szCs w:val="28"/>
        </w:rPr>
        <w:t>個於兩年內增加至</w:t>
      </w:r>
      <w:r w:rsidRPr="00AF4AAD">
        <w:rPr>
          <w:rFonts w:eastAsia="標楷體"/>
          <w:sz w:val="28"/>
          <w:szCs w:val="28"/>
        </w:rPr>
        <w:t>7</w:t>
      </w:r>
      <w:r>
        <w:rPr>
          <w:rFonts w:eastAsia="標楷體"/>
          <w:sz w:val="28"/>
          <w:szCs w:val="28"/>
        </w:rPr>
        <w:t> </w:t>
      </w:r>
      <w:r w:rsidRPr="00AF4AAD">
        <w:rPr>
          <w:rFonts w:eastAsia="標楷體"/>
          <w:sz w:val="28"/>
          <w:szCs w:val="28"/>
        </w:rPr>
        <w:t>000</w:t>
      </w:r>
      <w:r w:rsidRPr="00AF4AAD">
        <w:rPr>
          <w:rFonts w:eastAsia="標楷體" w:hint="eastAsia"/>
          <w:sz w:val="28"/>
          <w:szCs w:val="28"/>
        </w:rPr>
        <w:t>個。同時，在到校學前康復服務常規化後，政府計劃增加</w:t>
      </w:r>
      <w:r>
        <w:rPr>
          <w:rFonts w:eastAsia="標楷體" w:hint="eastAsia"/>
          <w:sz w:val="28"/>
          <w:szCs w:val="28"/>
        </w:rPr>
        <w:t>此</w:t>
      </w:r>
      <w:r w:rsidRPr="00AF4AAD">
        <w:rPr>
          <w:rFonts w:eastAsia="標楷體" w:hint="eastAsia"/>
          <w:sz w:val="28"/>
          <w:szCs w:val="28"/>
        </w:rPr>
        <w:t>服務的專業及支援服務，包括增加言語治療師及社工的編制，以及設立流動訓練中心。社署</w:t>
      </w:r>
      <w:r>
        <w:rPr>
          <w:rFonts w:eastAsia="標楷體" w:hint="eastAsia"/>
          <w:sz w:val="28"/>
          <w:szCs w:val="28"/>
          <w:lang w:eastAsia="zh-HK"/>
        </w:rPr>
        <w:t>亦</w:t>
      </w:r>
      <w:r w:rsidRPr="00AF4AAD">
        <w:rPr>
          <w:rFonts w:eastAsia="標楷體" w:hint="eastAsia"/>
          <w:sz w:val="28"/>
          <w:szCs w:val="28"/>
        </w:rPr>
        <w:t>計劃在未來五年增加傳統服務的名額。我們期望透過在服務提供層面取得突破，讓所有有特殊需要的兒童在幼兒的治療黃金期可接受康復服務。</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r w:rsidRPr="00AF4AAD">
        <w:rPr>
          <w:rFonts w:eastAsia="標楷體" w:hint="eastAsia"/>
          <w:sz w:val="28"/>
          <w:szCs w:val="28"/>
          <w:u w:val="single"/>
        </w:rPr>
        <w:t>社區支援服務及住宿照顧服務</w:t>
      </w: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u w:val="single"/>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AF4AAD">
        <w:rPr>
          <w:rFonts w:eastAsia="標楷體"/>
          <w:sz w:val="28"/>
          <w:szCs w:val="28"/>
        </w:rPr>
        <w:t>12.</w:t>
      </w:r>
      <w:r>
        <w:rPr>
          <w:rFonts w:eastAsia="標楷體"/>
          <w:sz w:val="28"/>
          <w:szCs w:val="28"/>
        </w:rPr>
        <w:t>2</w:t>
      </w:r>
      <w:r>
        <w:rPr>
          <w:rFonts w:eastAsia="標楷體" w:hint="eastAsia"/>
          <w:sz w:val="28"/>
          <w:szCs w:val="28"/>
        </w:rPr>
        <w:t>0</w:t>
      </w:r>
      <w:r w:rsidRPr="00AF4AAD">
        <w:rPr>
          <w:rFonts w:eastAsia="標楷體"/>
          <w:sz w:val="28"/>
          <w:szCs w:val="28"/>
        </w:rPr>
        <w:tab/>
      </w:r>
      <w:r w:rsidRPr="00AF4AAD">
        <w:rPr>
          <w:rFonts w:eastAsia="標楷體" w:hint="eastAsia"/>
          <w:sz w:val="28"/>
          <w:szCs w:val="28"/>
        </w:rPr>
        <w:t>政府確認殘疾人士獨立生活和參與社區生活的權利，並致力提供支援，以協助他們繼續在社區生活。</w:t>
      </w:r>
      <w:r>
        <w:rPr>
          <w:rFonts w:eastAsia="標楷體" w:hint="eastAsia"/>
          <w:sz w:val="28"/>
          <w:szCs w:val="28"/>
          <w:lang w:eastAsia="zh-HK"/>
        </w:rPr>
        <w:t>我</w:t>
      </w:r>
      <w:r>
        <w:rPr>
          <w:rFonts w:eastAsia="標楷體" w:hint="eastAsia"/>
          <w:sz w:val="28"/>
          <w:szCs w:val="28"/>
        </w:rPr>
        <w:t>們</w:t>
      </w:r>
      <w:r>
        <w:rPr>
          <w:rFonts w:eastAsia="標楷體" w:hint="eastAsia"/>
          <w:sz w:val="28"/>
          <w:szCs w:val="28"/>
          <w:lang w:eastAsia="zh-HK"/>
        </w:rPr>
        <w:t>致力為</w:t>
      </w:r>
      <w:r w:rsidRPr="00AF4AAD">
        <w:rPr>
          <w:rFonts w:eastAsia="標楷體" w:hint="eastAsia"/>
          <w:sz w:val="28"/>
          <w:szCs w:val="28"/>
        </w:rPr>
        <w:t>未能獨立生活及無法由家人充分照顧的殘疾人士提供住宿照顧。</w:t>
      </w:r>
      <w:r w:rsidRPr="0010136F">
        <w:rPr>
          <w:rFonts w:eastAsia="標楷體" w:hint="eastAsia"/>
          <w:bCs/>
          <w:sz w:val="28"/>
          <w:szCs w:val="28"/>
        </w:rPr>
        <w:t>社區支援服務及住宿照顧服務</w:t>
      </w:r>
      <w:r>
        <w:rPr>
          <w:rFonts w:eastAsia="標楷體" w:hint="eastAsia"/>
          <w:bCs/>
          <w:sz w:val="28"/>
          <w:szCs w:val="28"/>
          <w:lang w:eastAsia="zh-HK"/>
        </w:rPr>
        <w:t>的詳</w:t>
      </w:r>
      <w:r>
        <w:rPr>
          <w:rFonts w:eastAsia="標楷體" w:hint="eastAsia"/>
          <w:bCs/>
          <w:sz w:val="28"/>
          <w:szCs w:val="28"/>
        </w:rPr>
        <w:t>情</w:t>
      </w:r>
      <w:r>
        <w:rPr>
          <w:rFonts w:eastAsia="標楷體" w:hint="eastAsia"/>
          <w:bCs/>
          <w:sz w:val="28"/>
          <w:szCs w:val="28"/>
          <w:lang w:eastAsia="zh-HK"/>
        </w:rPr>
        <w:t>見</w:t>
      </w:r>
      <w:r w:rsidRPr="0010136F">
        <w:rPr>
          <w:rFonts w:eastAsia="標楷體" w:hint="eastAsia"/>
          <w:b/>
          <w:bCs/>
          <w:sz w:val="28"/>
          <w:szCs w:val="28"/>
          <w:lang w:eastAsia="zh-HK"/>
        </w:rPr>
        <w:t>附</w:t>
      </w:r>
      <w:r w:rsidRPr="0010136F">
        <w:rPr>
          <w:rFonts w:eastAsia="標楷體"/>
          <w:b/>
          <w:bCs/>
          <w:sz w:val="28"/>
          <w:szCs w:val="28"/>
          <w:lang w:eastAsia="zh-HK"/>
        </w:rPr>
        <w:t>‍</w:t>
      </w:r>
      <w:r w:rsidRPr="0010136F">
        <w:rPr>
          <w:rFonts w:eastAsia="標楷體" w:hint="eastAsia"/>
          <w:b/>
          <w:bCs/>
          <w:sz w:val="28"/>
          <w:szCs w:val="28"/>
          <w:lang w:eastAsia="zh-HK"/>
        </w:rPr>
        <w:t>件</w:t>
      </w:r>
      <w:r w:rsidRPr="0010136F">
        <w:rPr>
          <w:rFonts w:eastAsia="標楷體"/>
          <w:b/>
          <w:bCs/>
          <w:sz w:val="28"/>
          <w:szCs w:val="28"/>
          <w:lang w:eastAsia="zh-HK"/>
        </w:rPr>
        <w:t>‍</w:t>
      </w:r>
      <w:r>
        <w:rPr>
          <w:rFonts w:eastAsia="標楷體"/>
          <w:b/>
          <w:bCs/>
          <w:sz w:val="28"/>
          <w:szCs w:val="28"/>
          <w:lang w:eastAsia="zh-HK"/>
        </w:rPr>
        <w:t>12</w:t>
      </w:r>
      <w:r>
        <w:rPr>
          <w:rFonts w:eastAsia="標楷體" w:hint="eastAsia"/>
          <w:b/>
          <w:bCs/>
          <w:sz w:val="28"/>
          <w:szCs w:val="28"/>
        </w:rPr>
        <w:t>F</w:t>
      </w:r>
      <w:r>
        <w:rPr>
          <w:rFonts w:eastAsia="標楷體" w:hint="eastAsia"/>
          <w:bCs/>
          <w:sz w:val="28"/>
          <w:szCs w:val="28"/>
        </w:rPr>
        <w:t>。</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sz w:val="28"/>
          <w:szCs w:val="28"/>
        </w:rPr>
        <w:t>12.</w:t>
      </w:r>
      <w:r>
        <w:rPr>
          <w:rFonts w:eastAsia="標楷體" w:hint="eastAsia"/>
          <w:sz w:val="28"/>
          <w:szCs w:val="28"/>
        </w:rPr>
        <w:t>21</w:t>
      </w:r>
      <w:r w:rsidRPr="00AF4AAD">
        <w:rPr>
          <w:rFonts w:eastAsia="標楷體"/>
          <w:sz w:val="28"/>
          <w:szCs w:val="28"/>
        </w:rPr>
        <w:tab/>
      </w:r>
      <w:r>
        <w:rPr>
          <w:rFonts w:eastAsia="標楷體" w:hint="eastAsia"/>
          <w:sz w:val="28"/>
          <w:szCs w:val="28"/>
          <w:lang w:eastAsia="zh-HK"/>
        </w:rPr>
        <w:t>承接上一次報</w:t>
      </w:r>
      <w:r>
        <w:rPr>
          <w:rFonts w:eastAsia="標楷體" w:hint="eastAsia"/>
          <w:sz w:val="28"/>
          <w:szCs w:val="28"/>
        </w:rPr>
        <w:t>告</w:t>
      </w:r>
      <w:r>
        <w:rPr>
          <w:rFonts w:eastAsia="標楷體" w:hint="eastAsia"/>
          <w:sz w:val="28"/>
          <w:szCs w:val="28"/>
          <w:lang w:eastAsia="zh-HK"/>
        </w:rPr>
        <w:t>第</w:t>
      </w:r>
      <w:r>
        <w:rPr>
          <w:rFonts w:eastAsia="標楷體" w:hint="eastAsia"/>
          <w:sz w:val="28"/>
          <w:szCs w:val="28"/>
        </w:rPr>
        <w:t>12.152</w:t>
      </w:r>
      <w:r>
        <w:rPr>
          <w:rFonts w:eastAsia="標楷體" w:hint="eastAsia"/>
          <w:sz w:val="28"/>
          <w:szCs w:val="28"/>
          <w:lang w:eastAsia="zh-HK"/>
        </w:rPr>
        <w:t>段</w:t>
      </w:r>
      <w:r>
        <w:rPr>
          <w:rFonts w:eastAsia="標楷體" w:hint="eastAsia"/>
          <w:sz w:val="28"/>
          <w:szCs w:val="28"/>
        </w:rPr>
        <w:t>，</w:t>
      </w:r>
      <w:r w:rsidRPr="00AF4AAD">
        <w:rPr>
          <w:rFonts w:eastAsia="標楷體" w:hint="eastAsia"/>
          <w:sz w:val="28"/>
          <w:szCs w:val="28"/>
        </w:rPr>
        <w:t>《殘疾人士院舍條例》</w:t>
      </w:r>
      <w:r>
        <w:rPr>
          <w:rFonts w:eastAsia="標楷體" w:hint="eastAsia"/>
          <w:sz w:val="28"/>
          <w:szCs w:val="28"/>
        </w:rPr>
        <w:t>（</w:t>
      </w:r>
      <w:r>
        <w:rPr>
          <w:rFonts w:eastAsia="標楷體" w:hint="eastAsia"/>
          <w:sz w:val="28"/>
          <w:szCs w:val="28"/>
          <w:lang w:eastAsia="zh-HK"/>
        </w:rPr>
        <w:t>第</w:t>
      </w:r>
      <w:r>
        <w:rPr>
          <w:rFonts w:eastAsia="標楷體" w:hint="eastAsia"/>
          <w:sz w:val="28"/>
          <w:szCs w:val="28"/>
        </w:rPr>
        <w:t>613</w:t>
      </w:r>
      <w:r>
        <w:rPr>
          <w:rFonts w:eastAsia="標楷體" w:hint="eastAsia"/>
          <w:sz w:val="28"/>
          <w:szCs w:val="28"/>
          <w:lang w:eastAsia="zh-HK"/>
        </w:rPr>
        <w:t>章</w:t>
      </w:r>
      <w:r>
        <w:rPr>
          <w:rFonts w:eastAsia="標楷體" w:hint="eastAsia"/>
          <w:sz w:val="28"/>
          <w:szCs w:val="28"/>
        </w:rPr>
        <w:t>）</w:t>
      </w:r>
      <w:r>
        <w:rPr>
          <w:rFonts w:eastAsia="標楷體" w:hint="eastAsia"/>
          <w:sz w:val="28"/>
          <w:szCs w:val="28"/>
          <w:lang w:eastAsia="zh-HK"/>
        </w:rPr>
        <w:t>已</w:t>
      </w:r>
      <w:r w:rsidRPr="00993A9F">
        <w:rPr>
          <w:rFonts w:eastAsia="標楷體"/>
          <w:bCs/>
          <w:sz w:val="28"/>
          <w:szCs w:val="28"/>
          <w:lang w:eastAsia="zh-HK"/>
        </w:rPr>
        <w:t>於</w:t>
      </w:r>
      <w:r w:rsidRPr="00993A9F">
        <w:rPr>
          <w:rFonts w:eastAsia="標楷體"/>
          <w:bCs/>
          <w:sz w:val="28"/>
          <w:szCs w:val="28"/>
          <w:lang w:eastAsia="zh-HK"/>
        </w:rPr>
        <w:t>2013</w:t>
      </w:r>
      <w:r w:rsidRPr="00993A9F">
        <w:rPr>
          <w:rFonts w:eastAsia="標楷體"/>
          <w:bCs/>
          <w:sz w:val="28"/>
          <w:szCs w:val="28"/>
          <w:lang w:eastAsia="zh-HK"/>
        </w:rPr>
        <w:t>年</w:t>
      </w:r>
      <w:r w:rsidRPr="00993A9F">
        <w:rPr>
          <w:rFonts w:eastAsia="標楷體"/>
          <w:bCs/>
          <w:sz w:val="28"/>
          <w:szCs w:val="28"/>
          <w:lang w:eastAsia="zh-HK"/>
        </w:rPr>
        <w:t>6</w:t>
      </w:r>
      <w:r w:rsidRPr="00993A9F">
        <w:rPr>
          <w:rFonts w:eastAsia="標楷體"/>
          <w:bCs/>
          <w:sz w:val="28"/>
          <w:szCs w:val="28"/>
          <w:lang w:eastAsia="zh-HK"/>
        </w:rPr>
        <w:t>月</w:t>
      </w:r>
      <w:r>
        <w:rPr>
          <w:rFonts w:eastAsia="標楷體" w:hint="eastAsia"/>
          <w:bCs/>
          <w:sz w:val="28"/>
          <w:szCs w:val="28"/>
          <w:lang w:eastAsia="zh-HK"/>
        </w:rPr>
        <w:t>全面實</w:t>
      </w:r>
      <w:r>
        <w:rPr>
          <w:rFonts w:eastAsia="標楷體" w:hint="eastAsia"/>
          <w:bCs/>
          <w:sz w:val="28"/>
          <w:szCs w:val="28"/>
        </w:rPr>
        <w:t>施，</w:t>
      </w:r>
      <w:r w:rsidRPr="00993A9F">
        <w:rPr>
          <w:rFonts w:eastAsia="標楷體" w:hint="eastAsia"/>
          <w:bCs/>
          <w:sz w:val="28"/>
          <w:szCs w:val="28"/>
          <w:lang w:eastAsia="zh-HK"/>
        </w:rPr>
        <w:t>旨</w:t>
      </w:r>
      <w:r w:rsidRPr="00AF4AAD">
        <w:rPr>
          <w:rFonts w:eastAsia="標楷體" w:hint="eastAsia"/>
          <w:sz w:val="28"/>
          <w:szCs w:val="28"/>
        </w:rPr>
        <w:t>在透過發牌制度及根據條例頒布實務守則</w:t>
      </w:r>
      <w:r>
        <w:rPr>
          <w:rStyle w:val="a9"/>
          <w:rFonts w:eastAsia="標楷體"/>
          <w:sz w:val="28"/>
          <w:szCs w:val="28"/>
        </w:rPr>
        <w:footnoteReference w:id="3"/>
      </w:r>
      <w:r w:rsidRPr="00AF4AAD">
        <w:rPr>
          <w:rFonts w:eastAsia="標楷體"/>
          <w:sz w:val="28"/>
          <w:szCs w:val="28"/>
        </w:rPr>
        <w:t xml:space="preserve"> </w:t>
      </w:r>
      <w:r w:rsidRPr="00AF4AAD">
        <w:rPr>
          <w:rFonts w:eastAsia="標楷體" w:hint="eastAsia"/>
          <w:sz w:val="28"/>
          <w:szCs w:val="28"/>
        </w:rPr>
        <w:t>，規管殘疾人士院舍。社署於</w:t>
      </w:r>
      <w:r w:rsidRPr="00AF4AAD">
        <w:rPr>
          <w:rFonts w:eastAsia="標楷體"/>
          <w:sz w:val="28"/>
          <w:szCs w:val="28"/>
        </w:rPr>
        <w:t>2017</w:t>
      </w:r>
      <w:r w:rsidRPr="00AF4AAD">
        <w:rPr>
          <w:rFonts w:eastAsia="標楷體" w:hint="eastAsia"/>
          <w:sz w:val="28"/>
          <w:szCs w:val="28"/>
        </w:rPr>
        <w:t>年成立專責的「牌</w:t>
      </w:r>
      <w:r w:rsidRPr="004F23B5">
        <w:rPr>
          <w:rFonts w:eastAsia="標楷體" w:hint="eastAsia"/>
          <w:spacing w:val="2"/>
          <w:sz w:val="28"/>
          <w:szCs w:val="28"/>
        </w:rPr>
        <w:t>照及規管科」，加強對由社署發牌或向社署註冊的院舍及中心的監管，</w:t>
      </w:r>
      <w:r w:rsidRPr="00AF4AAD">
        <w:rPr>
          <w:rFonts w:eastAsia="標楷體" w:hint="eastAsia"/>
          <w:sz w:val="28"/>
          <w:szCs w:val="28"/>
        </w:rPr>
        <w:t>透過一系列改善措施提升院舍及中心的服務質素</w:t>
      </w:r>
      <w:r>
        <w:rPr>
          <w:rFonts w:eastAsia="標楷體" w:hint="eastAsia"/>
          <w:sz w:val="28"/>
          <w:szCs w:val="28"/>
          <w:lang w:eastAsia="zh-HK"/>
        </w:rPr>
        <w:t>：</w:t>
      </w:r>
      <w:r w:rsidRPr="00AF4AAD">
        <w:rPr>
          <w:rFonts w:eastAsia="標楷體" w:hint="eastAsia"/>
          <w:sz w:val="28"/>
          <w:szCs w:val="28"/>
        </w:rPr>
        <w:t>包括加強巡查策略及巡查支援、加強支援殘疾人士院舍的改善工程、加強地區支援網絡、訂定護理指引、提升院舍經營者／主管／員工的質素及技能、加強執法及增加透明度。</w:t>
      </w: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AF4AAD">
        <w:rPr>
          <w:rFonts w:eastAsia="標楷體"/>
          <w:sz w:val="28"/>
          <w:szCs w:val="28"/>
        </w:rPr>
        <w:t>12.</w:t>
      </w:r>
      <w:r>
        <w:rPr>
          <w:rFonts w:eastAsia="標楷體" w:hint="eastAsia"/>
          <w:sz w:val="28"/>
          <w:szCs w:val="28"/>
        </w:rPr>
        <w:t>22</w:t>
      </w:r>
      <w:r w:rsidRPr="00AF4AAD">
        <w:rPr>
          <w:rFonts w:eastAsia="標楷體"/>
          <w:sz w:val="28"/>
          <w:szCs w:val="28"/>
        </w:rPr>
        <w:tab/>
      </w:r>
      <w:r w:rsidRPr="00AF4AAD">
        <w:rPr>
          <w:rFonts w:eastAsia="標楷體" w:hint="eastAsia"/>
          <w:sz w:val="28"/>
          <w:szCs w:val="28"/>
        </w:rPr>
        <w:t>為回應有關進一步加強監管殘疾人士院舍及提升院舍服務質素的建議，社署於</w:t>
      </w:r>
      <w:r w:rsidRPr="00AF4AAD">
        <w:rPr>
          <w:rFonts w:eastAsia="標楷體"/>
          <w:sz w:val="28"/>
          <w:szCs w:val="28"/>
        </w:rPr>
        <w:t>2017</w:t>
      </w:r>
      <w:r w:rsidRPr="00AF4AAD">
        <w:rPr>
          <w:rFonts w:eastAsia="標楷體" w:hint="eastAsia"/>
          <w:sz w:val="28"/>
          <w:szCs w:val="28"/>
        </w:rPr>
        <w:t>年</w:t>
      </w:r>
      <w:r w:rsidRPr="00AF4AAD">
        <w:rPr>
          <w:rFonts w:eastAsia="標楷體"/>
          <w:sz w:val="28"/>
          <w:szCs w:val="28"/>
        </w:rPr>
        <w:t>6</w:t>
      </w:r>
      <w:r w:rsidRPr="00AF4AAD">
        <w:rPr>
          <w:rFonts w:eastAsia="標楷體" w:hint="eastAsia"/>
          <w:sz w:val="28"/>
          <w:szCs w:val="28"/>
        </w:rPr>
        <w:t>月成立由主要持份者（包括服務使用者及照顧者）組成的工作小組，檢視相關條例及實務守則。檢視範疇包括住客人均面積要求、人手要求、院舍內指定職員的註冊及資歷要求、院舍職員的培訓等。社署計劃於兩年內完成檢討。政府會根據工作小組的建議，考慮修訂條例及實務守則的需要。</w:t>
      </w:r>
    </w:p>
    <w:p w:rsidR="006D2061"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p>
    <w:p w:rsidR="006D2061" w:rsidRPr="0010136F"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p>
    <w:p w:rsidR="006D2061" w:rsidRPr="006A45BD"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sidRPr="006A45BD">
        <w:rPr>
          <w:rFonts w:eastAsia="標楷體" w:hint="eastAsia"/>
          <w:b/>
          <w:sz w:val="28"/>
          <w:szCs w:val="28"/>
        </w:rPr>
        <w:lastRenderedPageBreak/>
        <w:t>為精神有問題的人士提供的服務</w:t>
      </w:r>
    </w:p>
    <w:p w:rsidR="006D2061" w:rsidRPr="006A45BD"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6A45BD"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6A45BD">
        <w:rPr>
          <w:rFonts w:eastAsia="標楷體" w:hint="eastAsia"/>
          <w:sz w:val="28"/>
          <w:szCs w:val="28"/>
        </w:rPr>
        <w:t>12.</w:t>
      </w:r>
      <w:r>
        <w:rPr>
          <w:sz w:val="28"/>
          <w:szCs w:val="28"/>
        </w:rPr>
        <w:t>2</w:t>
      </w:r>
      <w:r>
        <w:rPr>
          <w:rFonts w:hint="eastAsia"/>
          <w:sz w:val="28"/>
          <w:szCs w:val="28"/>
        </w:rPr>
        <w:t>3</w:t>
      </w:r>
      <w:r w:rsidRPr="006A45BD">
        <w:rPr>
          <w:rFonts w:eastAsia="標楷體"/>
          <w:sz w:val="28"/>
          <w:szCs w:val="28"/>
        </w:rPr>
        <w:tab/>
      </w:r>
      <w:r w:rsidRPr="006A45BD">
        <w:rPr>
          <w:rFonts w:eastAsia="標楷體" w:hint="eastAsia"/>
          <w:sz w:val="28"/>
          <w:szCs w:val="28"/>
        </w:rPr>
        <w:t>根據上次審議結論第</w:t>
      </w:r>
      <w:r w:rsidRPr="006A45BD">
        <w:rPr>
          <w:rFonts w:eastAsia="標楷體"/>
          <w:sz w:val="28"/>
          <w:szCs w:val="28"/>
        </w:rPr>
        <w:t>50</w:t>
      </w:r>
      <w:r w:rsidRPr="006A45BD">
        <w:rPr>
          <w:rFonts w:eastAsia="標楷體" w:hint="eastAsia"/>
          <w:sz w:val="28"/>
          <w:szCs w:val="28"/>
        </w:rPr>
        <w:t>段所載，委員會建議</w:t>
      </w:r>
      <w:r>
        <w:rPr>
          <w:rFonts w:eastAsia="標楷體" w:hint="eastAsia"/>
          <w:sz w:val="28"/>
          <w:szCs w:val="28"/>
        </w:rPr>
        <w:t>香港特區制定全面精神健康政策，</w:t>
      </w:r>
      <w:r w:rsidRPr="00850F64">
        <w:rPr>
          <w:rFonts w:eastAsia="標楷體" w:hint="eastAsia"/>
          <w:sz w:val="28"/>
          <w:szCs w:val="28"/>
        </w:rPr>
        <w:t>特別是藉著制定符合國際標準的法例和培訓專業人員，以提供精神健康服務。委員會也建議香港特區提供以社區為本的精神健康護理服務</w:t>
      </w:r>
      <w:r w:rsidRPr="006A45BD">
        <w:rPr>
          <w:rFonts w:eastAsia="標楷體" w:hint="eastAsia"/>
          <w:sz w:val="28"/>
          <w:szCs w:val="28"/>
        </w:rPr>
        <w:t>。</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bCs/>
          <w:sz w:val="28"/>
          <w:szCs w:val="28"/>
        </w:rPr>
      </w:pPr>
      <w:r>
        <w:rPr>
          <w:rFonts w:eastAsia="標楷體" w:hint="eastAsia"/>
          <w:sz w:val="28"/>
          <w:szCs w:val="28"/>
        </w:rPr>
        <w:t>12.24</w:t>
      </w:r>
      <w:r>
        <w:rPr>
          <w:rFonts w:eastAsia="標楷體" w:hint="eastAsia"/>
          <w:sz w:val="28"/>
          <w:szCs w:val="28"/>
        </w:rPr>
        <w:tab/>
      </w:r>
      <w:r w:rsidRPr="00850F64">
        <w:rPr>
          <w:rFonts w:eastAsia="標楷體" w:hint="eastAsia"/>
          <w:sz w:val="28"/>
          <w:szCs w:val="28"/>
        </w:rPr>
        <w:t>政府採用綜合和跨專業的服務模式，包括推廣、預防、及早識別，及為有需要人士提供適時介入、治療和復康服務。政策方向是鼓勵社區支援及日間護理服務，並提供必需和必要的住院服務，建立精神健康友善的社會，讓有精神健康需要的人士重新融入社區。</w:t>
      </w:r>
      <w:r w:rsidRPr="001A313E">
        <w:rPr>
          <w:rFonts w:eastAsia="標楷體" w:hint="eastAsia"/>
          <w:sz w:val="28"/>
          <w:szCs w:val="28"/>
        </w:rPr>
        <w:t>政府過去十年一直加強精神健康服務方面的資源和人手</w:t>
      </w:r>
      <w:r>
        <w:rPr>
          <w:rFonts w:eastAsia="標楷體" w:hint="eastAsia"/>
          <w:sz w:val="28"/>
          <w:szCs w:val="28"/>
        </w:rPr>
        <w:t>，</w:t>
      </w:r>
      <w:r w:rsidRPr="001A313E">
        <w:rPr>
          <w:rFonts w:eastAsia="標楷體" w:hint="eastAsia"/>
          <w:sz w:val="28"/>
          <w:szCs w:val="28"/>
        </w:rPr>
        <w:t>相關開支由</w:t>
      </w:r>
      <w:r>
        <w:rPr>
          <w:rFonts w:eastAsia="標楷體" w:hint="eastAsia"/>
          <w:sz w:val="28"/>
          <w:szCs w:val="28"/>
        </w:rPr>
        <w:t>2008-09</w:t>
      </w:r>
      <w:r w:rsidRPr="001A313E">
        <w:rPr>
          <w:rFonts w:eastAsia="標楷體" w:hint="eastAsia"/>
          <w:sz w:val="28"/>
          <w:szCs w:val="28"/>
        </w:rPr>
        <w:t>年度的約</w:t>
      </w:r>
      <w:r w:rsidRPr="001A313E">
        <w:rPr>
          <w:rFonts w:eastAsia="標楷體"/>
          <w:sz w:val="28"/>
          <w:szCs w:val="28"/>
        </w:rPr>
        <w:t>36</w:t>
      </w:r>
      <w:r w:rsidRPr="001A313E">
        <w:rPr>
          <w:rFonts w:eastAsia="標楷體" w:hint="eastAsia"/>
          <w:sz w:val="28"/>
          <w:szCs w:val="28"/>
        </w:rPr>
        <w:t>億元增加至</w:t>
      </w:r>
      <w:r w:rsidRPr="001A313E">
        <w:rPr>
          <w:rFonts w:eastAsia="標楷體"/>
          <w:sz w:val="28"/>
          <w:szCs w:val="28"/>
        </w:rPr>
        <w:t>2018-19</w:t>
      </w:r>
      <w:r w:rsidRPr="001A313E">
        <w:rPr>
          <w:rFonts w:eastAsia="標楷體" w:hint="eastAsia"/>
          <w:sz w:val="28"/>
          <w:szCs w:val="28"/>
        </w:rPr>
        <w:t>年度的</w:t>
      </w:r>
      <w:r>
        <w:rPr>
          <w:rFonts w:eastAsia="標楷體" w:hint="eastAsia"/>
          <w:sz w:val="28"/>
          <w:szCs w:val="28"/>
          <w:lang w:eastAsia="zh-HK"/>
        </w:rPr>
        <w:t>約</w:t>
      </w:r>
      <w:r w:rsidRPr="001A313E">
        <w:rPr>
          <w:rFonts w:eastAsia="標楷體"/>
          <w:sz w:val="28"/>
          <w:szCs w:val="28"/>
        </w:rPr>
        <w:t>5</w:t>
      </w:r>
      <w:r>
        <w:rPr>
          <w:rFonts w:eastAsia="標楷體" w:hint="eastAsia"/>
          <w:sz w:val="28"/>
          <w:szCs w:val="28"/>
        </w:rPr>
        <w:t>5</w:t>
      </w:r>
      <w:r w:rsidRPr="001A313E">
        <w:rPr>
          <w:rFonts w:eastAsia="標楷體" w:hint="eastAsia"/>
          <w:sz w:val="28"/>
          <w:szCs w:val="28"/>
        </w:rPr>
        <w:t>億，增幅</w:t>
      </w:r>
      <w:r>
        <w:rPr>
          <w:rFonts w:eastAsia="標楷體" w:hint="eastAsia"/>
          <w:sz w:val="28"/>
          <w:szCs w:val="28"/>
          <w:lang w:eastAsia="zh-HK"/>
        </w:rPr>
        <w:t>超</w:t>
      </w:r>
      <w:r>
        <w:rPr>
          <w:rFonts w:eastAsia="標楷體" w:hint="eastAsia"/>
          <w:sz w:val="28"/>
          <w:szCs w:val="28"/>
        </w:rPr>
        <w:t>過</w:t>
      </w:r>
      <w:r>
        <w:rPr>
          <w:rFonts w:eastAsia="標楷體" w:hint="eastAsia"/>
          <w:sz w:val="28"/>
          <w:szCs w:val="28"/>
        </w:rPr>
        <w:t>50</w:t>
      </w:r>
      <w:r w:rsidRPr="001A313E">
        <w:rPr>
          <w:rFonts w:eastAsia="標楷體"/>
          <w:sz w:val="28"/>
          <w:szCs w:val="28"/>
        </w:rPr>
        <w:t>%</w:t>
      </w:r>
      <w:r w:rsidRPr="001A313E">
        <w:rPr>
          <w:rFonts w:eastAsia="標楷體" w:hint="eastAsia"/>
          <w:bCs/>
          <w:sz w:val="28"/>
          <w:szCs w:val="28"/>
        </w:rPr>
        <w:t>。</w:t>
      </w:r>
    </w:p>
    <w:p w:rsidR="006D2061" w:rsidRDefault="006D2061" w:rsidP="008375BB">
      <w:pPr>
        <w:pStyle w:val="2"/>
        <w:tabs>
          <w:tab w:val="left" w:pos="1440"/>
          <w:tab w:val="left" w:pos="1680"/>
        </w:tabs>
        <w:adjustRightInd w:val="0"/>
        <w:snapToGrid w:val="0"/>
        <w:spacing w:after="0" w:line="400" w:lineRule="atLeast"/>
        <w:jc w:val="both"/>
        <w:rPr>
          <w:rFonts w:eastAsia="標楷體"/>
          <w:bCs/>
          <w:sz w:val="28"/>
          <w:szCs w:val="28"/>
        </w:rPr>
      </w:pPr>
    </w:p>
    <w:p w:rsidR="006D2061" w:rsidRDefault="006D2061" w:rsidP="004F23B5">
      <w:pPr>
        <w:pStyle w:val="2"/>
        <w:tabs>
          <w:tab w:val="left" w:pos="1440"/>
          <w:tab w:val="left" w:pos="1680"/>
        </w:tabs>
        <w:overflowPunct w:val="0"/>
        <w:adjustRightInd w:val="0"/>
        <w:snapToGrid w:val="0"/>
        <w:spacing w:after="0" w:line="400" w:lineRule="atLeast"/>
        <w:jc w:val="both"/>
        <w:rPr>
          <w:rFonts w:eastAsia="標楷體"/>
          <w:bCs/>
          <w:sz w:val="28"/>
          <w:szCs w:val="28"/>
        </w:rPr>
      </w:pPr>
      <w:r>
        <w:rPr>
          <w:rFonts w:eastAsia="標楷體" w:hint="eastAsia"/>
          <w:bCs/>
          <w:sz w:val="28"/>
          <w:szCs w:val="28"/>
        </w:rPr>
        <w:t>12.25</w:t>
      </w:r>
      <w:r>
        <w:rPr>
          <w:rFonts w:eastAsia="標楷體"/>
          <w:bCs/>
          <w:sz w:val="28"/>
          <w:szCs w:val="28"/>
        </w:rPr>
        <w:tab/>
      </w:r>
      <w:r w:rsidRPr="001A313E">
        <w:rPr>
          <w:rFonts w:eastAsia="標楷體" w:hint="eastAsia"/>
          <w:bCs/>
          <w:sz w:val="28"/>
          <w:szCs w:val="28"/>
        </w:rPr>
        <w:t>為確保精神健康政策能夠應付人口增長和老化帶來的挑戰，食衞局在</w:t>
      </w:r>
      <w:r w:rsidRPr="001A313E">
        <w:rPr>
          <w:rFonts w:eastAsia="標楷體"/>
          <w:bCs/>
          <w:sz w:val="28"/>
          <w:szCs w:val="28"/>
        </w:rPr>
        <w:t>2013</w:t>
      </w:r>
      <w:r w:rsidRPr="001A313E">
        <w:rPr>
          <w:rFonts w:eastAsia="標楷體" w:hint="eastAsia"/>
          <w:bCs/>
          <w:sz w:val="28"/>
          <w:szCs w:val="28"/>
        </w:rPr>
        <w:t>年</w:t>
      </w:r>
      <w:r w:rsidRPr="001A313E">
        <w:rPr>
          <w:rFonts w:eastAsia="標楷體"/>
          <w:bCs/>
          <w:sz w:val="28"/>
          <w:szCs w:val="28"/>
        </w:rPr>
        <w:t>5</w:t>
      </w:r>
      <w:r w:rsidRPr="001A313E">
        <w:rPr>
          <w:rFonts w:eastAsia="標楷體" w:hint="eastAsia"/>
          <w:bCs/>
          <w:sz w:val="28"/>
          <w:szCs w:val="28"/>
        </w:rPr>
        <w:t>月成立精神健康檢討委員會，檢討精神健康政策和服務。檢討於</w:t>
      </w:r>
      <w:r w:rsidRPr="001A313E">
        <w:rPr>
          <w:rFonts w:eastAsia="標楷體"/>
          <w:bCs/>
          <w:sz w:val="28"/>
          <w:szCs w:val="28"/>
        </w:rPr>
        <w:t>2017</w:t>
      </w:r>
      <w:r w:rsidRPr="001A313E">
        <w:rPr>
          <w:rFonts w:eastAsia="標楷體" w:hint="eastAsia"/>
          <w:bCs/>
          <w:sz w:val="28"/>
          <w:szCs w:val="28"/>
        </w:rPr>
        <w:t>年</w:t>
      </w:r>
      <w:r w:rsidRPr="001A313E">
        <w:rPr>
          <w:rFonts w:eastAsia="標楷體"/>
          <w:bCs/>
          <w:sz w:val="28"/>
          <w:szCs w:val="28"/>
        </w:rPr>
        <w:t>4</w:t>
      </w:r>
      <w:r w:rsidRPr="001A313E">
        <w:rPr>
          <w:rFonts w:eastAsia="標楷體" w:hint="eastAsia"/>
          <w:bCs/>
          <w:sz w:val="28"/>
          <w:szCs w:val="28"/>
        </w:rPr>
        <w:t>月完成，並出版《精神健康檢討報告》</w:t>
      </w:r>
      <w:r>
        <w:rPr>
          <w:rFonts w:eastAsia="標楷體"/>
          <w:bCs/>
          <w:sz w:val="28"/>
          <w:szCs w:val="28"/>
        </w:rPr>
        <w:t>‍</w:t>
      </w:r>
      <w:r>
        <w:rPr>
          <w:rStyle w:val="a9"/>
          <w:rFonts w:eastAsia="標楷體"/>
          <w:bCs/>
          <w:sz w:val="28"/>
          <w:szCs w:val="28"/>
        </w:rPr>
        <w:footnoteReference w:id="4"/>
      </w:r>
      <w:r w:rsidRPr="001A313E">
        <w:rPr>
          <w:rFonts w:eastAsia="標楷體" w:hint="eastAsia"/>
          <w:bCs/>
          <w:sz w:val="28"/>
          <w:szCs w:val="28"/>
        </w:rPr>
        <w:t>。《報告》列出</w:t>
      </w:r>
      <w:r w:rsidRPr="001A313E">
        <w:rPr>
          <w:rFonts w:eastAsia="標楷體"/>
          <w:bCs/>
          <w:sz w:val="28"/>
          <w:szCs w:val="28"/>
        </w:rPr>
        <w:t>40</w:t>
      </w:r>
      <w:r w:rsidRPr="001A313E">
        <w:rPr>
          <w:rFonts w:eastAsia="標楷體" w:hint="eastAsia"/>
          <w:bCs/>
          <w:sz w:val="28"/>
          <w:szCs w:val="28"/>
        </w:rPr>
        <w:t>項改善精神健康服務的建議，涵蓋</w:t>
      </w:r>
      <w:r w:rsidRPr="001A313E">
        <w:rPr>
          <w:rFonts w:eastAsia="標楷體"/>
          <w:bCs/>
          <w:sz w:val="28"/>
          <w:szCs w:val="28"/>
        </w:rPr>
        <w:t>20</w:t>
      </w:r>
      <w:r w:rsidRPr="001A313E">
        <w:rPr>
          <w:rFonts w:eastAsia="標楷體" w:hint="eastAsia"/>
          <w:bCs/>
          <w:sz w:val="28"/>
          <w:szCs w:val="28"/>
        </w:rPr>
        <w:t>個範疇</w:t>
      </w:r>
      <w:r>
        <w:rPr>
          <w:rFonts w:eastAsia="標楷體" w:hint="eastAsia"/>
          <w:bCs/>
          <w:sz w:val="28"/>
          <w:szCs w:val="28"/>
        </w:rPr>
        <w:t>，</w:t>
      </w:r>
      <w:r w:rsidRPr="00234323">
        <w:rPr>
          <w:rFonts w:eastAsia="標楷體" w:hint="eastAsia"/>
          <w:bCs/>
          <w:sz w:val="28"/>
          <w:szCs w:val="28"/>
        </w:rPr>
        <w:t>其中一個主要建議是成立常設的精神健康諮詢委員會，作為平台以跟進《報告》的落實情況。政府</w:t>
      </w:r>
      <w:r>
        <w:rPr>
          <w:rFonts w:eastAsia="標楷體" w:hint="eastAsia"/>
          <w:bCs/>
          <w:sz w:val="28"/>
          <w:szCs w:val="28"/>
          <w:lang w:eastAsia="zh-HK"/>
        </w:rPr>
        <w:t>已</w:t>
      </w:r>
      <w:r w:rsidRPr="00234323">
        <w:rPr>
          <w:rFonts w:eastAsia="標楷體" w:hint="eastAsia"/>
          <w:bCs/>
          <w:sz w:val="28"/>
          <w:szCs w:val="28"/>
        </w:rPr>
        <w:t>於</w:t>
      </w:r>
      <w:r w:rsidRPr="00234323">
        <w:rPr>
          <w:rFonts w:eastAsia="標楷體"/>
          <w:bCs/>
          <w:sz w:val="28"/>
          <w:szCs w:val="28"/>
        </w:rPr>
        <w:t>2017</w:t>
      </w:r>
      <w:r w:rsidRPr="00234323">
        <w:rPr>
          <w:rFonts w:eastAsia="標楷體" w:hint="eastAsia"/>
          <w:bCs/>
          <w:sz w:val="28"/>
          <w:szCs w:val="28"/>
        </w:rPr>
        <w:t>年</w:t>
      </w:r>
      <w:r w:rsidRPr="00234323">
        <w:rPr>
          <w:rFonts w:eastAsia="標楷體"/>
          <w:bCs/>
          <w:sz w:val="28"/>
          <w:szCs w:val="28"/>
        </w:rPr>
        <w:t>12</w:t>
      </w:r>
      <w:r w:rsidRPr="00234323">
        <w:rPr>
          <w:rFonts w:eastAsia="標楷體" w:hint="eastAsia"/>
          <w:bCs/>
          <w:sz w:val="28"/>
          <w:szCs w:val="28"/>
        </w:rPr>
        <w:t>月成立精神健康諮詢委員會</w:t>
      </w:r>
      <w:r>
        <w:rPr>
          <w:rFonts w:eastAsia="標楷體" w:hint="eastAsia"/>
          <w:bCs/>
          <w:sz w:val="28"/>
          <w:szCs w:val="28"/>
          <w:lang w:eastAsia="zh-HK"/>
        </w:rPr>
        <w:t>，</w:t>
      </w:r>
      <w:r w:rsidRPr="00234323">
        <w:rPr>
          <w:rFonts w:eastAsia="標楷體" w:hint="eastAsia"/>
          <w:bCs/>
          <w:sz w:val="28"/>
          <w:szCs w:val="28"/>
        </w:rPr>
        <w:t>委員包括醫療、社會服務及教育界、患者及照顧者組織代表，以及關注精神健康課題的非業界人士</w:t>
      </w:r>
      <w:r>
        <w:rPr>
          <w:rFonts w:eastAsia="標楷體" w:hint="eastAsia"/>
          <w:bCs/>
          <w:sz w:val="28"/>
          <w:szCs w:val="28"/>
          <w:lang w:eastAsia="zh-HK"/>
        </w:rPr>
        <w:t>，</w:t>
      </w:r>
      <w:r w:rsidRPr="00234323">
        <w:rPr>
          <w:rFonts w:eastAsia="標楷體" w:hint="eastAsia"/>
          <w:bCs/>
          <w:sz w:val="28"/>
          <w:szCs w:val="28"/>
        </w:rPr>
        <w:t>就精神健康政策向政府提供意見，包括以更綜合及全面的方式處理與精神健康有關的事宜。</w:t>
      </w:r>
    </w:p>
    <w:p w:rsidR="006D2061" w:rsidRDefault="006D2061" w:rsidP="008375BB">
      <w:pPr>
        <w:pStyle w:val="2"/>
        <w:tabs>
          <w:tab w:val="left" w:pos="1440"/>
          <w:tab w:val="left" w:pos="1680"/>
        </w:tabs>
        <w:adjustRightInd w:val="0"/>
        <w:snapToGrid w:val="0"/>
        <w:spacing w:after="0" w:line="400" w:lineRule="atLeast"/>
        <w:jc w:val="both"/>
        <w:rPr>
          <w:rFonts w:eastAsia="標楷體"/>
          <w:bCs/>
          <w:sz w:val="28"/>
          <w:szCs w:val="28"/>
        </w:rPr>
      </w:pP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12</w:t>
      </w:r>
      <w:r>
        <w:rPr>
          <w:rFonts w:eastAsia="標楷體"/>
          <w:sz w:val="28"/>
          <w:szCs w:val="28"/>
        </w:rPr>
        <w:t>.</w:t>
      </w:r>
      <w:r>
        <w:rPr>
          <w:rFonts w:eastAsia="標楷體" w:hint="eastAsia"/>
          <w:sz w:val="28"/>
          <w:szCs w:val="28"/>
        </w:rPr>
        <w:t>26</w:t>
      </w:r>
      <w:r>
        <w:rPr>
          <w:rFonts w:eastAsia="標楷體"/>
          <w:sz w:val="28"/>
          <w:szCs w:val="28"/>
        </w:rPr>
        <w:tab/>
      </w:r>
      <w:r w:rsidRPr="00234323">
        <w:rPr>
          <w:rFonts w:eastAsia="標楷體" w:hint="eastAsia"/>
          <w:sz w:val="28"/>
          <w:szCs w:val="28"/>
        </w:rPr>
        <w:t>醫管局自</w:t>
      </w:r>
      <w:r w:rsidRPr="00234323">
        <w:rPr>
          <w:rFonts w:eastAsia="標楷體"/>
          <w:sz w:val="28"/>
          <w:szCs w:val="28"/>
        </w:rPr>
        <w:t>2010-11</w:t>
      </w:r>
      <w:r w:rsidRPr="00234323">
        <w:rPr>
          <w:rFonts w:eastAsia="標楷體" w:hint="eastAsia"/>
          <w:sz w:val="28"/>
          <w:szCs w:val="28"/>
        </w:rPr>
        <w:t>財政年度起為嚴重精神病患者推出個案管理計劃。在該計劃下，個案經理（包括精神科護士、職業治療師及醫務社會工作者）會與其他服務提供者合作，為嚴重精神病患者提供深入、持續和個人化的支援。醫管局現正改善該計劃下個案經理與病人間的比例，以期提供更適切的服務。</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DD7A23" w:rsidRDefault="006D2061" w:rsidP="008375BB">
      <w:pPr>
        <w:pStyle w:val="2"/>
        <w:keepNext/>
        <w:tabs>
          <w:tab w:val="left" w:pos="1440"/>
          <w:tab w:val="left" w:pos="1680"/>
        </w:tabs>
        <w:adjustRightInd w:val="0"/>
        <w:snapToGrid w:val="0"/>
        <w:spacing w:after="0" w:line="400" w:lineRule="atLeast"/>
        <w:jc w:val="both"/>
        <w:rPr>
          <w:rFonts w:eastAsia="標楷體"/>
          <w:b/>
          <w:sz w:val="28"/>
          <w:szCs w:val="28"/>
        </w:rPr>
      </w:pPr>
      <w:r w:rsidRPr="00DD7A23">
        <w:rPr>
          <w:rFonts w:eastAsia="標楷體" w:hint="eastAsia"/>
          <w:b/>
          <w:sz w:val="28"/>
          <w:szCs w:val="28"/>
        </w:rPr>
        <w:lastRenderedPageBreak/>
        <w:t>環境及工業衞生</w:t>
      </w:r>
    </w:p>
    <w:p w:rsidR="006D2061" w:rsidRPr="00DD7A23"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4F23B5" w:rsidRDefault="006D2061" w:rsidP="008375BB">
      <w:pPr>
        <w:pStyle w:val="2"/>
        <w:tabs>
          <w:tab w:val="left" w:pos="1440"/>
          <w:tab w:val="left" w:pos="1680"/>
        </w:tabs>
        <w:adjustRightInd w:val="0"/>
        <w:snapToGrid w:val="0"/>
        <w:spacing w:after="0" w:line="400" w:lineRule="atLeast"/>
        <w:jc w:val="both"/>
        <w:rPr>
          <w:rFonts w:eastAsia="標楷體"/>
          <w:spacing w:val="2"/>
          <w:sz w:val="28"/>
          <w:szCs w:val="28"/>
          <w:lang w:eastAsia="zh-HK"/>
        </w:rPr>
      </w:pPr>
      <w:r w:rsidRPr="00DD7A23">
        <w:rPr>
          <w:rFonts w:eastAsia="標楷體"/>
          <w:sz w:val="28"/>
          <w:szCs w:val="28"/>
        </w:rPr>
        <w:t>12.</w:t>
      </w:r>
      <w:r>
        <w:rPr>
          <w:rFonts w:eastAsia="標楷體" w:hint="eastAsia"/>
          <w:sz w:val="28"/>
          <w:szCs w:val="28"/>
        </w:rPr>
        <w:t>27</w:t>
      </w:r>
      <w:r w:rsidRPr="00DD7A23">
        <w:rPr>
          <w:rFonts w:eastAsia="標楷體"/>
          <w:sz w:val="28"/>
          <w:szCs w:val="28"/>
        </w:rPr>
        <w:tab/>
      </w:r>
      <w:r w:rsidRPr="004F23B5">
        <w:rPr>
          <w:rFonts w:eastAsia="標楷體" w:hint="eastAsia"/>
          <w:spacing w:val="2"/>
          <w:sz w:val="28"/>
          <w:szCs w:val="28"/>
        </w:rPr>
        <w:t>政府致力建造可持續及健康的生活環境。</w:t>
      </w:r>
      <w:r w:rsidRPr="004F23B5">
        <w:rPr>
          <w:rFonts w:eastAsia="標楷體" w:hint="eastAsia"/>
          <w:spacing w:val="2"/>
          <w:sz w:val="28"/>
          <w:szCs w:val="28"/>
          <w:lang w:eastAsia="zh-HK"/>
        </w:rPr>
        <w:t>有關水污</w:t>
      </w:r>
      <w:r w:rsidRPr="004F23B5">
        <w:rPr>
          <w:rFonts w:eastAsia="標楷體" w:hint="eastAsia"/>
          <w:spacing w:val="2"/>
          <w:sz w:val="28"/>
          <w:szCs w:val="28"/>
        </w:rPr>
        <w:t>染</w:t>
      </w:r>
      <w:r w:rsidRPr="004F23B5">
        <w:rPr>
          <w:rFonts w:eastAsia="標楷體" w:hint="eastAsia"/>
          <w:spacing w:val="2"/>
          <w:sz w:val="28"/>
          <w:szCs w:val="28"/>
          <w:lang w:eastAsia="zh-HK"/>
        </w:rPr>
        <w:t>管制、廢物管理、空</w:t>
      </w:r>
      <w:r w:rsidRPr="004F23B5">
        <w:rPr>
          <w:rFonts w:eastAsia="標楷體" w:hint="eastAsia"/>
          <w:spacing w:val="2"/>
          <w:sz w:val="28"/>
          <w:szCs w:val="28"/>
        </w:rPr>
        <w:t>氣</w:t>
      </w:r>
      <w:r w:rsidRPr="004F23B5">
        <w:rPr>
          <w:rFonts w:eastAsia="標楷體" w:hint="eastAsia"/>
          <w:spacing w:val="2"/>
          <w:sz w:val="28"/>
          <w:szCs w:val="28"/>
          <w:lang w:eastAsia="zh-HK"/>
        </w:rPr>
        <w:t>污</w:t>
      </w:r>
      <w:r w:rsidRPr="004F23B5">
        <w:rPr>
          <w:rFonts w:eastAsia="標楷體" w:hint="eastAsia"/>
          <w:spacing w:val="2"/>
          <w:sz w:val="28"/>
          <w:szCs w:val="28"/>
        </w:rPr>
        <w:t>染</w:t>
      </w:r>
      <w:r w:rsidRPr="004F23B5">
        <w:rPr>
          <w:rFonts w:eastAsia="標楷體" w:hint="eastAsia"/>
          <w:spacing w:val="2"/>
          <w:sz w:val="28"/>
          <w:szCs w:val="28"/>
          <w:lang w:eastAsia="zh-HK"/>
        </w:rPr>
        <w:t>管制、噪音管制及環</w:t>
      </w:r>
      <w:r w:rsidRPr="004F23B5">
        <w:rPr>
          <w:rFonts w:eastAsia="標楷體" w:hint="eastAsia"/>
          <w:spacing w:val="2"/>
          <w:sz w:val="28"/>
          <w:szCs w:val="28"/>
        </w:rPr>
        <w:t>保</w:t>
      </w:r>
      <w:r w:rsidRPr="004F23B5">
        <w:rPr>
          <w:rFonts w:eastAsia="標楷體" w:hint="eastAsia"/>
          <w:spacing w:val="2"/>
          <w:sz w:val="28"/>
          <w:szCs w:val="28"/>
          <w:lang w:eastAsia="zh-HK"/>
        </w:rPr>
        <w:t>教</w:t>
      </w:r>
      <w:r w:rsidRPr="004F23B5">
        <w:rPr>
          <w:rFonts w:eastAsia="標楷體" w:hint="eastAsia"/>
          <w:spacing w:val="2"/>
          <w:sz w:val="28"/>
          <w:szCs w:val="28"/>
        </w:rPr>
        <w:t>育</w:t>
      </w:r>
      <w:r w:rsidRPr="004F23B5">
        <w:rPr>
          <w:rFonts w:eastAsia="標楷體" w:hint="eastAsia"/>
          <w:spacing w:val="2"/>
          <w:sz w:val="28"/>
          <w:szCs w:val="28"/>
          <w:lang w:eastAsia="zh-HK"/>
        </w:rPr>
        <w:t>等相關工</w:t>
      </w:r>
      <w:r w:rsidRPr="004F23B5">
        <w:rPr>
          <w:rFonts w:eastAsia="標楷體" w:hint="eastAsia"/>
          <w:spacing w:val="2"/>
          <w:sz w:val="28"/>
          <w:szCs w:val="28"/>
        </w:rPr>
        <w:t>作</w:t>
      </w:r>
      <w:r w:rsidRPr="004F23B5">
        <w:rPr>
          <w:rFonts w:eastAsia="標楷體" w:hint="eastAsia"/>
          <w:spacing w:val="2"/>
          <w:sz w:val="28"/>
          <w:szCs w:val="28"/>
          <w:lang w:eastAsia="zh-HK"/>
        </w:rPr>
        <w:t>詳情見</w:t>
      </w:r>
      <w:r w:rsidRPr="004F23B5">
        <w:rPr>
          <w:rFonts w:eastAsia="標楷體" w:hint="eastAsia"/>
          <w:b/>
          <w:spacing w:val="2"/>
          <w:sz w:val="28"/>
          <w:szCs w:val="28"/>
          <w:lang w:eastAsia="zh-HK"/>
        </w:rPr>
        <w:t>附件</w:t>
      </w:r>
      <w:r w:rsidRPr="004F23B5">
        <w:rPr>
          <w:rFonts w:eastAsia="標楷體" w:hint="eastAsia"/>
          <w:b/>
          <w:spacing w:val="2"/>
          <w:sz w:val="28"/>
          <w:szCs w:val="28"/>
        </w:rPr>
        <w:t>12G</w:t>
      </w:r>
      <w:r w:rsidRPr="004F23B5">
        <w:rPr>
          <w:rFonts w:eastAsia="標楷體" w:hint="eastAsia"/>
          <w:spacing w:val="2"/>
          <w:sz w:val="28"/>
          <w:szCs w:val="28"/>
          <w:lang w:eastAsia="zh-HK"/>
        </w:rPr>
        <w:t>。</w:t>
      </w:r>
    </w:p>
    <w:p w:rsidR="006D2061"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b/>
          <w:sz w:val="28"/>
          <w:szCs w:val="28"/>
        </w:rPr>
      </w:pPr>
      <w:r w:rsidRPr="00AF4AAD">
        <w:rPr>
          <w:rFonts w:eastAsia="標楷體" w:hint="eastAsia"/>
          <w:b/>
          <w:sz w:val="28"/>
          <w:szCs w:val="28"/>
        </w:rPr>
        <w:t>職業健康</w:t>
      </w:r>
    </w:p>
    <w:p w:rsidR="006D2061" w:rsidRPr="00AF4AAD" w:rsidRDefault="006D2061" w:rsidP="008375BB">
      <w:pPr>
        <w:pStyle w:val="2"/>
        <w:tabs>
          <w:tab w:val="left" w:pos="1440"/>
          <w:tab w:val="left" w:pos="1680"/>
        </w:tabs>
        <w:adjustRightInd w:val="0"/>
        <w:snapToGrid w:val="0"/>
        <w:spacing w:after="0" w:line="400" w:lineRule="atLeast"/>
        <w:jc w:val="both"/>
        <w:rPr>
          <w:rFonts w:eastAsia="標楷體"/>
          <w:sz w:val="28"/>
          <w:szCs w:val="28"/>
        </w:rPr>
      </w:pPr>
    </w:p>
    <w:p w:rsidR="006D2061" w:rsidRPr="001A313E" w:rsidRDefault="006D2061" w:rsidP="008375BB">
      <w:pPr>
        <w:pStyle w:val="2"/>
        <w:tabs>
          <w:tab w:val="left" w:pos="1440"/>
          <w:tab w:val="left" w:pos="1680"/>
        </w:tabs>
        <w:adjustRightInd w:val="0"/>
        <w:snapToGrid w:val="0"/>
        <w:spacing w:after="0" w:line="400" w:lineRule="atLeast"/>
        <w:jc w:val="both"/>
        <w:rPr>
          <w:rFonts w:eastAsia="標楷體"/>
          <w:sz w:val="28"/>
          <w:szCs w:val="28"/>
        </w:rPr>
      </w:pPr>
      <w:r w:rsidRPr="00AF4AAD">
        <w:rPr>
          <w:rFonts w:eastAsia="標楷體"/>
          <w:sz w:val="28"/>
          <w:szCs w:val="28"/>
        </w:rPr>
        <w:t>12.</w:t>
      </w:r>
      <w:r>
        <w:rPr>
          <w:rFonts w:eastAsia="標楷體" w:hint="eastAsia"/>
          <w:sz w:val="28"/>
          <w:szCs w:val="28"/>
        </w:rPr>
        <w:t>28</w:t>
      </w:r>
      <w:r w:rsidRPr="00AF4AAD">
        <w:rPr>
          <w:rFonts w:eastAsia="標楷體"/>
          <w:sz w:val="28"/>
          <w:szCs w:val="28"/>
        </w:rPr>
        <w:tab/>
      </w:r>
      <w:r w:rsidRPr="00AF4AAD">
        <w:rPr>
          <w:rFonts w:eastAsia="標楷體" w:hint="eastAsia"/>
          <w:sz w:val="28"/>
          <w:szCs w:val="28"/>
        </w:rPr>
        <w:t>勞工處職業健康服務透過巡查執法、宣傳推廣、教育培訓以及臨床職業健康服務繼續維持及促進僱員的職業健康。我們亦會因應當前職業健康狀况，不時調整職業健康的策略。</w:t>
      </w:r>
    </w:p>
    <w:p w:rsidR="00F82C75" w:rsidRPr="00F82C75" w:rsidRDefault="00F82C75">
      <w:pPr>
        <w:widowControl/>
        <w:rPr>
          <w:szCs w:val="28"/>
        </w:rPr>
      </w:pPr>
      <w:r w:rsidRPr="00F82C75">
        <w:rPr>
          <w:szCs w:val="28"/>
        </w:rPr>
        <w:br w:type="page"/>
      </w:r>
    </w:p>
    <w:p w:rsidR="006D2061" w:rsidRPr="0071332D" w:rsidRDefault="006D2061" w:rsidP="008375BB">
      <w:pPr>
        <w:tabs>
          <w:tab w:val="left" w:pos="1440"/>
        </w:tabs>
        <w:adjustRightInd w:val="0"/>
        <w:snapToGrid w:val="0"/>
        <w:spacing w:line="400" w:lineRule="atLeast"/>
        <w:jc w:val="both"/>
        <w:rPr>
          <w:szCs w:val="28"/>
        </w:rPr>
      </w:pPr>
      <w:r w:rsidRPr="0071332D">
        <w:rPr>
          <w:b/>
          <w:szCs w:val="28"/>
          <w:u w:val="single"/>
        </w:rPr>
        <w:lastRenderedPageBreak/>
        <w:t>第</w:t>
      </w:r>
      <w:r>
        <w:rPr>
          <w:rFonts w:hint="eastAsia"/>
          <w:b/>
          <w:szCs w:val="28"/>
          <w:u w:val="single"/>
          <w:lang w:eastAsia="zh-HK"/>
        </w:rPr>
        <w:t>十三</w:t>
      </w:r>
      <w:r w:rsidRPr="0071332D">
        <w:rPr>
          <w:b/>
          <w:szCs w:val="28"/>
          <w:u w:val="single"/>
        </w:rPr>
        <w:t>至</w:t>
      </w:r>
      <w:r>
        <w:rPr>
          <w:rFonts w:hint="eastAsia"/>
          <w:b/>
          <w:szCs w:val="28"/>
          <w:u w:val="single"/>
          <w:lang w:eastAsia="zh-HK"/>
        </w:rPr>
        <w:t>十四</w:t>
      </w:r>
      <w:r w:rsidRPr="0071332D">
        <w:rPr>
          <w:b/>
          <w:szCs w:val="28"/>
          <w:u w:val="single"/>
        </w:rPr>
        <w:t>條：接受教育的權利</w:t>
      </w:r>
    </w:p>
    <w:p w:rsidR="006D2061" w:rsidRPr="0071332D" w:rsidRDefault="006D2061" w:rsidP="008375BB">
      <w:pPr>
        <w:tabs>
          <w:tab w:val="left" w:pos="1440"/>
        </w:tabs>
        <w:adjustRightInd w:val="0"/>
        <w:snapToGrid w:val="0"/>
        <w:spacing w:line="400" w:lineRule="atLeast"/>
        <w:jc w:val="both"/>
        <w:rPr>
          <w:szCs w:val="28"/>
        </w:rPr>
      </w:pPr>
    </w:p>
    <w:p w:rsidR="006D2061" w:rsidRPr="0071332D" w:rsidRDefault="006D2061" w:rsidP="008375BB">
      <w:pPr>
        <w:tabs>
          <w:tab w:val="left" w:pos="1440"/>
        </w:tabs>
        <w:adjustRightInd w:val="0"/>
        <w:snapToGrid w:val="0"/>
        <w:spacing w:line="400" w:lineRule="atLeast"/>
        <w:jc w:val="both"/>
        <w:rPr>
          <w:szCs w:val="28"/>
        </w:rPr>
      </w:pPr>
      <w:r w:rsidRPr="0071332D">
        <w:rPr>
          <w:szCs w:val="28"/>
        </w:rPr>
        <w:t>13.1</w:t>
      </w:r>
      <w:r w:rsidRPr="0071332D">
        <w:rPr>
          <w:szCs w:val="28"/>
        </w:rPr>
        <w:tab/>
      </w:r>
      <w:r w:rsidRPr="0071332D">
        <w:rPr>
          <w:szCs w:val="28"/>
        </w:rPr>
        <w:t>憲制上的情況與第一次報告第</w:t>
      </w:r>
      <w:r w:rsidRPr="0071332D">
        <w:rPr>
          <w:szCs w:val="28"/>
        </w:rPr>
        <w:t>497</w:t>
      </w:r>
      <w:r w:rsidRPr="0071332D">
        <w:rPr>
          <w:szCs w:val="28"/>
        </w:rPr>
        <w:t>段所述的相同。教育仍是政府最優先處理的工作之一。有關教育程度的指標見</w:t>
      </w:r>
      <w:r w:rsidRPr="00825A82">
        <w:rPr>
          <w:b/>
          <w:szCs w:val="28"/>
        </w:rPr>
        <w:t>附</w:t>
      </w:r>
      <w:r>
        <w:rPr>
          <w:b/>
          <w:szCs w:val="28"/>
        </w:rPr>
        <w:t>‍</w:t>
      </w:r>
      <w:r w:rsidRPr="00825A82">
        <w:rPr>
          <w:b/>
          <w:szCs w:val="28"/>
        </w:rPr>
        <w:t>件</w:t>
      </w:r>
      <w:r>
        <w:rPr>
          <w:b/>
          <w:szCs w:val="28"/>
        </w:rPr>
        <w:t>‍</w:t>
      </w:r>
      <w:r w:rsidRPr="00825A82">
        <w:rPr>
          <w:rFonts w:hint="eastAsia"/>
          <w:b/>
          <w:szCs w:val="28"/>
        </w:rPr>
        <w:t>13A</w:t>
      </w:r>
      <w:r w:rsidRPr="0071332D">
        <w:rPr>
          <w:szCs w:val="28"/>
        </w:rPr>
        <w:t>。教育繼續在每年的財政預算內獲得最多撥款。在</w:t>
      </w:r>
      <w:r w:rsidRPr="0071332D">
        <w:rPr>
          <w:szCs w:val="28"/>
        </w:rPr>
        <w:t>20</w:t>
      </w:r>
      <w:r>
        <w:rPr>
          <w:szCs w:val="28"/>
        </w:rPr>
        <w:t>18</w:t>
      </w:r>
      <w:r w:rsidRPr="0071332D">
        <w:rPr>
          <w:szCs w:val="28"/>
        </w:rPr>
        <w:t>-1</w:t>
      </w:r>
      <w:r>
        <w:rPr>
          <w:szCs w:val="28"/>
        </w:rPr>
        <w:t>9</w:t>
      </w:r>
      <w:r w:rsidRPr="0071332D">
        <w:rPr>
          <w:szCs w:val="28"/>
        </w:rPr>
        <w:t>財政年度開支總額為</w:t>
      </w:r>
      <w:r>
        <w:rPr>
          <w:rFonts w:hint="eastAsia"/>
          <w:szCs w:val="28"/>
        </w:rPr>
        <w:t>1</w:t>
      </w:r>
      <w:r>
        <w:rPr>
          <w:szCs w:val="28"/>
        </w:rPr>
        <w:t>,</w:t>
      </w:r>
      <w:r>
        <w:rPr>
          <w:rFonts w:hint="eastAsia"/>
          <w:szCs w:val="28"/>
        </w:rPr>
        <w:t>137</w:t>
      </w:r>
      <w:r w:rsidRPr="0071332D">
        <w:rPr>
          <w:szCs w:val="28"/>
        </w:rPr>
        <w:t>億元，</w:t>
      </w:r>
      <w:r>
        <w:rPr>
          <w:rFonts w:hint="eastAsia"/>
          <w:szCs w:val="28"/>
          <w:lang w:eastAsia="zh-HK"/>
        </w:rPr>
        <w:t>而</w:t>
      </w:r>
      <w:r w:rsidRPr="0071332D">
        <w:rPr>
          <w:szCs w:val="28"/>
        </w:rPr>
        <w:t>20</w:t>
      </w:r>
      <w:r>
        <w:rPr>
          <w:szCs w:val="28"/>
        </w:rPr>
        <w:t>09</w:t>
      </w:r>
      <w:r w:rsidRPr="0071332D">
        <w:rPr>
          <w:rFonts w:hint="eastAsia"/>
          <w:szCs w:val="28"/>
        </w:rPr>
        <w:t>-</w:t>
      </w:r>
      <w:r>
        <w:rPr>
          <w:szCs w:val="28"/>
        </w:rPr>
        <w:t>10</w:t>
      </w:r>
      <w:r w:rsidRPr="0071332D">
        <w:rPr>
          <w:szCs w:val="28"/>
        </w:rPr>
        <w:t>年度的相應數字為</w:t>
      </w:r>
      <w:r w:rsidRPr="0071332D">
        <w:rPr>
          <w:szCs w:val="28"/>
        </w:rPr>
        <w:t>61</w:t>
      </w:r>
      <w:r>
        <w:rPr>
          <w:szCs w:val="28"/>
        </w:rPr>
        <w:t>7</w:t>
      </w:r>
      <w:r w:rsidRPr="0071332D">
        <w:rPr>
          <w:szCs w:val="28"/>
        </w:rPr>
        <w:t>億元。</w:t>
      </w:r>
    </w:p>
    <w:p w:rsidR="006D2061" w:rsidRPr="0071332D" w:rsidRDefault="006D2061" w:rsidP="008375BB">
      <w:pPr>
        <w:tabs>
          <w:tab w:val="left" w:pos="1440"/>
        </w:tabs>
        <w:adjustRightInd w:val="0"/>
        <w:snapToGrid w:val="0"/>
        <w:spacing w:line="400" w:lineRule="atLeast"/>
        <w:jc w:val="both"/>
        <w:rPr>
          <w:b/>
          <w:szCs w:val="28"/>
        </w:rPr>
      </w:pPr>
    </w:p>
    <w:p w:rsidR="006D2061" w:rsidRPr="00F25DFA" w:rsidRDefault="006D2061" w:rsidP="008375BB">
      <w:pPr>
        <w:widowControl/>
        <w:tabs>
          <w:tab w:val="left" w:pos="1440"/>
        </w:tabs>
        <w:adjustRightInd w:val="0"/>
        <w:snapToGrid w:val="0"/>
        <w:spacing w:line="400" w:lineRule="atLeast"/>
        <w:jc w:val="both"/>
        <w:rPr>
          <w:b/>
          <w:szCs w:val="28"/>
        </w:rPr>
      </w:pPr>
      <w:r>
        <w:rPr>
          <w:szCs w:val="28"/>
        </w:rPr>
        <w:t>13.2</w:t>
      </w:r>
      <w:r w:rsidRPr="0071332D">
        <w:rPr>
          <w:szCs w:val="28"/>
        </w:rPr>
        <w:tab/>
      </w:r>
      <w:r>
        <w:rPr>
          <w:rFonts w:hint="eastAsia"/>
          <w:szCs w:val="28"/>
          <w:lang w:eastAsia="zh-HK"/>
        </w:rPr>
        <w:t>有關幼</w:t>
      </w:r>
      <w:r>
        <w:rPr>
          <w:rFonts w:hint="eastAsia"/>
          <w:szCs w:val="28"/>
        </w:rPr>
        <w:t>稚園</w:t>
      </w:r>
      <w:r>
        <w:rPr>
          <w:rFonts w:hint="eastAsia"/>
          <w:szCs w:val="28"/>
          <w:lang w:eastAsia="zh-HK"/>
        </w:rPr>
        <w:t>教</w:t>
      </w:r>
      <w:r>
        <w:rPr>
          <w:rFonts w:hint="eastAsia"/>
          <w:szCs w:val="28"/>
        </w:rPr>
        <w:t>育</w:t>
      </w:r>
      <w:r>
        <w:rPr>
          <w:rFonts w:hint="eastAsia"/>
          <w:szCs w:val="28"/>
          <w:lang w:eastAsia="zh-HK"/>
        </w:rPr>
        <w:t>、中小學教</w:t>
      </w:r>
      <w:r>
        <w:rPr>
          <w:rFonts w:hint="eastAsia"/>
          <w:szCs w:val="28"/>
        </w:rPr>
        <w:t>育</w:t>
      </w:r>
      <w:r>
        <w:rPr>
          <w:rFonts w:hint="eastAsia"/>
          <w:szCs w:val="28"/>
          <w:lang w:eastAsia="zh-HK"/>
        </w:rPr>
        <w:t>、職</w:t>
      </w:r>
      <w:r>
        <w:rPr>
          <w:rFonts w:hint="eastAsia"/>
          <w:szCs w:val="28"/>
        </w:rPr>
        <w:t>業</w:t>
      </w:r>
      <w:r>
        <w:rPr>
          <w:rFonts w:hint="eastAsia"/>
          <w:szCs w:val="28"/>
          <w:lang w:eastAsia="zh-HK"/>
        </w:rPr>
        <w:t>專</w:t>
      </w:r>
      <w:r>
        <w:rPr>
          <w:rFonts w:hint="eastAsia"/>
          <w:szCs w:val="28"/>
        </w:rPr>
        <w:t>才</w:t>
      </w:r>
      <w:r>
        <w:rPr>
          <w:rFonts w:hint="eastAsia"/>
          <w:szCs w:val="28"/>
          <w:lang w:eastAsia="zh-HK"/>
        </w:rPr>
        <w:t>教</w:t>
      </w:r>
      <w:r>
        <w:rPr>
          <w:rFonts w:hint="eastAsia"/>
          <w:szCs w:val="28"/>
        </w:rPr>
        <w:t>育</w:t>
      </w:r>
      <w:r>
        <w:rPr>
          <w:rFonts w:hint="eastAsia"/>
          <w:szCs w:val="28"/>
          <w:lang w:eastAsia="zh-HK"/>
        </w:rPr>
        <w:t>、私立學校、專上教</w:t>
      </w:r>
      <w:r>
        <w:rPr>
          <w:rFonts w:hint="eastAsia"/>
          <w:szCs w:val="28"/>
        </w:rPr>
        <w:t>育、</w:t>
      </w:r>
      <w:r>
        <w:rPr>
          <w:rFonts w:hint="eastAsia"/>
          <w:szCs w:val="28"/>
          <w:lang w:eastAsia="zh-HK"/>
        </w:rPr>
        <w:t>成人教</w:t>
      </w:r>
      <w:r>
        <w:rPr>
          <w:rFonts w:hint="eastAsia"/>
          <w:szCs w:val="28"/>
        </w:rPr>
        <w:t>育、</w:t>
      </w:r>
      <w:r w:rsidRPr="00F25DFA">
        <w:rPr>
          <w:rFonts w:hint="eastAsia"/>
          <w:szCs w:val="28"/>
          <w:lang w:eastAsia="zh-HK"/>
        </w:rPr>
        <w:t>優質教育基金</w:t>
      </w:r>
      <w:r>
        <w:rPr>
          <w:rFonts w:hint="eastAsia"/>
          <w:szCs w:val="28"/>
        </w:rPr>
        <w:t>及</w:t>
      </w:r>
      <w:r w:rsidRPr="00F25DFA">
        <w:rPr>
          <w:rFonts w:hint="eastAsia"/>
          <w:szCs w:val="28"/>
          <w:lang w:eastAsia="zh-HK"/>
        </w:rPr>
        <w:t>資歷架構</w:t>
      </w:r>
      <w:r>
        <w:rPr>
          <w:rFonts w:hint="eastAsia"/>
          <w:szCs w:val="28"/>
          <w:lang w:eastAsia="zh-HK"/>
        </w:rPr>
        <w:t>的情況見</w:t>
      </w:r>
      <w:r w:rsidRPr="007C5C42">
        <w:rPr>
          <w:rFonts w:hint="eastAsia"/>
          <w:b/>
          <w:szCs w:val="28"/>
          <w:lang w:eastAsia="zh-HK"/>
        </w:rPr>
        <w:t>附件</w:t>
      </w:r>
      <w:r w:rsidRPr="007C5C42">
        <w:rPr>
          <w:rFonts w:hint="eastAsia"/>
          <w:b/>
          <w:szCs w:val="28"/>
        </w:rPr>
        <w:t>13B</w:t>
      </w:r>
      <w:r>
        <w:rPr>
          <w:rFonts w:hint="eastAsia"/>
          <w:szCs w:val="28"/>
          <w:lang w:eastAsia="zh-HK"/>
        </w:rPr>
        <w:t>。</w:t>
      </w:r>
    </w:p>
    <w:p w:rsidR="006D2061"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s>
        <w:adjustRightInd w:val="0"/>
        <w:snapToGrid w:val="0"/>
        <w:spacing w:line="400" w:lineRule="atLeast"/>
        <w:jc w:val="both"/>
        <w:rPr>
          <w:szCs w:val="28"/>
          <w:lang w:eastAsia="zh-HK"/>
        </w:rPr>
      </w:pPr>
      <w:r>
        <w:rPr>
          <w:rFonts w:hint="eastAsia"/>
          <w:szCs w:val="28"/>
        </w:rPr>
        <w:t>13.3</w:t>
      </w:r>
      <w:r>
        <w:rPr>
          <w:szCs w:val="28"/>
        </w:rPr>
        <w:tab/>
      </w:r>
      <w:r w:rsidRPr="00AD3737">
        <w:rPr>
          <w:rFonts w:hint="eastAsia"/>
          <w:szCs w:val="28"/>
          <w:lang w:eastAsia="zh-HK"/>
        </w:rPr>
        <w:t>委員會</w:t>
      </w:r>
      <w:r>
        <w:rPr>
          <w:rFonts w:hint="eastAsia"/>
          <w:szCs w:val="28"/>
          <w:lang w:eastAsia="zh-HK"/>
        </w:rPr>
        <w:t>在</w:t>
      </w:r>
      <w:r w:rsidRPr="00AD3737">
        <w:rPr>
          <w:rFonts w:hint="eastAsia"/>
          <w:szCs w:val="28"/>
        </w:rPr>
        <w:t>上次審議結論</w:t>
      </w:r>
      <w:r>
        <w:rPr>
          <w:rFonts w:hint="eastAsia"/>
          <w:szCs w:val="28"/>
          <w:lang w:eastAsia="zh-HK"/>
        </w:rPr>
        <w:t>中就</w:t>
      </w:r>
      <w:r w:rsidRPr="008A1CFF">
        <w:rPr>
          <w:rFonts w:hint="eastAsia"/>
          <w:szCs w:val="28"/>
          <w:lang w:eastAsia="zh-HK"/>
        </w:rPr>
        <w:t>所有</w:t>
      </w:r>
      <w:r>
        <w:rPr>
          <w:rFonts w:hint="eastAsia"/>
          <w:szCs w:val="28"/>
          <w:lang w:eastAsia="zh-HK"/>
        </w:rPr>
        <w:t>包</w:t>
      </w:r>
      <w:r w:rsidRPr="008A1CFF">
        <w:rPr>
          <w:rFonts w:hint="eastAsia"/>
          <w:szCs w:val="28"/>
          <w:lang w:eastAsia="zh-HK"/>
        </w:rPr>
        <w:t>括移民、尋求庇護者、難民及少數族裔的學齡兒童接受教育，以及非華語學生學習中文</w:t>
      </w:r>
      <w:r>
        <w:rPr>
          <w:rFonts w:hint="eastAsia"/>
          <w:szCs w:val="28"/>
          <w:lang w:eastAsia="zh-HK"/>
        </w:rPr>
        <w:t>表達關注</w:t>
      </w:r>
      <w:r w:rsidRPr="00AD3737">
        <w:rPr>
          <w:rFonts w:hint="eastAsia"/>
          <w:szCs w:val="28"/>
          <w:lang w:eastAsia="zh-HK"/>
        </w:rPr>
        <w:t>。</w:t>
      </w:r>
    </w:p>
    <w:p w:rsidR="006D2061" w:rsidRDefault="006D2061" w:rsidP="008375BB">
      <w:pPr>
        <w:tabs>
          <w:tab w:val="left" w:pos="1440"/>
        </w:tabs>
        <w:adjustRightInd w:val="0"/>
        <w:snapToGrid w:val="0"/>
        <w:spacing w:line="400" w:lineRule="atLeast"/>
        <w:jc w:val="both"/>
        <w:rPr>
          <w:szCs w:val="28"/>
        </w:rPr>
      </w:pPr>
    </w:p>
    <w:p w:rsidR="006D2061" w:rsidRDefault="006D2061" w:rsidP="008375BB">
      <w:pPr>
        <w:tabs>
          <w:tab w:val="left" w:pos="1440"/>
        </w:tabs>
        <w:adjustRightInd w:val="0"/>
        <w:snapToGrid w:val="0"/>
        <w:spacing w:line="400" w:lineRule="atLeast"/>
        <w:jc w:val="both"/>
        <w:rPr>
          <w:szCs w:val="28"/>
        </w:rPr>
      </w:pPr>
      <w:r>
        <w:rPr>
          <w:rFonts w:hint="eastAsia"/>
          <w:szCs w:val="28"/>
        </w:rPr>
        <w:t>13.4</w:t>
      </w:r>
      <w:r>
        <w:rPr>
          <w:szCs w:val="28"/>
        </w:rPr>
        <w:tab/>
      </w:r>
      <w:r w:rsidRPr="00AD3737">
        <w:rPr>
          <w:rFonts w:hint="eastAsia"/>
          <w:szCs w:val="28"/>
        </w:rPr>
        <w:t>在現行政策下，若入境事務處對非本地兒童在香港特區接受教育沒有意見，有關兒童便可入讀公營中、小學。教育局會因應個案的情況（如有關兒童的年齡、教育背景等）安排合資格的兒童入讀公營中、小學或為新來港兒童（包括新移民和免遣返聲請人的子女）而設的啟動課程。教育局會繼續提供不同的支援服務，以協助新來港兒童融入本地教育制度及克服學習上的困難。</w:t>
      </w:r>
    </w:p>
    <w:p w:rsidR="006D2061" w:rsidRDefault="006D2061" w:rsidP="008375BB">
      <w:pPr>
        <w:tabs>
          <w:tab w:val="left" w:pos="1440"/>
        </w:tabs>
        <w:adjustRightInd w:val="0"/>
        <w:snapToGrid w:val="0"/>
        <w:spacing w:line="400" w:lineRule="atLeast"/>
        <w:jc w:val="both"/>
        <w:rPr>
          <w:szCs w:val="28"/>
        </w:rPr>
      </w:pPr>
    </w:p>
    <w:p w:rsidR="006D2061" w:rsidRPr="0071332D" w:rsidRDefault="006D2061" w:rsidP="008375BB">
      <w:pPr>
        <w:tabs>
          <w:tab w:val="left" w:pos="1440"/>
        </w:tabs>
        <w:adjustRightInd w:val="0"/>
        <w:snapToGrid w:val="0"/>
        <w:spacing w:line="400" w:lineRule="atLeast"/>
        <w:jc w:val="both"/>
        <w:rPr>
          <w:b/>
          <w:szCs w:val="28"/>
        </w:rPr>
      </w:pPr>
      <w:r w:rsidRPr="0071332D">
        <w:rPr>
          <w:b/>
          <w:szCs w:val="28"/>
        </w:rPr>
        <w:t>語文政</w:t>
      </w:r>
      <w:r w:rsidRPr="0071332D">
        <w:rPr>
          <w:rFonts w:hint="eastAsia"/>
          <w:b/>
          <w:szCs w:val="28"/>
        </w:rPr>
        <w:t>策</w:t>
      </w:r>
    </w:p>
    <w:p w:rsidR="006D2061" w:rsidRDefault="006D2061" w:rsidP="008375BB">
      <w:pPr>
        <w:widowControl/>
        <w:tabs>
          <w:tab w:val="left" w:pos="1440"/>
        </w:tabs>
        <w:adjustRightInd w:val="0"/>
        <w:snapToGrid w:val="0"/>
        <w:spacing w:line="400" w:lineRule="atLeast"/>
        <w:jc w:val="both"/>
        <w:rPr>
          <w:szCs w:val="28"/>
        </w:rPr>
      </w:pPr>
    </w:p>
    <w:p w:rsidR="006D2061" w:rsidRPr="008A1CFF" w:rsidRDefault="006D2061" w:rsidP="008375BB">
      <w:pPr>
        <w:widowControl/>
        <w:tabs>
          <w:tab w:val="left" w:pos="1440"/>
        </w:tabs>
        <w:adjustRightInd w:val="0"/>
        <w:snapToGrid w:val="0"/>
        <w:spacing w:line="400" w:lineRule="atLeast"/>
        <w:jc w:val="both"/>
        <w:rPr>
          <w:rFonts w:eastAsia="DengXian"/>
          <w:szCs w:val="28"/>
          <w:lang w:eastAsia="zh-HK"/>
        </w:rPr>
      </w:pPr>
      <w:r>
        <w:rPr>
          <w:rFonts w:eastAsia="DengXian" w:hint="eastAsia"/>
          <w:szCs w:val="28"/>
        </w:rPr>
        <w:t>13.</w:t>
      </w:r>
      <w:r w:rsidRPr="00F25DFA">
        <w:rPr>
          <w:rFonts w:eastAsia="DengXian" w:hint="eastAsia"/>
          <w:szCs w:val="28"/>
        </w:rPr>
        <w:t>5</w:t>
      </w:r>
      <w:r>
        <w:rPr>
          <w:rFonts w:eastAsia="DengXian" w:hint="eastAsia"/>
          <w:szCs w:val="28"/>
        </w:rPr>
        <w:tab/>
      </w:r>
      <w:r w:rsidRPr="008A1CFF">
        <w:rPr>
          <w:rFonts w:hint="eastAsia"/>
          <w:szCs w:val="28"/>
        </w:rPr>
        <w:t>如第一次報告第</w:t>
      </w:r>
      <w:r w:rsidRPr="008A1CFF">
        <w:rPr>
          <w:szCs w:val="28"/>
        </w:rPr>
        <w:t>517</w:t>
      </w:r>
      <w:r w:rsidRPr="008A1CFF">
        <w:rPr>
          <w:rFonts w:hint="eastAsia"/>
          <w:szCs w:val="28"/>
        </w:rPr>
        <w:t>段所述，我們的政策是要讓學生通曉中英語，同時能說流利的廣東話、普通話和英語。「兩文三語」政策在香港繼續是必要的。</w:t>
      </w:r>
      <w:r>
        <w:rPr>
          <w:rFonts w:hint="eastAsia"/>
          <w:szCs w:val="28"/>
          <w:lang w:eastAsia="zh-HK"/>
        </w:rPr>
        <w:t>為</w:t>
      </w:r>
      <w:r w:rsidRPr="000E56EE">
        <w:rPr>
          <w:szCs w:val="28"/>
        </w:rPr>
        <w:t>提升學生「兩文三語」水平</w:t>
      </w:r>
      <w:r>
        <w:rPr>
          <w:rFonts w:hint="eastAsia"/>
          <w:szCs w:val="28"/>
        </w:rPr>
        <w:t>，</w:t>
      </w:r>
      <w:r>
        <w:rPr>
          <w:rFonts w:hint="eastAsia"/>
          <w:szCs w:val="28"/>
          <w:lang w:eastAsia="zh-HK"/>
        </w:rPr>
        <w:t>我</w:t>
      </w:r>
      <w:r>
        <w:rPr>
          <w:rFonts w:hint="eastAsia"/>
          <w:szCs w:val="28"/>
        </w:rPr>
        <w:t>們</w:t>
      </w:r>
      <w:r>
        <w:rPr>
          <w:rFonts w:hint="eastAsia"/>
          <w:szCs w:val="28"/>
          <w:lang w:eastAsia="zh-HK"/>
        </w:rPr>
        <w:t>推出一系</w:t>
      </w:r>
      <w:r>
        <w:rPr>
          <w:rFonts w:hint="eastAsia"/>
          <w:szCs w:val="28"/>
        </w:rPr>
        <w:t>列</w:t>
      </w:r>
      <w:r w:rsidRPr="000E56EE">
        <w:rPr>
          <w:szCs w:val="28"/>
        </w:rPr>
        <w:t>措施</w:t>
      </w:r>
      <w:r>
        <w:rPr>
          <w:rFonts w:hint="eastAsia"/>
          <w:szCs w:val="28"/>
          <w:lang w:eastAsia="zh-HK"/>
        </w:rPr>
        <w:t>包</w:t>
      </w:r>
      <w:r>
        <w:rPr>
          <w:rFonts w:hint="eastAsia"/>
          <w:szCs w:val="28"/>
        </w:rPr>
        <w:t>括</w:t>
      </w:r>
      <w:r>
        <w:rPr>
          <w:rFonts w:hint="eastAsia"/>
          <w:szCs w:val="28"/>
          <w:lang w:eastAsia="zh-HK"/>
        </w:rPr>
        <w:t>實</w:t>
      </w:r>
      <w:r>
        <w:rPr>
          <w:rFonts w:hint="eastAsia"/>
          <w:szCs w:val="28"/>
        </w:rPr>
        <w:t>施</w:t>
      </w:r>
      <w:r w:rsidRPr="002350BD">
        <w:rPr>
          <w:rFonts w:hint="eastAsia"/>
          <w:szCs w:val="28"/>
        </w:rPr>
        <w:t>微調教學語言安排</w:t>
      </w:r>
      <w:r>
        <w:rPr>
          <w:rFonts w:hint="eastAsia"/>
          <w:szCs w:val="28"/>
        </w:rPr>
        <w:t>，</w:t>
      </w:r>
      <w:r>
        <w:rPr>
          <w:rFonts w:hint="eastAsia"/>
          <w:szCs w:val="28"/>
          <w:lang w:eastAsia="zh-HK"/>
        </w:rPr>
        <w:t>詳見</w:t>
      </w:r>
      <w:r w:rsidRPr="00FA0A59">
        <w:rPr>
          <w:rFonts w:hint="eastAsia"/>
          <w:b/>
          <w:szCs w:val="28"/>
          <w:lang w:eastAsia="zh-HK"/>
        </w:rPr>
        <w:t>附件</w:t>
      </w:r>
      <w:r w:rsidRPr="00FA0A59">
        <w:rPr>
          <w:rFonts w:hint="eastAsia"/>
          <w:b/>
          <w:szCs w:val="28"/>
          <w:lang w:eastAsia="zh-HK"/>
        </w:rPr>
        <w:t>1</w:t>
      </w:r>
      <w:r w:rsidRPr="00FA0A59">
        <w:rPr>
          <w:b/>
          <w:szCs w:val="28"/>
          <w:lang w:eastAsia="zh-HK"/>
        </w:rPr>
        <w:t>3</w:t>
      </w:r>
      <w:r>
        <w:rPr>
          <w:b/>
          <w:szCs w:val="28"/>
          <w:lang w:eastAsia="zh-HK"/>
        </w:rPr>
        <w:t>C</w:t>
      </w:r>
      <w:r>
        <w:rPr>
          <w:rFonts w:hint="eastAsia"/>
          <w:szCs w:val="28"/>
        </w:rPr>
        <w:t>。</w:t>
      </w:r>
    </w:p>
    <w:p w:rsidR="006D2061" w:rsidRDefault="006D2061" w:rsidP="008375BB">
      <w:pPr>
        <w:widowControl/>
        <w:tabs>
          <w:tab w:val="left" w:pos="1440"/>
        </w:tabs>
        <w:adjustRightInd w:val="0"/>
        <w:snapToGrid w:val="0"/>
        <w:spacing w:line="400" w:lineRule="atLeast"/>
        <w:jc w:val="both"/>
        <w:rPr>
          <w:szCs w:val="28"/>
        </w:rPr>
      </w:pPr>
    </w:p>
    <w:p w:rsidR="006D2061" w:rsidRPr="006A3C4D" w:rsidRDefault="006D2061" w:rsidP="008375BB">
      <w:pPr>
        <w:widowControl/>
        <w:tabs>
          <w:tab w:val="left" w:pos="1440"/>
        </w:tabs>
        <w:adjustRightInd w:val="0"/>
        <w:snapToGrid w:val="0"/>
        <w:spacing w:line="400" w:lineRule="atLeast"/>
        <w:jc w:val="both"/>
        <w:rPr>
          <w:b/>
          <w:szCs w:val="28"/>
        </w:rPr>
      </w:pPr>
      <w:r w:rsidRPr="006A3C4D">
        <w:rPr>
          <w:rFonts w:hint="eastAsia"/>
          <w:b/>
          <w:szCs w:val="28"/>
        </w:rPr>
        <w:t>非華語學生的教育</w:t>
      </w:r>
    </w:p>
    <w:p w:rsidR="006D2061" w:rsidRDefault="006D2061" w:rsidP="008375BB">
      <w:pPr>
        <w:widowControl/>
        <w:tabs>
          <w:tab w:val="left" w:pos="1440"/>
        </w:tabs>
        <w:adjustRightInd w:val="0"/>
        <w:snapToGrid w:val="0"/>
        <w:spacing w:line="400" w:lineRule="atLeast"/>
        <w:jc w:val="both"/>
        <w:rPr>
          <w:szCs w:val="28"/>
        </w:rPr>
      </w:pPr>
    </w:p>
    <w:p w:rsidR="006D2061" w:rsidRPr="006A3C4D" w:rsidRDefault="006D2061" w:rsidP="008375BB">
      <w:pPr>
        <w:widowControl/>
        <w:tabs>
          <w:tab w:val="left" w:pos="1440"/>
        </w:tabs>
        <w:adjustRightInd w:val="0"/>
        <w:snapToGrid w:val="0"/>
        <w:spacing w:line="400" w:lineRule="atLeast"/>
        <w:jc w:val="both"/>
        <w:rPr>
          <w:szCs w:val="28"/>
        </w:rPr>
      </w:pPr>
      <w:r>
        <w:rPr>
          <w:rFonts w:hint="eastAsia"/>
          <w:szCs w:val="28"/>
        </w:rPr>
        <w:t>13.6</w:t>
      </w:r>
      <w:r>
        <w:rPr>
          <w:szCs w:val="28"/>
        </w:rPr>
        <w:tab/>
      </w:r>
      <w:r w:rsidRPr="006A3C4D">
        <w:rPr>
          <w:rFonts w:hint="eastAsia"/>
          <w:szCs w:val="28"/>
        </w:rPr>
        <w:t>委員會在上一次審議結論第</w:t>
      </w:r>
      <w:r w:rsidRPr="006A3C4D">
        <w:rPr>
          <w:rFonts w:hint="eastAsia"/>
          <w:szCs w:val="28"/>
        </w:rPr>
        <w:t>51</w:t>
      </w:r>
      <w:r w:rsidRPr="006A3C4D">
        <w:rPr>
          <w:rFonts w:hint="eastAsia"/>
          <w:szCs w:val="28"/>
        </w:rPr>
        <w:t>段關注少數族裔兒童能夠與其他兒童平等接受免費義務教育的機會，</w:t>
      </w:r>
      <w:r>
        <w:rPr>
          <w:rFonts w:hint="eastAsia"/>
          <w:szCs w:val="28"/>
          <w:lang w:eastAsia="zh-HK"/>
        </w:rPr>
        <w:t>並</w:t>
      </w:r>
      <w:r w:rsidRPr="006A3C4D">
        <w:rPr>
          <w:rFonts w:hint="eastAsia"/>
          <w:szCs w:val="28"/>
        </w:rPr>
        <w:t>在第</w:t>
      </w:r>
      <w:r w:rsidRPr="006A3C4D">
        <w:rPr>
          <w:rFonts w:hint="eastAsia"/>
          <w:szCs w:val="28"/>
        </w:rPr>
        <w:t>52</w:t>
      </w:r>
      <w:r w:rsidRPr="006A3C4D">
        <w:rPr>
          <w:rFonts w:hint="eastAsia"/>
          <w:szCs w:val="28"/>
        </w:rPr>
        <w:t>段建議政府採</w:t>
      </w:r>
      <w:r w:rsidRPr="00D57BCD">
        <w:rPr>
          <w:rFonts w:hint="eastAsia"/>
          <w:spacing w:val="2"/>
          <w:szCs w:val="28"/>
        </w:rPr>
        <w:t>取措施，消除對非華語學生</w:t>
      </w:r>
      <w:r w:rsidRPr="00D57BCD">
        <w:rPr>
          <w:rStyle w:val="a9"/>
          <w:spacing w:val="2"/>
          <w:szCs w:val="28"/>
        </w:rPr>
        <w:footnoteReference w:id="5"/>
      </w:r>
      <w:r w:rsidRPr="00D57BCD">
        <w:rPr>
          <w:rFonts w:hint="eastAsia"/>
          <w:spacing w:val="2"/>
          <w:szCs w:val="28"/>
        </w:rPr>
        <w:t>事實上的歧視，包括重新劃撥資源，促</w:t>
      </w:r>
      <w:r w:rsidRPr="00D57BCD">
        <w:rPr>
          <w:rFonts w:hint="eastAsia"/>
          <w:spacing w:val="2"/>
          <w:szCs w:val="28"/>
        </w:rPr>
        <w:lastRenderedPageBreak/>
        <w:t>進</w:t>
      </w:r>
      <w:r w:rsidRPr="006A3C4D">
        <w:rPr>
          <w:rFonts w:hint="eastAsia"/>
          <w:szCs w:val="28"/>
        </w:rPr>
        <w:t>他們在主流學校接受教育，並在各級教育中落實雙語教育立法和政策，確保中文作為第二語言的優質教育。</w:t>
      </w:r>
    </w:p>
    <w:p w:rsidR="006D2061" w:rsidRPr="006A3C4D" w:rsidRDefault="006D2061" w:rsidP="008375BB">
      <w:pPr>
        <w:widowControl/>
        <w:tabs>
          <w:tab w:val="left" w:pos="1440"/>
        </w:tabs>
        <w:adjustRightInd w:val="0"/>
        <w:snapToGrid w:val="0"/>
        <w:spacing w:line="400" w:lineRule="atLeast"/>
        <w:jc w:val="both"/>
        <w:rPr>
          <w:szCs w:val="28"/>
        </w:rPr>
      </w:pPr>
    </w:p>
    <w:p w:rsidR="006D2061" w:rsidRPr="006A3C4D" w:rsidRDefault="006D2061" w:rsidP="008375BB">
      <w:pPr>
        <w:widowControl/>
        <w:tabs>
          <w:tab w:val="left" w:pos="1440"/>
        </w:tabs>
        <w:adjustRightInd w:val="0"/>
        <w:snapToGrid w:val="0"/>
        <w:spacing w:line="400" w:lineRule="atLeast"/>
        <w:jc w:val="both"/>
        <w:rPr>
          <w:szCs w:val="28"/>
        </w:rPr>
      </w:pPr>
      <w:r>
        <w:rPr>
          <w:rFonts w:hint="eastAsia"/>
          <w:szCs w:val="28"/>
        </w:rPr>
        <w:t>13.7</w:t>
      </w:r>
      <w:r w:rsidRPr="006A3C4D">
        <w:rPr>
          <w:rFonts w:hint="eastAsia"/>
          <w:szCs w:val="28"/>
        </w:rPr>
        <w:tab/>
      </w:r>
      <w:r w:rsidRPr="006A3C4D">
        <w:rPr>
          <w:rFonts w:hint="eastAsia"/>
          <w:szCs w:val="28"/>
        </w:rPr>
        <w:t>政府致力鼓勵及支援非華語學生（特別是少數族裔學生）盡早融入社會，包括幫助他們適應本地教育體系及學好中文。所有合資格兒童</w:t>
      </w:r>
      <w:r>
        <w:rPr>
          <w:rFonts w:hint="eastAsia"/>
          <w:szCs w:val="28"/>
        </w:rPr>
        <w:t>（</w:t>
      </w:r>
      <w:r w:rsidRPr="006A3C4D">
        <w:rPr>
          <w:rFonts w:hint="eastAsia"/>
          <w:szCs w:val="28"/>
        </w:rPr>
        <w:t>不分種族或出生地</w:t>
      </w:r>
      <w:r>
        <w:rPr>
          <w:rFonts w:hint="eastAsia"/>
          <w:szCs w:val="28"/>
        </w:rPr>
        <w:t>）</w:t>
      </w:r>
      <w:r w:rsidRPr="006A3C4D">
        <w:rPr>
          <w:rFonts w:hint="eastAsia"/>
          <w:szCs w:val="28"/>
        </w:rPr>
        <w:t>在公平和具透明度的小一和中一學位分配辦法下，均享有同等機會入讀公營學校，並以家長的意願為優先考慮分配學位。</w:t>
      </w:r>
    </w:p>
    <w:p w:rsidR="006D2061" w:rsidRPr="006A3C4D" w:rsidRDefault="006D2061" w:rsidP="008375BB">
      <w:pPr>
        <w:widowControl/>
        <w:tabs>
          <w:tab w:val="left" w:pos="1440"/>
        </w:tabs>
        <w:adjustRightInd w:val="0"/>
        <w:snapToGrid w:val="0"/>
        <w:spacing w:line="400" w:lineRule="atLeast"/>
        <w:jc w:val="both"/>
        <w:rPr>
          <w:szCs w:val="28"/>
        </w:rPr>
      </w:pPr>
    </w:p>
    <w:p w:rsidR="006D2061" w:rsidRPr="006A3C4D" w:rsidRDefault="006D2061" w:rsidP="008375BB">
      <w:pPr>
        <w:widowControl/>
        <w:tabs>
          <w:tab w:val="left" w:pos="1440"/>
        </w:tabs>
        <w:adjustRightInd w:val="0"/>
        <w:snapToGrid w:val="0"/>
        <w:spacing w:line="400" w:lineRule="atLeast"/>
        <w:jc w:val="both"/>
        <w:rPr>
          <w:szCs w:val="28"/>
        </w:rPr>
      </w:pPr>
      <w:r>
        <w:rPr>
          <w:rFonts w:hint="eastAsia"/>
          <w:szCs w:val="28"/>
        </w:rPr>
        <w:t>13.8</w:t>
      </w:r>
      <w:r w:rsidRPr="006A3C4D">
        <w:rPr>
          <w:rFonts w:hint="eastAsia"/>
          <w:szCs w:val="28"/>
        </w:rPr>
        <w:tab/>
      </w:r>
      <w:r w:rsidRPr="006A3C4D">
        <w:rPr>
          <w:rFonts w:hint="eastAsia"/>
          <w:szCs w:val="28"/>
        </w:rPr>
        <w:t>教育局已就照顧非華語學生向學校發出通告及指引。學校應確保其收生條件公平、公正及公開，並符合法例（包括《種族歧視條例》）。所有教育機構有責任致力不分種族支援學生的學與教，在校內營造種族多元化的環境，尊重文化和宗教差異，及與家長保持溝通。</w:t>
      </w:r>
    </w:p>
    <w:p w:rsidR="006D2061" w:rsidRPr="006A3C4D" w:rsidRDefault="006D2061" w:rsidP="008375BB">
      <w:pPr>
        <w:widowControl/>
        <w:tabs>
          <w:tab w:val="left" w:pos="1440"/>
        </w:tabs>
        <w:adjustRightInd w:val="0"/>
        <w:snapToGrid w:val="0"/>
        <w:spacing w:line="400" w:lineRule="atLeast"/>
        <w:jc w:val="both"/>
        <w:rPr>
          <w:szCs w:val="28"/>
        </w:rPr>
      </w:pPr>
    </w:p>
    <w:p w:rsidR="006D2061" w:rsidRPr="006A3C4D" w:rsidRDefault="006D2061" w:rsidP="008375BB">
      <w:pPr>
        <w:widowControl/>
        <w:tabs>
          <w:tab w:val="left" w:pos="1440"/>
        </w:tabs>
        <w:adjustRightInd w:val="0"/>
        <w:snapToGrid w:val="0"/>
        <w:spacing w:line="400" w:lineRule="atLeast"/>
        <w:jc w:val="both"/>
        <w:rPr>
          <w:szCs w:val="28"/>
        </w:rPr>
      </w:pPr>
      <w:r>
        <w:rPr>
          <w:rFonts w:hint="eastAsia"/>
          <w:szCs w:val="28"/>
        </w:rPr>
        <w:t>13.9</w:t>
      </w:r>
      <w:r w:rsidRPr="006A3C4D">
        <w:rPr>
          <w:rFonts w:hint="eastAsia"/>
          <w:szCs w:val="28"/>
        </w:rPr>
        <w:tab/>
      </w:r>
      <w:r w:rsidRPr="006A3C4D">
        <w:rPr>
          <w:rFonts w:hint="eastAsia"/>
          <w:szCs w:val="28"/>
        </w:rPr>
        <w:t>為確保少數族裔學生能融入主流社會，與其他學生有同等機會學習，他們必須以香港兩種官方語言（即中文和英文）學習。教育局十分重視推廣「兩文三語」政策，透過向學校提供校本專業支援服務、教師專業發展課程，以及學與教資源，培養學生能書寫通順的中英文，操流利的粵語、普通話和英語。至於促進地方和區域語言方面，現時高中課程共提供六種其他語言課程，包括法語、德語、印地語、日語、西班牙語及烏爾都語。學生可按興趣、能力和需要選修。</w:t>
      </w:r>
    </w:p>
    <w:p w:rsidR="006D2061" w:rsidRPr="006A3C4D" w:rsidRDefault="006D2061" w:rsidP="008375BB">
      <w:pPr>
        <w:widowControl/>
        <w:tabs>
          <w:tab w:val="left" w:pos="1440"/>
        </w:tabs>
        <w:adjustRightInd w:val="0"/>
        <w:snapToGrid w:val="0"/>
        <w:spacing w:line="400" w:lineRule="atLeast"/>
        <w:jc w:val="both"/>
        <w:rPr>
          <w:szCs w:val="28"/>
        </w:rPr>
      </w:pPr>
    </w:p>
    <w:p w:rsidR="006D2061" w:rsidRPr="006A3C4D" w:rsidRDefault="006D2061" w:rsidP="008375BB">
      <w:pPr>
        <w:widowControl/>
        <w:tabs>
          <w:tab w:val="left" w:pos="1440"/>
        </w:tabs>
        <w:adjustRightInd w:val="0"/>
        <w:snapToGrid w:val="0"/>
        <w:spacing w:line="400" w:lineRule="atLeast"/>
        <w:jc w:val="both"/>
        <w:rPr>
          <w:szCs w:val="28"/>
        </w:rPr>
      </w:pPr>
      <w:r>
        <w:rPr>
          <w:rFonts w:hint="eastAsia"/>
          <w:szCs w:val="28"/>
        </w:rPr>
        <w:t>13.</w:t>
      </w:r>
      <w:r>
        <w:rPr>
          <w:szCs w:val="28"/>
        </w:rPr>
        <w:t>1</w:t>
      </w:r>
      <w:r>
        <w:rPr>
          <w:rFonts w:hint="eastAsia"/>
          <w:szCs w:val="28"/>
        </w:rPr>
        <w:t>0</w:t>
      </w:r>
      <w:r w:rsidRPr="006A3C4D">
        <w:rPr>
          <w:rFonts w:hint="eastAsia"/>
          <w:szCs w:val="28"/>
        </w:rPr>
        <w:tab/>
      </w:r>
      <w:r w:rsidRPr="006A3C4D">
        <w:rPr>
          <w:rFonts w:hint="eastAsia"/>
          <w:szCs w:val="28"/>
        </w:rPr>
        <w:t>政府鼓勵非華語學生的家長盡早安排子女入讀提供沉浸中文語言環境的學校。由於學好中文有助非華語學生融入社會及讓他們將來有更寬闊的就業選擇，教育局在</w:t>
      </w:r>
      <w:r w:rsidRPr="006A3C4D">
        <w:rPr>
          <w:rFonts w:hint="eastAsia"/>
          <w:szCs w:val="28"/>
        </w:rPr>
        <w:t>2014</w:t>
      </w:r>
      <w:r w:rsidRPr="006A3C4D">
        <w:rPr>
          <w:rFonts w:hint="eastAsia"/>
          <w:szCs w:val="28"/>
        </w:rPr>
        <w:t>年推出一系列措施，加強為學校和非華語學生提供支援，</w:t>
      </w:r>
      <w:r>
        <w:rPr>
          <w:rFonts w:hint="eastAsia"/>
          <w:szCs w:val="28"/>
          <w:lang w:eastAsia="zh-HK"/>
        </w:rPr>
        <w:t>包</w:t>
      </w:r>
      <w:r>
        <w:rPr>
          <w:rFonts w:hint="eastAsia"/>
          <w:szCs w:val="28"/>
        </w:rPr>
        <w:t>括</w:t>
      </w:r>
      <w:r>
        <w:rPr>
          <w:rFonts w:hint="eastAsia"/>
          <w:szCs w:val="28"/>
          <w:lang w:eastAsia="zh-HK"/>
        </w:rPr>
        <w:t>訂</w:t>
      </w:r>
      <w:r>
        <w:rPr>
          <w:rFonts w:hint="eastAsia"/>
          <w:szCs w:val="28"/>
        </w:rPr>
        <w:t>定</w:t>
      </w:r>
      <w:r w:rsidRPr="00AF7A37">
        <w:rPr>
          <w:rFonts w:hint="eastAsia"/>
          <w:szCs w:val="28"/>
        </w:rPr>
        <w:t>「中國語文課程第二語言學習架構」（「學習架構」）</w:t>
      </w:r>
      <w:r>
        <w:rPr>
          <w:rFonts w:hint="eastAsia"/>
          <w:szCs w:val="28"/>
          <w:lang w:eastAsia="zh-HK"/>
        </w:rPr>
        <w:t>、協助學</w:t>
      </w:r>
      <w:r>
        <w:rPr>
          <w:rFonts w:hint="eastAsia"/>
          <w:szCs w:val="28"/>
        </w:rPr>
        <w:t>校</w:t>
      </w:r>
      <w:r>
        <w:rPr>
          <w:rFonts w:hint="eastAsia"/>
          <w:szCs w:val="28"/>
          <w:lang w:eastAsia="zh-HK"/>
        </w:rPr>
        <w:t>建構</w:t>
      </w:r>
      <w:r w:rsidRPr="00FA0A59">
        <w:rPr>
          <w:rFonts w:hint="eastAsia"/>
          <w:szCs w:val="28"/>
          <w:lang w:eastAsia="zh-HK"/>
        </w:rPr>
        <w:t>共融校園</w:t>
      </w:r>
      <w:r>
        <w:rPr>
          <w:rFonts w:hint="eastAsia"/>
          <w:szCs w:val="28"/>
          <w:lang w:eastAsia="zh-HK"/>
        </w:rPr>
        <w:t>、</w:t>
      </w:r>
      <w:r w:rsidRPr="00FA0A59">
        <w:rPr>
          <w:rFonts w:hint="eastAsia"/>
          <w:szCs w:val="28"/>
          <w:lang w:eastAsia="zh-HK"/>
        </w:rPr>
        <w:t>支援就讀幼稚園的非華語學生等</w:t>
      </w:r>
      <w:r w:rsidRPr="00FA0A59">
        <w:rPr>
          <w:rFonts w:hint="eastAsia"/>
          <w:szCs w:val="28"/>
        </w:rPr>
        <w:t>，</w:t>
      </w:r>
      <w:r w:rsidRPr="00FA0A59">
        <w:rPr>
          <w:rFonts w:hint="eastAsia"/>
          <w:szCs w:val="28"/>
          <w:lang w:eastAsia="zh-HK"/>
        </w:rPr>
        <w:t>詳</w:t>
      </w:r>
      <w:r>
        <w:rPr>
          <w:rFonts w:hint="eastAsia"/>
          <w:szCs w:val="28"/>
          <w:lang w:eastAsia="zh-HK"/>
        </w:rPr>
        <w:t>見</w:t>
      </w:r>
      <w:r w:rsidRPr="00FA0A59">
        <w:rPr>
          <w:rFonts w:hint="eastAsia"/>
          <w:b/>
          <w:szCs w:val="28"/>
          <w:lang w:eastAsia="zh-HK"/>
        </w:rPr>
        <w:t>附件</w:t>
      </w:r>
      <w:r w:rsidRPr="00FA0A59">
        <w:rPr>
          <w:rFonts w:hint="eastAsia"/>
          <w:b/>
          <w:szCs w:val="28"/>
        </w:rPr>
        <w:t>13</w:t>
      </w:r>
      <w:r>
        <w:rPr>
          <w:b/>
          <w:szCs w:val="28"/>
        </w:rPr>
        <w:t>D</w:t>
      </w:r>
      <w:r>
        <w:rPr>
          <w:rFonts w:hint="eastAsia"/>
          <w:szCs w:val="28"/>
        </w:rPr>
        <w:t>。</w:t>
      </w:r>
    </w:p>
    <w:p w:rsidR="006D2061" w:rsidRPr="006A3C4D" w:rsidRDefault="006D2061" w:rsidP="008375BB">
      <w:pPr>
        <w:widowControl/>
        <w:tabs>
          <w:tab w:val="left" w:pos="1440"/>
        </w:tabs>
        <w:adjustRightInd w:val="0"/>
        <w:snapToGrid w:val="0"/>
        <w:spacing w:line="400" w:lineRule="atLeast"/>
        <w:jc w:val="both"/>
        <w:rPr>
          <w:szCs w:val="28"/>
        </w:rPr>
      </w:pPr>
    </w:p>
    <w:p w:rsidR="006D2061" w:rsidRDefault="006D2061" w:rsidP="008375BB">
      <w:pPr>
        <w:widowControl/>
        <w:tabs>
          <w:tab w:val="left" w:pos="1440"/>
        </w:tabs>
        <w:adjustRightInd w:val="0"/>
        <w:snapToGrid w:val="0"/>
        <w:spacing w:line="400" w:lineRule="atLeast"/>
        <w:jc w:val="both"/>
        <w:rPr>
          <w:szCs w:val="28"/>
        </w:rPr>
      </w:pPr>
      <w:r>
        <w:rPr>
          <w:rFonts w:hint="eastAsia"/>
          <w:szCs w:val="28"/>
        </w:rPr>
        <w:t>13.</w:t>
      </w:r>
      <w:r>
        <w:rPr>
          <w:szCs w:val="28"/>
        </w:rPr>
        <w:t>1</w:t>
      </w:r>
      <w:r>
        <w:rPr>
          <w:rFonts w:hint="eastAsia"/>
          <w:szCs w:val="28"/>
        </w:rPr>
        <w:t>1</w:t>
      </w:r>
      <w:r w:rsidRPr="006A3C4D">
        <w:rPr>
          <w:szCs w:val="28"/>
        </w:rPr>
        <w:tab/>
      </w:r>
      <w:r w:rsidRPr="006A3C4D">
        <w:rPr>
          <w:rFonts w:hint="eastAsia"/>
          <w:szCs w:val="28"/>
        </w:rPr>
        <w:t>隨着上述加強支援措施的落實，錄取非華語學生的中小學數目已由</w:t>
      </w:r>
      <w:r w:rsidRPr="006A3C4D">
        <w:rPr>
          <w:szCs w:val="28"/>
        </w:rPr>
        <w:t>2013/14</w:t>
      </w:r>
      <w:r w:rsidRPr="006A3C4D">
        <w:rPr>
          <w:rFonts w:hint="eastAsia"/>
          <w:szCs w:val="28"/>
        </w:rPr>
        <w:t>學年約</w:t>
      </w:r>
      <w:r w:rsidRPr="006A3C4D">
        <w:rPr>
          <w:szCs w:val="28"/>
        </w:rPr>
        <w:t>590</w:t>
      </w:r>
      <w:r w:rsidRPr="006A3C4D">
        <w:rPr>
          <w:rFonts w:hint="eastAsia"/>
          <w:szCs w:val="28"/>
        </w:rPr>
        <w:t>所逐步增至</w:t>
      </w:r>
      <w:r w:rsidRPr="006A3C4D">
        <w:rPr>
          <w:szCs w:val="28"/>
        </w:rPr>
        <w:t>2017/18</w:t>
      </w:r>
      <w:r w:rsidRPr="006A3C4D">
        <w:rPr>
          <w:rFonts w:hint="eastAsia"/>
          <w:szCs w:val="28"/>
        </w:rPr>
        <w:t>學年約</w:t>
      </w:r>
      <w:r w:rsidRPr="006A3C4D">
        <w:rPr>
          <w:szCs w:val="28"/>
        </w:rPr>
        <w:t>620</w:t>
      </w:r>
      <w:r w:rsidRPr="006A3C4D">
        <w:rPr>
          <w:rFonts w:hint="eastAsia"/>
          <w:szCs w:val="28"/>
        </w:rPr>
        <w:t>所，佔全港學校約三分之二，當中錄取</w:t>
      </w:r>
      <w:r w:rsidRPr="006A3C4D">
        <w:rPr>
          <w:szCs w:val="28"/>
        </w:rPr>
        <w:t>10</w:t>
      </w:r>
      <w:r w:rsidRPr="006A3C4D">
        <w:rPr>
          <w:rFonts w:hint="eastAsia"/>
          <w:szCs w:val="28"/>
        </w:rPr>
        <w:t>名或以上非華語學生並因而獲上述額外撥款的學校數目，在四年間增加了近三成，而錄取少於</w:t>
      </w:r>
      <w:r w:rsidRPr="006A3C4D">
        <w:rPr>
          <w:szCs w:val="28"/>
        </w:rPr>
        <w:t>10</w:t>
      </w:r>
      <w:r w:rsidRPr="006A3C4D">
        <w:rPr>
          <w:rFonts w:hint="eastAsia"/>
          <w:szCs w:val="28"/>
        </w:rPr>
        <w:t>名非華語學生並獲額外撥款的學校數目亦由</w:t>
      </w:r>
      <w:r w:rsidRPr="006A3C4D">
        <w:rPr>
          <w:szCs w:val="28"/>
        </w:rPr>
        <w:t>2014/15</w:t>
      </w:r>
      <w:r w:rsidRPr="006A3C4D">
        <w:rPr>
          <w:rFonts w:hint="eastAsia"/>
          <w:szCs w:val="28"/>
        </w:rPr>
        <w:t>學年的</w:t>
      </w:r>
      <w:r w:rsidRPr="006A3C4D">
        <w:rPr>
          <w:szCs w:val="28"/>
        </w:rPr>
        <w:t>58</w:t>
      </w:r>
      <w:r w:rsidRPr="006A3C4D">
        <w:rPr>
          <w:rFonts w:hint="eastAsia"/>
          <w:szCs w:val="28"/>
        </w:rPr>
        <w:t>所大幅</w:t>
      </w:r>
      <w:r w:rsidRPr="006A3C4D">
        <w:rPr>
          <w:rFonts w:hint="eastAsia"/>
          <w:szCs w:val="28"/>
        </w:rPr>
        <w:lastRenderedPageBreak/>
        <w:t>增至</w:t>
      </w:r>
      <w:r w:rsidRPr="006A3C4D">
        <w:rPr>
          <w:szCs w:val="28"/>
        </w:rPr>
        <w:t>2017/18</w:t>
      </w:r>
      <w:r w:rsidRPr="006A3C4D">
        <w:rPr>
          <w:rFonts w:hint="eastAsia"/>
          <w:szCs w:val="28"/>
        </w:rPr>
        <w:t>學年的</w:t>
      </w:r>
      <w:r w:rsidRPr="006A3C4D">
        <w:rPr>
          <w:szCs w:val="28"/>
        </w:rPr>
        <w:t>213</w:t>
      </w:r>
      <w:r w:rsidRPr="006A3C4D">
        <w:rPr>
          <w:rFonts w:hint="eastAsia"/>
          <w:szCs w:val="28"/>
        </w:rPr>
        <w:t>所，顯示新的支援模式及措施有助擴闊非華語學生家長的學校選擇。基於不同原因，包括學校位於較多非華語人士居住的地區、家長傾向安排年紀較小的子女與兄姊同校，以及部分家長較著重學校照顧非華語學生的豐富經驗等，某些學校的非華語學生人數仍會較其他地區的學校高。</w:t>
      </w:r>
    </w:p>
    <w:p w:rsidR="006D2061" w:rsidRPr="006A3C4D" w:rsidRDefault="006D2061" w:rsidP="008375BB">
      <w:pPr>
        <w:widowControl/>
        <w:tabs>
          <w:tab w:val="left" w:pos="1440"/>
        </w:tabs>
        <w:adjustRightInd w:val="0"/>
        <w:snapToGrid w:val="0"/>
        <w:spacing w:line="400" w:lineRule="atLeast"/>
        <w:jc w:val="both"/>
        <w:rPr>
          <w:szCs w:val="28"/>
        </w:rPr>
      </w:pPr>
    </w:p>
    <w:p w:rsidR="006D2061" w:rsidRDefault="006D2061" w:rsidP="008375BB">
      <w:pPr>
        <w:widowControl/>
        <w:tabs>
          <w:tab w:val="left" w:pos="1440"/>
        </w:tabs>
        <w:adjustRightInd w:val="0"/>
        <w:snapToGrid w:val="0"/>
        <w:spacing w:line="400" w:lineRule="atLeast"/>
        <w:jc w:val="both"/>
        <w:rPr>
          <w:szCs w:val="28"/>
        </w:rPr>
      </w:pPr>
      <w:r>
        <w:rPr>
          <w:rFonts w:hint="eastAsia"/>
          <w:szCs w:val="28"/>
        </w:rPr>
        <w:t>13.</w:t>
      </w:r>
      <w:r>
        <w:rPr>
          <w:szCs w:val="28"/>
        </w:rPr>
        <w:t>1</w:t>
      </w:r>
      <w:r>
        <w:rPr>
          <w:rFonts w:hint="eastAsia"/>
          <w:szCs w:val="28"/>
        </w:rPr>
        <w:t>2</w:t>
      </w:r>
      <w:r w:rsidRPr="006A3C4D">
        <w:rPr>
          <w:rFonts w:hint="eastAsia"/>
          <w:szCs w:val="28"/>
        </w:rPr>
        <w:tab/>
      </w:r>
      <w:r w:rsidRPr="006A3C4D">
        <w:rPr>
          <w:rFonts w:hint="eastAsia"/>
          <w:szCs w:val="28"/>
        </w:rPr>
        <w:t>「學習架構」及相關支援措施自</w:t>
      </w:r>
      <w:r w:rsidRPr="006A3C4D">
        <w:rPr>
          <w:rFonts w:hint="eastAsia"/>
          <w:szCs w:val="28"/>
        </w:rPr>
        <w:t>2014/15</w:t>
      </w:r>
      <w:r w:rsidRPr="006A3C4D">
        <w:rPr>
          <w:rFonts w:hint="eastAsia"/>
          <w:szCs w:val="28"/>
        </w:rPr>
        <w:t>學年開始實施，需教師的配合和時間在學校扎根。除課程外，有效的語文學習亦建基於多項因素，</w:t>
      </w:r>
      <w:r>
        <w:rPr>
          <w:rFonts w:hint="eastAsia"/>
          <w:szCs w:val="28"/>
        </w:rPr>
        <w:t>如</w:t>
      </w:r>
      <w:r w:rsidRPr="006A3C4D">
        <w:rPr>
          <w:rFonts w:hint="eastAsia"/>
          <w:szCs w:val="28"/>
        </w:rPr>
        <w:t>學校的教學</w:t>
      </w:r>
      <w:r>
        <w:rPr>
          <w:rFonts w:hint="eastAsia"/>
          <w:szCs w:val="28"/>
        </w:rPr>
        <w:t>、</w:t>
      </w:r>
      <w:r w:rsidRPr="006A3C4D">
        <w:rPr>
          <w:rFonts w:hint="eastAsia"/>
          <w:szCs w:val="28"/>
        </w:rPr>
        <w:t>非華語學生的學習動機、方法、投放的時間，以至家長的配合和期望等，都有一定的重要性。教育局會持續檢視「學習架構」及其他支援措施的推行情況。</w:t>
      </w:r>
    </w:p>
    <w:p w:rsidR="006D2061"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b/>
          <w:szCs w:val="28"/>
        </w:rPr>
      </w:pPr>
      <w:r w:rsidRPr="00EC584D">
        <w:rPr>
          <w:rFonts w:hint="eastAsia"/>
          <w:b/>
          <w:szCs w:val="28"/>
        </w:rPr>
        <w:t>為有特殊教育需要的學生提供教育</w:t>
      </w:r>
    </w:p>
    <w:p w:rsidR="006D2061"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rFonts w:hint="eastAsia"/>
          <w:szCs w:val="28"/>
        </w:rPr>
        <w:t>13.</w:t>
      </w:r>
      <w:r>
        <w:rPr>
          <w:szCs w:val="28"/>
        </w:rPr>
        <w:t>1</w:t>
      </w:r>
      <w:r>
        <w:rPr>
          <w:rFonts w:hint="eastAsia"/>
          <w:szCs w:val="28"/>
        </w:rPr>
        <w:t>3</w:t>
      </w:r>
      <w:r>
        <w:rPr>
          <w:szCs w:val="28"/>
        </w:rPr>
        <w:tab/>
      </w:r>
      <w:r w:rsidRPr="00EC584D">
        <w:rPr>
          <w:rFonts w:hint="eastAsia"/>
          <w:szCs w:val="28"/>
        </w:rPr>
        <w:t>香港致力為所有學生</w:t>
      </w:r>
      <w:r w:rsidRPr="00EC584D">
        <w:rPr>
          <w:rFonts w:hint="eastAsia"/>
          <w:szCs w:val="28"/>
        </w:rPr>
        <w:t>(</w:t>
      </w:r>
      <w:r w:rsidRPr="00EC584D">
        <w:rPr>
          <w:rFonts w:hint="eastAsia"/>
          <w:szCs w:val="28"/>
        </w:rPr>
        <w:t>包括有特殊教育需要的學生</w:t>
      </w:r>
      <w:r w:rsidRPr="00EC584D">
        <w:rPr>
          <w:rFonts w:hint="eastAsia"/>
          <w:szCs w:val="28"/>
        </w:rPr>
        <w:t>)</w:t>
      </w:r>
      <w:r w:rsidRPr="00EC584D">
        <w:rPr>
          <w:rFonts w:hint="eastAsia"/>
          <w:szCs w:val="28"/>
        </w:rPr>
        <w:t>提供優質教育，讓他們享有平等的機會發展潛能。教育局目前將特殊學習困難、智力障礙、自閉症、注意力不足</w:t>
      </w:r>
      <w:r w:rsidRPr="006A3C4D">
        <w:rPr>
          <w:rFonts w:hint="eastAsia"/>
          <w:szCs w:val="28"/>
        </w:rPr>
        <w:t>／</w:t>
      </w:r>
      <w:r w:rsidRPr="00EC584D">
        <w:rPr>
          <w:rFonts w:hint="eastAsia"/>
          <w:szCs w:val="28"/>
        </w:rPr>
        <w:t>過度活躍症、肢體傷殘、視覺障礙、聽覺障礙、言語障礙及精神病患列入特殊教育需要類別。</w:t>
      </w:r>
    </w:p>
    <w:p w:rsidR="006D2061" w:rsidRPr="00EC584D"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szCs w:val="28"/>
        </w:rPr>
        <w:t>13.1</w:t>
      </w:r>
      <w:r>
        <w:rPr>
          <w:rFonts w:hint="eastAsia"/>
          <w:szCs w:val="28"/>
        </w:rPr>
        <w:t>4</w:t>
      </w:r>
      <w:r>
        <w:rPr>
          <w:rFonts w:hint="eastAsia"/>
          <w:szCs w:val="28"/>
        </w:rPr>
        <w:tab/>
      </w:r>
      <w:r w:rsidRPr="00EC584D">
        <w:rPr>
          <w:rFonts w:hint="eastAsia"/>
          <w:szCs w:val="28"/>
        </w:rPr>
        <w:t>教育局採用「雙軌制」推行特殊教育，有較嚴重或多重殘疾的學生，教育局會根據專業人士的評估和建議，在家長的同意下，轉介他們入讀特殊學校，加強支援；其他有特殊教育需要的學生，則會入讀普通學校。有特殊教育需要的學生和其他學生一樣可享有</w:t>
      </w:r>
      <w:r>
        <w:rPr>
          <w:rFonts w:hint="eastAsia"/>
          <w:szCs w:val="28"/>
        </w:rPr>
        <w:t>12</w:t>
      </w:r>
      <w:r w:rsidRPr="00EC584D">
        <w:rPr>
          <w:rFonts w:hint="eastAsia"/>
          <w:szCs w:val="28"/>
        </w:rPr>
        <w:t>年免費教育，包括六年小學、三年初中和三年高中教育，並在同一課程架構下學習。</w:t>
      </w:r>
    </w:p>
    <w:p w:rsidR="006D2061" w:rsidRPr="00EC584D"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szCs w:val="28"/>
        </w:rPr>
        <w:t>13.1</w:t>
      </w:r>
      <w:r>
        <w:rPr>
          <w:rFonts w:hint="eastAsia"/>
          <w:szCs w:val="28"/>
        </w:rPr>
        <w:t>5</w:t>
      </w:r>
      <w:r w:rsidRPr="00EC584D">
        <w:rPr>
          <w:rFonts w:hint="eastAsia"/>
          <w:szCs w:val="28"/>
        </w:rPr>
        <w:tab/>
      </w:r>
      <w:r w:rsidRPr="00EC584D">
        <w:rPr>
          <w:rFonts w:hint="eastAsia"/>
          <w:szCs w:val="28"/>
        </w:rPr>
        <w:t>香港在</w:t>
      </w:r>
      <w:r w:rsidRPr="00EC584D">
        <w:rPr>
          <w:rFonts w:hint="eastAsia"/>
          <w:szCs w:val="28"/>
        </w:rPr>
        <w:t>2018/19</w:t>
      </w:r>
      <w:r w:rsidRPr="00EC584D">
        <w:rPr>
          <w:rFonts w:hint="eastAsia"/>
          <w:szCs w:val="28"/>
        </w:rPr>
        <w:t>學年共有</w:t>
      </w:r>
      <w:r>
        <w:rPr>
          <w:rFonts w:hint="eastAsia"/>
          <w:szCs w:val="28"/>
        </w:rPr>
        <w:t>60</w:t>
      </w:r>
      <w:r w:rsidRPr="00EC584D">
        <w:rPr>
          <w:rFonts w:hint="eastAsia"/>
          <w:szCs w:val="28"/>
        </w:rPr>
        <w:t>所資助特殊學校，其中</w:t>
      </w:r>
      <w:r>
        <w:rPr>
          <w:rFonts w:hint="eastAsia"/>
          <w:szCs w:val="28"/>
        </w:rPr>
        <w:t>57</w:t>
      </w:r>
      <w:r w:rsidRPr="00EC584D">
        <w:rPr>
          <w:rFonts w:hint="eastAsia"/>
          <w:szCs w:val="28"/>
        </w:rPr>
        <w:t>所開辦小學、初中和高中班級，一所只營辦小學和一所只開辦小學至初中的群育學校，以及一所只開辦小學至初中的視障兒童學校（其學生於完成初中後會在普通學校升讀高中）。</w:t>
      </w:r>
    </w:p>
    <w:p w:rsidR="006D2061" w:rsidRPr="00EC584D"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szCs w:val="28"/>
        </w:rPr>
        <w:t>13.1</w:t>
      </w:r>
      <w:r>
        <w:rPr>
          <w:rFonts w:hint="eastAsia"/>
          <w:szCs w:val="28"/>
        </w:rPr>
        <w:t>6</w:t>
      </w:r>
      <w:r w:rsidRPr="00EC584D">
        <w:rPr>
          <w:rFonts w:hint="eastAsia"/>
          <w:szCs w:val="28"/>
        </w:rPr>
        <w:tab/>
      </w:r>
      <w:r w:rsidRPr="00EC584D">
        <w:rPr>
          <w:rFonts w:hint="eastAsia"/>
          <w:szCs w:val="28"/>
        </w:rPr>
        <w:t>教育局一直為特殊學校提供資源和支援。特殊學校每班人</w:t>
      </w:r>
      <w:r w:rsidRPr="00D57BCD">
        <w:rPr>
          <w:rFonts w:hint="eastAsia"/>
          <w:spacing w:val="2"/>
          <w:szCs w:val="28"/>
        </w:rPr>
        <w:t>數較少，有助教師因應學習差異提供個別支援。根據學生的殘疾類別，</w:t>
      </w:r>
      <w:r w:rsidRPr="00EC584D">
        <w:rPr>
          <w:rFonts w:hint="eastAsia"/>
          <w:szCs w:val="28"/>
        </w:rPr>
        <w:t>教育局會為特殊學校提供專責人員，包括言語治療師、物理治療</w:t>
      </w:r>
      <w:r w:rsidRPr="00EC584D">
        <w:rPr>
          <w:rFonts w:hint="eastAsia"/>
          <w:szCs w:val="28"/>
        </w:rPr>
        <w:lastRenderedPageBreak/>
        <w:t>師、職業治療師、職業治療助理員、教育心理學家、學校護士、學校社工、凸字印製員，以及為宿舍部提供舍監、副舍監、宿舍家長、活動輔導員及護士，以照顧學生的不同需要。</w:t>
      </w:r>
      <w:r>
        <w:rPr>
          <w:rFonts w:hint="eastAsia"/>
          <w:szCs w:val="28"/>
        </w:rPr>
        <w:t>該</w:t>
      </w:r>
      <w:r w:rsidRPr="00EC584D">
        <w:rPr>
          <w:rFonts w:hint="eastAsia"/>
          <w:szCs w:val="28"/>
        </w:rPr>
        <w:t>局</w:t>
      </w:r>
      <w:r w:rsidRPr="00D97C7D">
        <w:rPr>
          <w:rFonts w:hint="eastAsia"/>
          <w:szCs w:val="28"/>
        </w:rPr>
        <w:t>亦</w:t>
      </w:r>
      <w:r w:rsidRPr="00EC584D">
        <w:rPr>
          <w:rFonts w:hint="eastAsia"/>
          <w:szCs w:val="28"/>
        </w:rPr>
        <w:t>持續改善特殊學校的校舍和設施，包括進行改裝或加建工程、重置校舍或原校重建，為</w:t>
      </w:r>
      <w:r w:rsidRPr="00D57BCD">
        <w:rPr>
          <w:rFonts w:hint="eastAsia"/>
          <w:spacing w:val="2"/>
          <w:szCs w:val="28"/>
        </w:rPr>
        <w:t>學生提供更好的學習環境。有關特殊教育的新近發展及措施詳見</w:t>
      </w:r>
      <w:r w:rsidRPr="00D57BCD">
        <w:rPr>
          <w:rFonts w:hint="eastAsia"/>
          <w:b/>
          <w:spacing w:val="2"/>
          <w:szCs w:val="28"/>
        </w:rPr>
        <w:t>附件</w:t>
      </w:r>
      <w:r w:rsidRPr="00EC584D">
        <w:rPr>
          <w:rFonts w:hint="eastAsia"/>
          <w:b/>
          <w:szCs w:val="28"/>
        </w:rPr>
        <w:t>13</w:t>
      </w:r>
      <w:r>
        <w:rPr>
          <w:b/>
          <w:szCs w:val="28"/>
        </w:rPr>
        <w:t>E</w:t>
      </w:r>
      <w:r w:rsidRPr="00EC584D">
        <w:rPr>
          <w:rFonts w:hint="eastAsia"/>
          <w:szCs w:val="28"/>
        </w:rPr>
        <w:t>。</w:t>
      </w:r>
    </w:p>
    <w:p w:rsidR="006D2061" w:rsidRPr="00EC584D"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rFonts w:hint="eastAsia"/>
          <w:szCs w:val="28"/>
        </w:rPr>
        <w:t>13.17</w:t>
      </w:r>
      <w:r w:rsidRPr="00EC584D">
        <w:rPr>
          <w:rFonts w:hint="eastAsia"/>
          <w:szCs w:val="28"/>
        </w:rPr>
        <w:tab/>
      </w:r>
      <w:r w:rsidRPr="00EC584D">
        <w:rPr>
          <w:rFonts w:hint="eastAsia"/>
          <w:szCs w:val="28"/>
        </w:rPr>
        <w:t>教育局秉持「及早識別」、「及早支援」、「全校參與」、「家校合作」和「跨界別協作」五個基本原則推動融合教育，並向公營普通學校提供額外資源、專業支援和教師培訓，協助學校照顧有特殊教育需要的學生。學校須採用「全校參與」模式，在政策、文化與措施</w:t>
      </w:r>
      <w:r w:rsidRPr="00D57BCD">
        <w:rPr>
          <w:rFonts w:hint="eastAsia"/>
          <w:spacing w:val="2"/>
          <w:szCs w:val="28"/>
        </w:rPr>
        <w:t>三方面互相配合，靈活運用校內資源，按照「三層支援模式」</w:t>
      </w:r>
      <w:r w:rsidRPr="00D57BCD">
        <w:rPr>
          <w:rStyle w:val="a9"/>
          <w:spacing w:val="2"/>
          <w:szCs w:val="28"/>
        </w:rPr>
        <w:footnoteReference w:id="6"/>
      </w:r>
      <w:r w:rsidRPr="00D57BCD">
        <w:rPr>
          <w:rFonts w:hint="eastAsia"/>
          <w:spacing w:val="2"/>
          <w:szCs w:val="28"/>
        </w:rPr>
        <w:t>照顧有</w:t>
      </w:r>
      <w:r w:rsidRPr="00EC584D">
        <w:rPr>
          <w:rFonts w:hint="eastAsia"/>
          <w:szCs w:val="28"/>
        </w:rPr>
        <w:t>特殊教育需要的學生，推廣共融校園文化。</w:t>
      </w:r>
    </w:p>
    <w:p w:rsidR="006D2061" w:rsidRPr="00EC584D"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rFonts w:hint="eastAsia"/>
          <w:szCs w:val="28"/>
        </w:rPr>
        <w:t>13.18</w:t>
      </w:r>
      <w:r w:rsidRPr="00EC584D">
        <w:rPr>
          <w:rFonts w:hint="eastAsia"/>
          <w:szCs w:val="28"/>
        </w:rPr>
        <w:tab/>
      </w:r>
      <w:r w:rsidRPr="00EC584D">
        <w:rPr>
          <w:rFonts w:hint="eastAsia"/>
          <w:szCs w:val="28"/>
        </w:rPr>
        <w:t>政府近年實施了多項措施</w:t>
      </w:r>
      <w:r>
        <w:rPr>
          <w:rFonts w:hint="eastAsia"/>
          <w:szCs w:val="28"/>
        </w:rPr>
        <w:t>以</w:t>
      </w:r>
      <w:r w:rsidRPr="00EC584D">
        <w:rPr>
          <w:rFonts w:hint="eastAsia"/>
          <w:szCs w:val="28"/>
        </w:rPr>
        <w:t>進一步協助學校支援有特殊教育需要的學生，詳</w:t>
      </w:r>
      <w:r>
        <w:rPr>
          <w:rFonts w:hint="eastAsia"/>
          <w:szCs w:val="28"/>
          <w:lang w:eastAsia="zh-HK"/>
        </w:rPr>
        <w:t>見</w:t>
      </w:r>
      <w:r w:rsidRPr="00FA0A59">
        <w:rPr>
          <w:rFonts w:hint="eastAsia"/>
          <w:b/>
          <w:szCs w:val="28"/>
          <w:lang w:eastAsia="zh-HK"/>
        </w:rPr>
        <w:t>附件</w:t>
      </w:r>
      <w:r>
        <w:rPr>
          <w:rFonts w:hint="eastAsia"/>
          <w:b/>
          <w:szCs w:val="28"/>
          <w:lang w:eastAsia="zh-HK"/>
        </w:rPr>
        <w:t>1</w:t>
      </w:r>
      <w:r>
        <w:rPr>
          <w:b/>
          <w:szCs w:val="28"/>
          <w:lang w:eastAsia="zh-HK"/>
        </w:rPr>
        <w:t>3F</w:t>
      </w:r>
      <w:r>
        <w:rPr>
          <w:rFonts w:hint="eastAsia"/>
          <w:szCs w:val="28"/>
        </w:rPr>
        <w:t>。</w:t>
      </w:r>
    </w:p>
    <w:p w:rsidR="006D2061" w:rsidRPr="00EC584D" w:rsidRDefault="006D2061" w:rsidP="008375BB">
      <w:pPr>
        <w:widowControl/>
        <w:tabs>
          <w:tab w:val="left" w:pos="1440"/>
        </w:tabs>
        <w:adjustRightInd w:val="0"/>
        <w:snapToGrid w:val="0"/>
        <w:spacing w:line="400" w:lineRule="atLeast"/>
        <w:jc w:val="both"/>
        <w:rPr>
          <w:szCs w:val="28"/>
        </w:rPr>
      </w:pPr>
    </w:p>
    <w:p w:rsidR="006D2061" w:rsidRPr="00EC584D" w:rsidRDefault="006D2061" w:rsidP="008375BB">
      <w:pPr>
        <w:widowControl/>
        <w:tabs>
          <w:tab w:val="left" w:pos="1440"/>
        </w:tabs>
        <w:adjustRightInd w:val="0"/>
        <w:snapToGrid w:val="0"/>
        <w:spacing w:line="400" w:lineRule="atLeast"/>
        <w:jc w:val="both"/>
        <w:rPr>
          <w:szCs w:val="28"/>
        </w:rPr>
      </w:pPr>
      <w:r>
        <w:rPr>
          <w:rFonts w:hint="eastAsia"/>
          <w:szCs w:val="28"/>
        </w:rPr>
        <w:t>13.19</w:t>
      </w:r>
      <w:r w:rsidRPr="00EC584D">
        <w:rPr>
          <w:rFonts w:hint="eastAsia"/>
          <w:szCs w:val="28"/>
        </w:rPr>
        <w:tab/>
      </w:r>
      <w:r w:rsidRPr="00EC584D">
        <w:rPr>
          <w:rFonts w:hint="eastAsia"/>
          <w:szCs w:val="28"/>
        </w:rPr>
        <w:t>高等教育院校致力為所有申請人提供平等機會。院校的錄取決定是基於對申請人的整體評估，殘疾申請人不會受到歧視。如申請人不符合部分入學要求（如語言）但在其他方面（包括面試）表現出色，</w:t>
      </w:r>
      <w:r>
        <w:rPr>
          <w:rFonts w:hint="eastAsia"/>
          <w:szCs w:val="28"/>
          <w:lang w:eastAsia="zh-HK"/>
        </w:rPr>
        <w:t>其</w:t>
      </w:r>
      <w:r w:rsidRPr="00EC584D">
        <w:rPr>
          <w:rFonts w:hint="eastAsia"/>
          <w:szCs w:val="28"/>
        </w:rPr>
        <w:t>申請將獲個別考慮。錄取決定屬院校自主範圍。</w:t>
      </w:r>
    </w:p>
    <w:p w:rsidR="006D2061" w:rsidRPr="00EC584D" w:rsidRDefault="006D2061" w:rsidP="008375BB">
      <w:pPr>
        <w:widowControl/>
        <w:tabs>
          <w:tab w:val="left" w:pos="1440"/>
        </w:tabs>
        <w:adjustRightInd w:val="0"/>
        <w:snapToGrid w:val="0"/>
        <w:spacing w:line="400" w:lineRule="atLeast"/>
        <w:jc w:val="both"/>
        <w:rPr>
          <w:szCs w:val="28"/>
        </w:rPr>
      </w:pPr>
    </w:p>
    <w:p w:rsidR="006D2061" w:rsidRDefault="006D2061" w:rsidP="008375BB">
      <w:pPr>
        <w:widowControl/>
        <w:tabs>
          <w:tab w:val="left" w:pos="1440"/>
        </w:tabs>
        <w:adjustRightInd w:val="0"/>
        <w:snapToGrid w:val="0"/>
        <w:spacing w:line="400" w:lineRule="atLeast"/>
        <w:jc w:val="both"/>
        <w:rPr>
          <w:szCs w:val="28"/>
        </w:rPr>
      </w:pPr>
      <w:r>
        <w:rPr>
          <w:rFonts w:hint="eastAsia"/>
          <w:szCs w:val="28"/>
        </w:rPr>
        <w:t>13.</w:t>
      </w:r>
      <w:r>
        <w:rPr>
          <w:szCs w:val="28"/>
        </w:rPr>
        <w:t>2</w:t>
      </w:r>
      <w:r>
        <w:rPr>
          <w:rFonts w:hint="eastAsia"/>
          <w:szCs w:val="28"/>
        </w:rPr>
        <w:t>0</w:t>
      </w:r>
      <w:r w:rsidRPr="00EC584D">
        <w:rPr>
          <w:szCs w:val="28"/>
        </w:rPr>
        <w:tab/>
      </w:r>
      <w:r w:rsidRPr="00EC584D">
        <w:rPr>
          <w:rFonts w:hint="eastAsia"/>
          <w:szCs w:val="28"/>
        </w:rPr>
        <w:t>為了讓殘疾學生盡可能入學，教資會各所資助大學已在「大學聯合招生辦法」下設立輔助計劃，讓殘疾學生報讀學士學位課程。該計劃讓殘疾申請人與教資會資助大學建立聯繫，以便早日確定所揀選的大學可為他們提供的協助和設備。部份專上院校會因應個別學生的殘疾情況及就讀學科而作出特別安排及支援服務。在有關措施下，就讀經本地評審全日制副學位及學士學位的有特殊教育需要學生人數</w:t>
      </w:r>
      <w:r>
        <w:rPr>
          <w:rFonts w:hint="eastAsia"/>
          <w:szCs w:val="28"/>
        </w:rPr>
        <w:t>（</w:t>
      </w:r>
      <w:r w:rsidRPr="00EC584D">
        <w:rPr>
          <w:rFonts w:hint="eastAsia"/>
          <w:szCs w:val="28"/>
        </w:rPr>
        <w:t>包括殘疾學生</w:t>
      </w:r>
      <w:r>
        <w:rPr>
          <w:rFonts w:hint="eastAsia"/>
          <w:szCs w:val="28"/>
        </w:rPr>
        <w:t>）</w:t>
      </w:r>
      <w:r w:rsidRPr="00EC584D">
        <w:rPr>
          <w:rFonts w:hint="eastAsia"/>
          <w:szCs w:val="28"/>
        </w:rPr>
        <w:t>已從</w:t>
      </w:r>
      <w:r w:rsidRPr="00EC584D">
        <w:rPr>
          <w:szCs w:val="28"/>
        </w:rPr>
        <w:t>2012/13</w:t>
      </w:r>
      <w:r w:rsidRPr="00EC584D">
        <w:rPr>
          <w:rFonts w:hint="eastAsia"/>
          <w:szCs w:val="28"/>
        </w:rPr>
        <w:t>學年的</w:t>
      </w:r>
      <w:r w:rsidRPr="00EC584D">
        <w:rPr>
          <w:szCs w:val="28"/>
        </w:rPr>
        <w:t>628</w:t>
      </w:r>
      <w:r w:rsidRPr="00EC584D">
        <w:rPr>
          <w:rFonts w:hint="eastAsia"/>
          <w:szCs w:val="28"/>
        </w:rPr>
        <w:t>人增</w:t>
      </w:r>
      <w:r w:rsidRPr="00FC223A">
        <w:rPr>
          <w:rFonts w:hint="eastAsia"/>
          <w:szCs w:val="28"/>
        </w:rPr>
        <w:t>至</w:t>
      </w:r>
      <w:r w:rsidRPr="00FC223A">
        <w:rPr>
          <w:szCs w:val="28"/>
        </w:rPr>
        <w:t>2017/18</w:t>
      </w:r>
      <w:r w:rsidRPr="00FC223A">
        <w:rPr>
          <w:rFonts w:hint="eastAsia"/>
          <w:szCs w:val="28"/>
        </w:rPr>
        <w:t>學年的</w:t>
      </w:r>
      <w:r w:rsidRPr="00FC223A">
        <w:rPr>
          <w:rFonts w:hint="eastAsia"/>
          <w:szCs w:val="28"/>
        </w:rPr>
        <w:t>1</w:t>
      </w:r>
      <w:r>
        <w:rPr>
          <w:szCs w:val="28"/>
        </w:rPr>
        <w:t> </w:t>
      </w:r>
      <w:r w:rsidRPr="00FC223A">
        <w:rPr>
          <w:rFonts w:hint="eastAsia"/>
          <w:szCs w:val="28"/>
        </w:rPr>
        <w:t>565</w:t>
      </w:r>
      <w:r w:rsidRPr="00FC223A">
        <w:rPr>
          <w:rFonts w:hint="eastAsia"/>
          <w:szCs w:val="28"/>
        </w:rPr>
        <w:t>人。</w:t>
      </w:r>
    </w:p>
    <w:p w:rsidR="006D2061" w:rsidRDefault="006D2061" w:rsidP="008375BB">
      <w:pPr>
        <w:widowControl/>
        <w:tabs>
          <w:tab w:val="left" w:pos="1440"/>
        </w:tabs>
        <w:adjustRightInd w:val="0"/>
        <w:snapToGrid w:val="0"/>
        <w:spacing w:line="400" w:lineRule="atLeast"/>
        <w:jc w:val="both"/>
        <w:rPr>
          <w:szCs w:val="28"/>
        </w:rPr>
      </w:pPr>
    </w:p>
    <w:p w:rsidR="006D2061" w:rsidRPr="00FC223A" w:rsidRDefault="006D2061" w:rsidP="008375BB">
      <w:pPr>
        <w:widowControl/>
        <w:tabs>
          <w:tab w:val="left" w:pos="1440"/>
        </w:tabs>
        <w:adjustRightInd w:val="0"/>
        <w:snapToGrid w:val="0"/>
        <w:spacing w:line="400" w:lineRule="atLeast"/>
        <w:jc w:val="both"/>
        <w:rPr>
          <w:b/>
          <w:szCs w:val="28"/>
        </w:rPr>
      </w:pPr>
      <w:r w:rsidRPr="00FC223A">
        <w:rPr>
          <w:rFonts w:hint="eastAsia"/>
          <w:b/>
          <w:szCs w:val="28"/>
        </w:rPr>
        <w:lastRenderedPageBreak/>
        <w:t>在囚人士的教育</w:t>
      </w:r>
    </w:p>
    <w:p w:rsidR="006D2061" w:rsidRPr="00FC223A" w:rsidRDefault="006D2061" w:rsidP="008375BB">
      <w:pPr>
        <w:widowControl/>
        <w:tabs>
          <w:tab w:val="left" w:pos="1440"/>
        </w:tabs>
        <w:adjustRightInd w:val="0"/>
        <w:snapToGrid w:val="0"/>
        <w:spacing w:line="400" w:lineRule="atLeast"/>
        <w:jc w:val="both"/>
        <w:rPr>
          <w:szCs w:val="28"/>
        </w:rPr>
      </w:pPr>
    </w:p>
    <w:p w:rsidR="006D2061" w:rsidRPr="00FC223A" w:rsidRDefault="006D2061" w:rsidP="008375BB">
      <w:pPr>
        <w:widowControl/>
        <w:tabs>
          <w:tab w:val="left" w:pos="1440"/>
        </w:tabs>
        <w:adjustRightInd w:val="0"/>
        <w:snapToGrid w:val="0"/>
        <w:spacing w:line="400" w:lineRule="atLeast"/>
        <w:jc w:val="both"/>
        <w:rPr>
          <w:szCs w:val="28"/>
        </w:rPr>
      </w:pPr>
      <w:r w:rsidRPr="00D57BCD">
        <w:rPr>
          <w:rFonts w:hint="eastAsia"/>
          <w:spacing w:val="-2"/>
          <w:szCs w:val="28"/>
        </w:rPr>
        <w:t>13.</w:t>
      </w:r>
      <w:r w:rsidRPr="00D57BCD">
        <w:rPr>
          <w:spacing w:val="-2"/>
          <w:szCs w:val="28"/>
        </w:rPr>
        <w:t>2</w:t>
      </w:r>
      <w:r w:rsidRPr="00D57BCD">
        <w:rPr>
          <w:rFonts w:hint="eastAsia"/>
          <w:spacing w:val="-2"/>
          <w:szCs w:val="28"/>
        </w:rPr>
        <w:t>1</w:t>
      </w:r>
      <w:r w:rsidRPr="00D57BCD">
        <w:rPr>
          <w:spacing w:val="-2"/>
          <w:szCs w:val="28"/>
        </w:rPr>
        <w:tab/>
      </w:r>
      <w:r w:rsidRPr="00D57BCD">
        <w:rPr>
          <w:rFonts w:hint="eastAsia"/>
          <w:spacing w:val="-2"/>
          <w:szCs w:val="28"/>
        </w:rPr>
        <w:t>情況跟</w:t>
      </w:r>
      <w:r w:rsidRPr="00D57BCD">
        <w:rPr>
          <w:rFonts w:hint="eastAsia"/>
          <w:spacing w:val="-2"/>
          <w:szCs w:val="28"/>
          <w:lang w:eastAsia="zh-HK"/>
        </w:rPr>
        <w:t>第一</w:t>
      </w:r>
      <w:r w:rsidRPr="00D57BCD">
        <w:rPr>
          <w:rFonts w:hint="eastAsia"/>
          <w:spacing w:val="-2"/>
          <w:szCs w:val="28"/>
        </w:rPr>
        <w:t>次報告的第</w:t>
      </w:r>
      <w:r w:rsidRPr="00D57BCD">
        <w:rPr>
          <w:rFonts w:hint="eastAsia"/>
          <w:spacing w:val="-2"/>
          <w:szCs w:val="28"/>
        </w:rPr>
        <w:t>555</w:t>
      </w:r>
      <w:r w:rsidRPr="00D57BCD">
        <w:rPr>
          <w:rFonts w:hint="eastAsia"/>
          <w:spacing w:val="-2"/>
          <w:szCs w:val="28"/>
        </w:rPr>
        <w:t>及</w:t>
      </w:r>
      <w:r w:rsidRPr="00D57BCD">
        <w:rPr>
          <w:rFonts w:hint="eastAsia"/>
          <w:spacing w:val="-2"/>
          <w:szCs w:val="28"/>
        </w:rPr>
        <w:t>556</w:t>
      </w:r>
      <w:r w:rsidRPr="00D57BCD">
        <w:rPr>
          <w:rFonts w:hint="eastAsia"/>
          <w:spacing w:val="-2"/>
          <w:szCs w:val="28"/>
        </w:rPr>
        <w:t>段的解說大致相同。</w:t>
      </w:r>
      <w:r w:rsidRPr="00FC223A">
        <w:rPr>
          <w:rFonts w:hint="eastAsia"/>
          <w:szCs w:val="28"/>
        </w:rPr>
        <w:t>懲教署安排合資格的教師和導師，為</w:t>
      </w:r>
      <w:r w:rsidRPr="00FC223A">
        <w:rPr>
          <w:rFonts w:hint="eastAsia"/>
          <w:szCs w:val="28"/>
        </w:rPr>
        <w:t>21</w:t>
      </w:r>
      <w:r w:rsidRPr="00FC223A">
        <w:rPr>
          <w:rFonts w:hint="eastAsia"/>
          <w:szCs w:val="28"/>
        </w:rPr>
        <w:t>歲以下的青少年在囚人士提供教育及職業訓練。署方亦為有志於工餘進修的成年在囚人士提供學業上的建議，並協助他們報讀合適的課程和申請資助。</w:t>
      </w:r>
    </w:p>
    <w:p w:rsidR="006D2061" w:rsidRPr="00FC223A" w:rsidRDefault="006D2061" w:rsidP="008375BB">
      <w:pPr>
        <w:widowControl/>
        <w:tabs>
          <w:tab w:val="left" w:pos="1440"/>
        </w:tabs>
        <w:adjustRightInd w:val="0"/>
        <w:snapToGrid w:val="0"/>
        <w:spacing w:line="400" w:lineRule="atLeast"/>
        <w:jc w:val="both"/>
        <w:rPr>
          <w:szCs w:val="28"/>
        </w:rPr>
      </w:pPr>
    </w:p>
    <w:p w:rsidR="006D2061" w:rsidRDefault="006D2061" w:rsidP="008375BB">
      <w:pPr>
        <w:widowControl/>
        <w:tabs>
          <w:tab w:val="left" w:pos="1440"/>
        </w:tabs>
        <w:adjustRightInd w:val="0"/>
        <w:snapToGrid w:val="0"/>
        <w:spacing w:line="400" w:lineRule="atLeast"/>
        <w:jc w:val="both"/>
        <w:rPr>
          <w:szCs w:val="28"/>
        </w:rPr>
      </w:pPr>
      <w:r>
        <w:rPr>
          <w:szCs w:val="28"/>
        </w:rPr>
        <w:t>13.2</w:t>
      </w:r>
      <w:r>
        <w:rPr>
          <w:rFonts w:hint="eastAsia"/>
          <w:szCs w:val="28"/>
        </w:rPr>
        <w:t>2</w:t>
      </w:r>
      <w:r>
        <w:rPr>
          <w:szCs w:val="28"/>
        </w:rPr>
        <w:tab/>
      </w:r>
      <w:r w:rsidRPr="00FC223A">
        <w:rPr>
          <w:rFonts w:hint="eastAsia"/>
          <w:szCs w:val="28"/>
        </w:rPr>
        <w:t>有志進修的在囚人士獲提供經濟援助。為加強鼓勵在囚人士進修，懲教署除了設立在囚人士教育信託基金外，自</w:t>
      </w:r>
      <w:r w:rsidRPr="00FC223A">
        <w:rPr>
          <w:rFonts w:hint="eastAsia"/>
          <w:szCs w:val="28"/>
        </w:rPr>
        <w:t>2009</w:t>
      </w:r>
      <w:r w:rsidRPr="00FC223A">
        <w:rPr>
          <w:rFonts w:hint="eastAsia"/>
          <w:szCs w:val="28"/>
        </w:rPr>
        <w:t>年開始先後以市民及不同團體的捐款成立多個教育資助計劃。在</w:t>
      </w:r>
      <w:r w:rsidRPr="00FC223A">
        <w:rPr>
          <w:rFonts w:hint="eastAsia"/>
          <w:szCs w:val="28"/>
        </w:rPr>
        <w:t>2017</w:t>
      </w:r>
      <w:r w:rsidRPr="00FC223A">
        <w:rPr>
          <w:rFonts w:hint="eastAsia"/>
          <w:szCs w:val="28"/>
        </w:rPr>
        <w:t>至</w:t>
      </w:r>
      <w:r w:rsidRPr="00FC223A">
        <w:rPr>
          <w:rFonts w:hint="eastAsia"/>
          <w:szCs w:val="28"/>
        </w:rPr>
        <w:t>18</w:t>
      </w:r>
      <w:r w:rsidRPr="00FC223A">
        <w:rPr>
          <w:rFonts w:hint="eastAsia"/>
          <w:szCs w:val="28"/>
        </w:rPr>
        <w:t>年度，共有</w:t>
      </w:r>
      <w:r w:rsidRPr="00FC223A">
        <w:rPr>
          <w:rFonts w:hint="eastAsia"/>
          <w:szCs w:val="28"/>
        </w:rPr>
        <w:t>1</w:t>
      </w:r>
      <w:r>
        <w:rPr>
          <w:szCs w:val="28"/>
        </w:rPr>
        <w:t> </w:t>
      </w:r>
      <w:r w:rsidRPr="00FC223A">
        <w:rPr>
          <w:rFonts w:hint="eastAsia"/>
          <w:szCs w:val="28"/>
        </w:rPr>
        <w:t>397</w:t>
      </w:r>
      <w:r w:rsidRPr="00FC223A">
        <w:rPr>
          <w:rFonts w:hint="eastAsia"/>
          <w:szCs w:val="28"/>
        </w:rPr>
        <w:t>名申請人</w:t>
      </w:r>
      <w:r>
        <w:rPr>
          <w:rFonts w:hint="eastAsia"/>
          <w:szCs w:val="28"/>
          <w:lang w:eastAsia="zh-HK"/>
        </w:rPr>
        <w:t>（</w:t>
      </w:r>
      <w:r w:rsidRPr="00FC223A">
        <w:rPr>
          <w:rFonts w:hint="eastAsia"/>
          <w:szCs w:val="28"/>
        </w:rPr>
        <w:t>以申請次數計算</w:t>
      </w:r>
      <w:r>
        <w:rPr>
          <w:rFonts w:hint="eastAsia"/>
          <w:szCs w:val="28"/>
          <w:lang w:eastAsia="zh-HK"/>
        </w:rPr>
        <w:t>）</w:t>
      </w:r>
      <w:r w:rsidRPr="00FC223A">
        <w:rPr>
          <w:rFonts w:hint="eastAsia"/>
          <w:szCs w:val="28"/>
        </w:rPr>
        <w:t>獲批合共約</w:t>
      </w:r>
      <w:r>
        <w:rPr>
          <w:rFonts w:hint="eastAsia"/>
          <w:szCs w:val="28"/>
        </w:rPr>
        <w:t>189</w:t>
      </w:r>
      <w:r>
        <w:rPr>
          <w:rFonts w:hint="eastAsia"/>
          <w:szCs w:val="28"/>
          <w:lang w:eastAsia="zh-HK"/>
        </w:rPr>
        <w:t>萬元</w:t>
      </w:r>
      <w:r w:rsidRPr="00FC223A">
        <w:rPr>
          <w:rFonts w:hint="eastAsia"/>
          <w:szCs w:val="28"/>
        </w:rPr>
        <w:t>的經濟援助，報讀遙距課程及報考公開考試。</w:t>
      </w:r>
    </w:p>
    <w:p w:rsidR="006D2061" w:rsidRDefault="006D2061" w:rsidP="008375BB">
      <w:pPr>
        <w:widowControl/>
        <w:tabs>
          <w:tab w:val="left" w:pos="1440"/>
        </w:tabs>
        <w:adjustRightInd w:val="0"/>
        <w:snapToGrid w:val="0"/>
        <w:spacing w:line="400" w:lineRule="atLeast"/>
        <w:jc w:val="both"/>
        <w:rPr>
          <w:szCs w:val="28"/>
        </w:rPr>
      </w:pPr>
    </w:p>
    <w:p w:rsidR="006D2061" w:rsidRDefault="006D2061" w:rsidP="008375BB">
      <w:pPr>
        <w:widowControl/>
        <w:tabs>
          <w:tab w:val="left" w:pos="1440"/>
        </w:tabs>
        <w:adjustRightInd w:val="0"/>
        <w:snapToGrid w:val="0"/>
        <w:spacing w:line="400" w:lineRule="atLeast"/>
        <w:jc w:val="both"/>
        <w:rPr>
          <w:b/>
          <w:szCs w:val="28"/>
        </w:rPr>
      </w:pPr>
      <w:r w:rsidRPr="0030675A">
        <w:rPr>
          <w:rFonts w:hint="eastAsia"/>
          <w:b/>
          <w:szCs w:val="28"/>
        </w:rPr>
        <w:t>為無權在香港逗留的兒童提供教育</w:t>
      </w:r>
    </w:p>
    <w:p w:rsidR="006D2061" w:rsidRPr="0030675A" w:rsidRDefault="006D2061" w:rsidP="008375BB">
      <w:pPr>
        <w:widowControl/>
        <w:tabs>
          <w:tab w:val="left" w:pos="1440"/>
        </w:tabs>
        <w:adjustRightInd w:val="0"/>
        <w:snapToGrid w:val="0"/>
        <w:spacing w:line="400" w:lineRule="atLeast"/>
        <w:jc w:val="both"/>
        <w:rPr>
          <w:b/>
          <w:szCs w:val="28"/>
        </w:rPr>
      </w:pPr>
    </w:p>
    <w:p w:rsidR="006D2061" w:rsidRDefault="006D2061" w:rsidP="008375BB">
      <w:pPr>
        <w:widowControl/>
        <w:tabs>
          <w:tab w:val="left" w:pos="1440"/>
        </w:tabs>
        <w:adjustRightInd w:val="0"/>
        <w:snapToGrid w:val="0"/>
        <w:spacing w:line="400" w:lineRule="atLeast"/>
        <w:jc w:val="both"/>
        <w:rPr>
          <w:szCs w:val="28"/>
        </w:rPr>
      </w:pPr>
      <w:r>
        <w:rPr>
          <w:rFonts w:hint="eastAsia"/>
          <w:szCs w:val="28"/>
        </w:rPr>
        <w:t>13</w:t>
      </w:r>
      <w:r>
        <w:rPr>
          <w:szCs w:val="28"/>
        </w:rPr>
        <w:t>.2</w:t>
      </w:r>
      <w:r>
        <w:rPr>
          <w:rFonts w:hint="eastAsia"/>
          <w:szCs w:val="28"/>
        </w:rPr>
        <w:t>3</w:t>
      </w:r>
      <w:r>
        <w:rPr>
          <w:szCs w:val="28"/>
        </w:rPr>
        <w:tab/>
      </w:r>
      <w:r w:rsidRPr="0030675A">
        <w:rPr>
          <w:rFonts w:hint="eastAsia"/>
          <w:szCs w:val="28"/>
        </w:rPr>
        <w:t>無權在香港特區逗留的兒童會被遣返，因此，他們在港就學的問題並不常見。至於在短期內不會被遣返的學齡兒童，教育局會因應個別情況考慮准許他們入學。在入境處處長對讓有關兒童在香港特區入學表示沒有意見後，教育局會因應有關兒童的不同因素</w:t>
      </w:r>
      <w:r>
        <w:rPr>
          <w:rFonts w:hint="eastAsia"/>
          <w:szCs w:val="28"/>
        </w:rPr>
        <w:t>（</w:t>
      </w:r>
      <w:r w:rsidRPr="0030675A">
        <w:rPr>
          <w:rFonts w:hint="eastAsia"/>
          <w:szCs w:val="28"/>
        </w:rPr>
        <w:t>如年齡、教育背景等</w:t>
      </w:r>
      <w:r>
        <w:rPr>
          <w:rFonts w:hint="eastAsia"/>
          <w:szCs w:val="28"/>
        </w:rPr>
        <w:t>）</w:t>
      </w:r>
      <w:r w:rsidRPr="0030675A">
        <w:rPr>
          <w:rFonts w:hint="eastAsia"/>
          <w:szCs w:val="28"/>
        </w:rPr>
        <w:t>為他們提供學位安排支援以入讀公營學校。有關兒童接受教育的權利在現行機制下獲得充分保障。</w:t>
      </w:r>
    </w:p>
    <w:p w:rsidR="006D2061" w:rsidRPr="0071332D"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b/>
          <w:szCs w:val="28"/>
          <w:lang w:val="en-GB"/>
        </w:rPr>
      </w:pPr>
      <w:r w:rsidRPr="0030675A">
        <w:rPr>
          <w:rFonts w:hint="eastAsia"/>
          <w:b/>
          <w:szCs w:val="28"/>
          <w:lang w:val="en-GB"/>
        </w:rPr>
        <w:t>內地新來港人士的教育及資歷評審事宜</w:t>
      </w:r>
    </w:p>
    <w:p w:rsidR="006D2061" w:rsidRDefault="006D2061" w:rsidP="008375BB">
      <w:pPr>
        <w:tabs>
          <w:tab w:val="left" w:pos="1440"/>
        </w:tabs>
        <w:adjustRightInd w:val="0"/>
        <w:snapToGrid w:val="0"/>
        <w:spacing w:line="400" w:lineRule="atLeast"/>
        <w:jc w:val="both"/>
        <w:rPr>
          <w:b/>
          <w:szCs w:val="28"/>
          <w:lang w:val="en-GB"/>
        </w:rPr>
      </w:pPr>
    </w:p>
    <w:p w:rsidR="006D2061" w:rsidRDefault="006D2061" w:rsidP="008375BB">
      <w:pPr>
        <w:tabs>
          <w:tab w:val="left" w:pos="1440"/>
        </w:tabs>
        <w:adjustRightInd w:val="0"/>
        <w:snapToGrid w:val="0"/>
        <w:spacing w:line="400" w:lineRule="atLeast"/>
        <w:jc w:val="both"/>
        <w:rPr>
          <w:szCs w:val="28"/>
          <w:lang w:val="en-GB"/>
        </w:rPr>
      </w:pPr>
      <w:r w:rsidRPr="0030675A">
        <w:rPr>
          <w:rFonts w:hint="eastAsia"/>
          <w:szCs w:val="28"/>
          <w:lang w:val="en-GB"/>
        </w:rPr>
        <w:t>13.</w:t>
      </w:r>
      <w:r>
        <w:rPr>
          <w:szCs w:val="28"/>
          <w:lang w:val="en-GB"/>
        </w:rPr>
        <w:t>2</w:t>
      </w:r>
      <w:r>
        <w:rPr>
          <w:rFonts w:hint="eastAsia"/>
          <w:szCs w:val="28"/>
          <w:lang w:val="en-GB"/>
        </w:rPr>
        <w:t>4</w:t>
      </w:r>
      <w:r w:rsidRPr="0030675A">
        <w:rPr>
          <w:szCs w:val="28"/>
          <w:lang w:val="en-GB"/>
        </w:rPr>
        <w:tab/>
      </w:r>
      <w:r w:rsidRPr="0030675A">
        <w:rPr>
          <w:rFonts w:hint="eastAsia"/>
          <w:szCs w:val="28"/>
          <w:lang w:val="en-GB"/>
        </w:rPr>
        <w:t>在</w:t>
      </w:r>
      <w:r>
        <w:rPr>
          <w:rFonts w:hint="eastAsia"/>
          <w:szCs w:val="28"/>
          <w:lang w:val="en-GB" w:eastAsia="zh-HK"/>
        </w:rPr>
        <w:t>上次</w:t>
      </w:r>
      <w:r w:rsidRPr="0030675A">
        <w:rPr>
          <w:rFonts w:hint="eastAsia"/>
          <w:szCs w:val="28"/>
          <w:lang w:val="en-GB"/>
        </w:rPr>
        <w:t>報告中提及的支援服務仍繼續提供，以協助新來港兒童融入本地社區及克服學習困難。有關服務包括啟動課程及適應課程。至於選擇直接入讀公營學校的新來港兒童，他們就讀的學校可靈活運用校本支援計劃津貼，為</w:t>
      </w:r>
      <w:r>
        <w:rPr>
          <w:rFonts w:hint="eastAsia"/>
          <w:szCs w:val="28"/>
          <w:lang w:val="en-GB" w:eastAsia="zh-HK"/>
        </w:rPr>
        <w:t>該</w:t>
      </w:r>
      <w:r>
        <w:rPr>
          <w:rFonts w:hint="eastAsia"/>
          <w:szCs w:val="28"/>
          <w:lang w:val="en-GB"/>
        </w:rPr>
        <w:t>些</w:t>
      </w:r>
      <w:r w:rsidRPr="0030675A">
        <w:rPr>
          <w:rFonts w:hint="eastAsia"/>
          <w:szCs w:val="28"/>
          <w:lang w:val="en-GB"/>
        </w:rPr>
        <w:t>兒童舉辦校本支援課程，如開設補習班、籌辦迎新活動及輔導活動。我們會繼續監察有關支援措施，以確保這些兒童順利融入本地教育制度。</w:t>
      </w: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szCs w:val="28"/>
          <w:lang w:val="en-GB"/>
        </w:rPr>
      </w:pPr>
      <w:r>
        <w:rPr>
          <w:rFonts w:hint="eastAsia"/>
          <w:szCs w:val="28"/>
          <w:lang w:val="en-GB"/>
        </w:rPr>
        <w:t>13.</w:t>
      </w:r>
      <w:r>
        <w:rPr>
          <w:szCs w:val="28"/>
          <w:lang w:val="en-GB"/>
        </w:rPr>
        <w:t>2</w:t>
      </w:r>
      <w:r>
        <w:rPr>
          <w:rFonts w:hint="eastAsia"/>
          <w:szCs w:val="28"/>
          <w:lang w:val="en-GB"/>
        </w:rPr>
        <w:t>5</w:t>
      </w:r>
      <w:r>
        <w:rPr>
          <w:szCs w:val="28"/>
          <w:lang w:val="en-GB"/>
        </w:rPr>
        <w:tab/>
      </w:r>
      <w:r w:rsidRPr="0030675A">
        <w:rPr>
          <w:rFonts w:hint="eastAsia"/>
          <w:szCs w:val="28"/>
          <w:lang w:val="en-GB"/>
        </w:rPr>
        <w:t>有</w:t>
      </w:r>
      <w:r>
        <w:rPr>
          <w:rFonts w:hint="eastAsia"/>
          <w:szCs w:val="28"/>
          <w:lang w:val="en-GB" w:eastAsia="zh-HK"/>
        </w:rPr>
        <w:t>評</w:t>
      </w:r>
      <w:r w:rsidRPr="0030675A">
        <w:rPr>
          <w:rFonts w:hint="eastAsia"/>
          <w:szCs w:val="28"/>
          <w:lang w:val="en-GB"/>
        </w:rPr>
        <w:t>論者認為應為內地的學術或專業資歷制訂資歷認可機制。根據《香港學術及職業資歷評審局條例》（第</w:t>
      </w:r>
      <w:r w:rsidRPr="0030675A">
        <w:rPr>
          <w:szCs w:val="28"/>
          <w:lang w:val="en-GB"/>
        </w:rPr>
        <w:t>1150</w:t>
      </w:r>
      <w:r w:rsidRPr="0030675A">
        <w:rPr>
          <w:rFonts w:hint="eastAsia"/>
          <w:szCs w:val="28"/>
          <w:lang w:val="en-GB"/>
        </w:rPr>
        <w:t>章），該局提供學歷評估服務，就個別人士的總體學歷（即申請者最高及最終學</w:t>
      </w:r>
      <w:r w:rsidRPr="0030675A">
        <w:rPr>
          <w:rFonts w:hint="eastAsia"/>
          <w:szCs w:val="28"/>
          <w:lang w:val="en-GB"/>
        </w:rPr>
        <w:lastRenderedPageBreak/>
        <w:t>歷）的綜合學習成效是否達到在香港某特定資歷級別的標準提供專業意見。個別人士擁有由香港以外地方（包括內地及海外）開辦的組織所頒授的資歷，可申請學歷評估。個別僱主、組織或教育機構在考慮某個別人士的學歷作入職、專業註冊或入學用途時，有權自行決定是否考慮或接納該人士的資歷。</w:t>
      </w:r>
    </w:p>
    <w:p w:rsidR="006D2061" w:rsidRDefault="006D2061" w:rsidP="008375BB">
      <w:pPr>
        <w:tabs>
          <w:tab w:val="left" w:pos="1440"/>
        </w:tabs>
        <w:adjustRightInd w:val="0"/>
        <w:snapToGrid w:val="0"/>
        <w:spacing w:line="400" w:lineRule="atLeast"/>
        <w:jc w:val="both"/>
        <w:rPr>
          <w:szCs w:val="28"/>
          <w:lang w:val="en-GB"/>
        </w:rPr>
      </w:pPr>
    </w:p>
    <w:p w:rsidR="006D2061" w:rsidRPr="0030675A" w:rsidRDefault="006D2061" w:rsidP="008375BB">
      <w:pPr>
        <w:tabs>
          <w:tab w:val="left" w:pos="1440"/>
        </w:tabs>
        <w:adjustRightInd w:val="0"/>
        <w:snapToGrid w:val="0"/>
        <w:spacing w:line="400" w:lineRule="atLeast"/>
        <w:jc w:val="both"/>
        <w:rPr>
          <w:b/>
          <w:szCs w:val="28"/>
          <w:lang w:val="en-GB"/>
        </w:rPr>
      </w:pPr>
      <w:r w:rsidRPr="0030675A">
        <w:rPr>
          <w:rFonts w:hint="eastAsia"/>
          <w:b/>
          <w:szCs w:val="28"/>
          <w:lang w:val="en-GB"/>
        </w:rPr>
        <w:t>有關不同性傾向及性別認同人士的教育</w:t>
      </w:r>
    </w:p>
    <w:p w:rsidR="006D2061" w:rsidRDefault="006D2061" w:rsidP="008375BB">
      <w:pPr>
        <w:tabs>
          <w:tab w:val="left" w:pos="1440"/>
        </w:tabs>
        <w:adjustRightInd w:val="0"/>
        <w:snapToGrid w:val="0"/>
        <w:spacing w:line="400" w:lineRule="atLeast"/>
        <w:jc w:val="both"/>
        <w:rPr>
          <w:b/>
          <w:szCs w:val="28"/>
          <w:lang w:val="en-GB"/>
        </w:rPr>
      </w:pPr>
    </w:p>
    <w:p w:rsidR="006D2061" w:rsidRDefault="006D2061" w:rsidP="00D57BCD">
      <w:pPr>
        <w:tabs>
          <w:tab w:val="left" w:pos="1440"/>
        </w:tabs>
        <w:overflowPunct w:val="0"/>
        <w:adjustRightInd w:val="0"/>
        <w:snapToGrid w:val="0"/>
        <w:spacing w:line="400" w:lineRule="atLeast"/>
        <w:jc w:val="both"/>
        <w:rPr>
          <w:szCs w:val="28"/>
          <w:lang w:val="en-GB"/>
        </w:rPr>
      </w:pPr>
      <w:r w:rsidRPr="0030675A">
        <w:rPr>
          <w:rFonts w:hint="eastAsia"/>
          <w:szCs w:val="28"/>
          <w:lang w:val="en-GB"/>
        </w:rPr>
        <w:t>13.</w:t>
      </w:r>
      <w:r>
        <w:rPr>
          <w:szCs w:val="28"/>
          <w:lang w:val="en-GB"/>
        </w:rPr>
        <w:t>2</w:t>
      </w:r>
      <w:r>
        <w:rPr>
          <w:rFonts w:hint="eastAsia"/>
          <w:szCs w:val="28"/>
          <w:lang w:val="en-GB"/>
        </w:rPr>
        <w:t>6</w:t>
      </w:r>
      <w:r w:rsidRPr="0030675A">
        <w:rPr>
          <w:rFonts w:hint="eastAsia"/>
          <w:szCs w:val="28"/>
          <w:lang w:val="en-GB"/>
        </w:rPr>
        <w:tab/>
      </w:r>
      <w:r w:rsidRPr="0030675A">
        <w:rPr>
          <w:rFonts w:hint="eastAsia"/>
          <w:szCs w:val="28"/>
          <w:lang w:val="en-GB"/>
        </w:rPr>
        <w:t>如上次報告第</w:t>
      </w:r>
      <w:r w:rsidRPr="0030675A">
        <w:rPr>
          <w:szCs w:val="28"/>
          <w:lang w:val="en-GB"/>
        </w:rPr>
        <w:t>13.86</w:t>
      </w:r>
      <w:r w:rsidRPr="0030675A">
        <w:rPr>
          <w:rFonts w:hint="eastAsia"/>
          <w:szCs w:val="28"/>
          <w:lang w:val="en-GB"/>
        </w:rPr>
        <w:t>段所述，透過學校課程和學習活動所</w:t>
      </w:r>
      <w:r w:rsidRPr="00D57BCD">
        <w:rPr>
          <w:rFonts w:hint="eastAsia"/>
          <w:spacing w:val="2"/>
          <w:szCs w:val="28"/>
          <w:lang w:val="en-GB"/>
        </w:rPr>
        <w:t>提供的學習經歷，可發展學生尊重他人、非歧視及接納等正面價值觀；</w:t>
      </w:r>
      <w:r w:rsidRPr="0030675A">
        <w:rPr>
          <w:rFonts w:hint="eastAsia"/>
          <w:szCs w:val="28"/>
          <w:lang w:val="en-GB"/>
        </w:rPr>
        <w:t>並培養他們包容和尊重個別差異的態度，當中包括性傾向及性別認同。此外，現時中、小學課程均涵蓋認識身體與保護自己相關的課題，亦著重培養</w:t>
      </w:r>
      <w:r>
        <w:rPr>
          <w:rFonts w:hint="eastAsia"/>
          <w:szCs w:val="28"/>
          <w:lang w:val="en-GB" w:eastAsia="zh-HK"/>
        </w:rPr>
        <w:t>學</w:t>
      </w:r>
      <w:r>
        <w:rPr>
          <w:rFonts w:hint="eastAsia"/>
          <w:szCs w:val="28"/>
          <w:lang w:val="en-GB"/>
        </w:rPr>
        <w:t>生</w:t>
      </w:r>
      <w:r w:rsidRPr="0030675A">
        <w:rPr>
          <w:rFonts w:hint="eastAsia"/>
          <w:szCs w:val="28"/>
          <w:lang w:val="en-GB"/>
        </w:rPr>
        <w:t>正面的價值觀和態度，如友善和尊重他人等，建立和諧的人際關係。教育局鼓勵學校進一步加強性教育，並就</w:t>
      </w:r>
      <w:r>
        <w:rPr>
          <w:rFonts w:hint="eastAsia"/>
          <w:szCs w:val="28"/>
          <w:lang w:val="en-GB"/>
        </w:rPr>
        <w:t>相</w:t>
      </w:r>
      <w:r w:rsidRPr="0030675A">
        <w:rPr>
          <w:rFonts w:hint="eastAsia"/>
          <w:szCs w:val="28"/>
          <w:lang w:val="en-GB"/>
        </w:rPr>
        <w:t>關的問題推行預防性和發展性的輔導活動，幫助學生學會保護自己的身體，拒絕別人的冒犯，並在有需要時尋求協助。</w:t>
      </w:r>
      <w:r>
        <w:rPr>
          <w:rFonts w:hint="eastAsia"/>
          <w:szCs w:val="28"/>
          <w:lang w:val="en-GB" w:eastAsia="zh-HK"/>
        </w:rPr>
        <w:t>該</w:t>
      </w:r>
      <w:r w:rsidRPr="0030675A">
        <w:rPr>
          <w:rFonts w:hint="eastAsia"/>
          <w:szCs w:val="28"/>
          <w:lang w:val="en-GB"/>
        </w:rPr>
        <w:t>局將繼續加強支援學校，製作相關學與教資源</w:t>
      </w:r>
      <w:r>
        <w:rPr>
          <w:rFonts w:hint="eastAsia"/>
          <w:szCs w:val="28"/>
          <w:lang w:val="en-GB" w:eastAsia="zh-HK"/>
        </w:rPr>
        <w:t>及</w:t>
      </w:r>
      <w:r w:rsidRPr="0030675A">
        <w:rPr>
          <w:rFonts w:hint="eastAsia"/>
          <w:szCs w:val="28"/>
          <w:lang w:val="en-GB"/>
        </w:rPr>
        <w:t>舉辦教師專業培訓課程幫助教師掌握推行性教育的知識和技能。</w:t>
      </w:r>
    </w:p>
    <w:p w:rsidR="006D2061" w:rsidRDefault="006D2061" w:rsidP="008375BB">
      <w:pPr>
        <w:tabs>
          <w:tab w:val="left" w:pos="1440"/>
        </w:tabs>
        <w:adjustRightInd w:val="0"/>
        <w:snapToGrid w:val="0"/>
        <w:spacing w:line="400" w:lineRule="atLeast"/>
        <w:jc w:val="both"/>
        <w:rPr>
          <w:szCs w:val="28"/>
          <w:lang w:val="en-GB"/>
        </w:rPr>
      </w:pPr>
    </w:p>
    <w:p w:rsidR="006D2061" w:rsidRPr="0030675A" w:rsidRDefault="006D2061" w:rsidP="008375BB">
      <w:pPr>
        <w:tabs>
          <w:tab w:val="left" w:pos="1440"/>
        </w:tabs>
        <w:adjustRightInd w:val="0"/>
        <w:snapToGrid w:val="0"/>
        <w:spacing w:line="400" w:lineRule="atLeast"/>
        <w:jc w:val="both"/>
        <w:rPr>
          <w:b/>
          <w:szCs w:val="28"/>
          <w:lang w:val="en-GB"/>
        </w:rPr>
      </w:pPr>
      <w:r w:rsidRPr="0030675A">
        <w:rPr>
          <w:rFonts w:hint="eastAsia"/>
          <w:b/>
          <w:szCs w:val="28"/>
          <w:lang w:val="en-GB"/>
        </w:rPr>
        <w:t>公民教育、人權教育、反歧視教育和反欺凌教育</w:t>
      </w:r>
    </w:p>
    <w:p w:rsidR="006D2061" w:rsidRDefault="006D2061" w:rsidP="008375BB">
      <w:pPr>
        <w:tabs>
          <w:tab w:val="left" w:pos="1440"/>
        </w:tabs>
        <w:adjustRightInd w:val="0"/>
        <w:snapToGrid w:val="0"/>
        <w:spacing w:line="400" w:lineRule="atLeast"/>
        <w:jc w:val="both"/>
        <w:rPr>
          <w:b/>
          <w:szCs w:val="28"/>
          <w:lang w:val="en-GB"/>
        </w:rPr>
      </w:pPr>
    </w:p>
    <w:p w:rsidR="006D2061" w:rsidRDefault="006D2061" w:rsidP="008375BB">
      <w:pPr>
        <w:tabs>
          <w:tab w:val="left" w:pos="1440"/>
        </w:tabs>
        <w:adjustRightInd w:val="0"/>
        <w:snapToGrid w:val="0"/>
        <w:spacing w:line="400" w:lineRule="atLeast"/>
        <w:jc w:val="both"/>
        <w:rPr>
          <w:szCs w:val="28"/>
          <w:lang w:val="en-GB"/>
        </w:rPr>
      </w:pPr>
      <w:r w:rsidRPr="0030675A">
        <w:rPr>
          <w:rFonts w:hint="eastAsia"/>
          <w:szCs w:val="28"/>
          <w:lang w:val="en-GB"/>
        </w:rPr>
        <w:t>13</w:t>
      </w:r>
      <w:r w:rsidRPr="0030675A">
        <w:rPr>
          <w:szCs w:val="28"/>
          <w:lang w:val="en-GB"/>
        </w:rPr>
        <w:t>.</w:t>
      </w:r>
      <w:r>
        <w:rPr>
          <w:rFonts w:hint="eastAsia"/>
          <w:szCs w:val="28"/>
          <w:lang w:val="en-GB"/>
        </w:rPr>
        <w:t>27</w:t>
      </w:r>
      <w:r w:rsidRPr="0030675A">
        <w:rPr>
          <w:szCs w:val="28"/>
          <w:lang w:val="en-GB"/>
        </w:rPr>
        <w:tab/>
      </w:r>
      <w:r w:rsidRPr="0030675A">
        <w:rPr>
          <w:rFonts w:hint="eastAsia"/>
          <w:szCs w:val="28"/>
          <w:lang w:val="en-GB"/>
        </w:rPr>
        <w:t>不論性別、宗教和種族，兒童均有權利在香港接受優質的免費教育。與公民教育、人權教育及反歧視教育相關的學習元素涵蓋在學校課程不同學科和價值觀教育之內，而這些學科的其中一項課程宗旨，</w:t>
      </w:r>
      <w:r>
        <w:rPr>
          <w:rFonts w:hint="eastAsia"/>
          <w:szCs w:val="28"/>
          <w:lang w:val="en-GB" w:eastAsia="zh-HK"/>
        </w:rPr>
        <w:t>皆</w:t>
      </w:r>
      <w:r w:rsidRPr="0030675A">
        <w:rPr>
          <w:rFonts w:hint="eastAsia"/>
          <w:szCs w:val="28"/>
          <w:lang w:val="en-GB"/>
        </w:rPr>
        <w:t>幫助學生在多元社會中欣賞和尊重不同的文化和觀點，學與教過程中重視培養學生建立責任感、尊重法治、樂於參與、民主、正義、多元化、守望相助，以及人類整體福祉等正面價值觀。</w:t>
      </w: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szCs w:val="28"/>
          <w:lang w:val="en-GB"/>
        </w:rPr>
      </w:pPr>
      <w:r>
        <w:rPr>
          <w:rFonts w:hint="eastAsia"/>
          <w:szCs w:val="28"/>
          <w:lang w:val="en-GB"/>
        </w:rPr>
        <w:t>13.28</w:t>
      </w:r>
      <w:r>
        <w:rPr>
          <w:szCs w:val="28"/>
          <w:lang w:val="en-GB"/>
        </w:rPr>
        <w:tab/>
      </w:r>
      <w:r w:rsidRPr="0030675A">
        <w:rPr>
          <w:rFonts w:hint="eastAsia"/>
          <w:szCs w:val="28"/>
          <w:lang w:val="en-GB"/>
        </w:rPr>
        <w:t>教育局持續支援學校，包括發展學與教資源及舉辦專業發展活動。學校</w:t>
      </w:r>
      <w:r>
        <w:rPr>
          <w:rFonts w:hint="eastAsia"/>
          <w:szCs w:val="28"/>
          <w:lang w:val="en-GB" w:eastAsia="zh-HK"/>
        </w:rPr>
        <w:t>亦</w:t>
      </w:r>
      <w:r w:rsidRPr="0030675A">
        <w:rPr>
          <w:rFonts w:hint="eastAsia"/>
          <w:szCs w:val="28"/>
          <w:lang w:val="en-GB"/>
        </w:rPr>
        <w:t>透過提供多元化及真實的全方位學習體驗活動</w:t>
      </w:r>
      <w:r>
        <w:rPr>
          <w:rFonts w:hint="eastAsia"/>
          <w:szCs w:val="28"/>
          <w:lang w:val="en-GB" w:eastAsia="zh-HK"/>
        </w:rPr>
        <w:t>（</w:t>
      </w:r>
      <w:r w:rsidRPr="0030675A">
        <w:rPr>
          <w:rFonts w:hint="eastAsia"/>
          <w:szCs w:val="28"/>
          <w:lang w:val="en-GB"/>
        </w:rPr>
        <w:t>如制服團體活動、義工服務</w:t>
      </w:r>
      <w:r>
        <w:rPr>
          <w:rFonts w:hint="eastAsia"/>
          <w:szCs w:val="28"/>
          <w:lang w:val="en-GB" w:eastAsia="zh-HK"/>
        </w:rPr>
        <w:t>等）</w:t>
      </w:r>
      <w:r w:rsidRPr="0030675A">
        <w:rPr>
          <w:rFonts w:hint="eastAsia"/>
          <w:szCs w:val="28"/>
          <w:lang w:val="en-GB"/>
        </w:rPr>
        <w:t>，加深學生對公民教育、人權教育及反歧視教育的有關概念及價值觀的理解。</w:t>
      </w: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D57BCD">
      <w:pPr>
        <w:tabs>
          <w:tab w:val="left" w:pos="1440"/>
        </w:tabs>
        <w:overflowPunct w:val="0"/>
        <w:adjustRightInd w:val="0"/>
        <w:snapToGrid w:val="0"/>
        <w:spacing w:line="400" w:lineRule="atLeast"/>
        <w:jc w:val="both"/>
        <w:rPr>
          <w:szCs w:val="28"/>
          <w:lang w:val="en-GB"/>
        </w:rPr>
      </w:pPr>
      <w:r>
        <w:rPr>
          <w:rFonts w:hint="eastAsia"/>
          <w:szCs w:val="28"/>
          <w:lang w:val="en-GB"/>
        </w:rPr>
        <w:lastRenderedPageBreak/>
        <w:t>13.29</w:t>
      </w:r>
      <w:r>
        <w:rPr>
          <w:szCs w:val="28"/>
          <w:lang w:val="en-GB"/>
        </w:rPr>
        <w:tab/>
      </w:r>
      <w:r w:rsidRPr="0030675A">
        <w:rPr>
          <w:rFonts w:hint="eastAsia"/>
          <w:szCs w:val="28"/>
          <w:lang w:val="en-GB"/>
        </w:rPr>
        <w:t>教育局對校園欺凌採取「零容忍」政策，</w:t>
      </w:r>
      <w:r>
        <w:rPr>
          <w:rFonts w:hint="eastAsia"/>
          <w:szCs w:val="28"/>
          <w:lang w:val="en-GB"/>
        </w:rPr>
        <w:t>不接受</w:t>
      </w:r>
      <w:r w:rsidRPr="0030675A">
        <w:rPr>
          <w:rFonts w:hint="eastAsia"/>
          <w:szCs w:val="28"/>
          <w:lang w:val="en-GB"/>
        </w:rPr>
        <w:t>任何形式</w:t>
      </w:r>
      <w:r>
        <w:rPr>
          <w:rFonts w:hint="eastAsia"/>
          <w:szCs w:val="28"/>
          <w:lang w:val="en-GB" w:eastAsia="zh-HK"/>
        </w:rPr>
        <w:t>（</w:t>
      </w:r>
      <w:r w:rsidRPr="0030675A">
        <w:rPr>
          <w:rFonts w:hint="eastAsia"/>
          <w:szCs w:val="28"/>
          <w:lang w:val="en-GB"/>
        </w:rPr>
        <w:t>包括語言、暴力及網上欺凌等</w:t>
      </w:r>
      <w:r>
        <w:rPr>
          <w:rFonts w:hint="eastAsia"/>
          <w:szCs w:val="28"/>
          <w:lang w:val="en-GB" w:eastAsia="zh-HK"/>
        </w:rPr>
        <w:t>）</w:t>
      </w:r>
      <w:r w:rsidRPr="0030675A">
        <w:rPr>
          <w:rFonts w:hint="eastAsia"/>
          <w:szCs w:val="28"/>
          <w:lang w:val="en-GB"/>
        </w:rPr>
        <w:t>或任何原因</w:t>
      </w:r>
      <w:r>
        <w:rPr>
          <w:rFonts w:hint="eastAsia"/>
          <w:szCs w:val="28"/>
          <w:lang w:val="en-GB" w:eastAsia="zh-HK"/>
        </w:rPr>
        <w:t>（</w:t>
      </w:r>
      <w:r w:rsidRPr="0030675A">
        <w:rPr>
          <w:rFonts w:hint="eastAsia"/>
          <w:szCs w:val="28"/>
          <w:lang w:val="en-GB"/>
        </w:rPr>
        <w:t>包括性傾向及性別認同</w:t>
      </w:r>
      <w:r>
        <w:rPr>
          <w:rFonts w:hint="eastAsia"/>
          <w:szCs w:val="28"/>
          <w:lang w:val="en-GB" w:eastAsia="zh-HK"/>
        </w:rPr>
        <w:t>）</w:t>
      </w:r>
      <w:r w:rsidRPr="0030675A">
        <w:rPr>
          <w:rFonts w:hint="eastAsia"/>
          <w:szCs w:val="28"/>
          <w:lang w:val="en-GB"/>
        </w:rPr>
        <w:t>的欺凌行為。</w:t>
      </w:r>
      <w:r>
        <w:rPr>
          <w:rFonts w:hint="eastAsia"/>
          <w:szCs w:val="28"/>
          <w:lang w:val="en-GB"/>
        </w:rPr>
        <w:t>該</w:t>
      </w:r>
      <w:r w:rsidRPr="0030675A">
        <w:rPr>
          <w:rFonts w:hint="eastAsia"/>
          <w:szCs w:val="28"/>
          <w:lang w:val="en-GB"/>
        </w:rPr>
        <w:t>局要求所有學校正視並採取積極措施，提高學生及校內人員反欺凌意識，適切地處理校內欺凌事件，確保學生在校的安全，竭力締造和諧的學校環境。</w:t>
      </w:r>
      <w:r>
        <w:rPr>
          <w:rFonts w:hint="eastAsia"/>
          <w:szCs w:val="28"/>
          <w:lang w:val="en-GB"/>
        </w:rPr>
        <w:t>該</w:t>
      </w:r>
      <w:r w:rsidRPr="0030675A">
        <w:rPr>
          <w:rFonts w:hint="eastAsia"/>
          <w:szCs w:val="28"/>
          <w:lang w:val="en-GB"/>
        </w:rPr>
        <w:t>局又為學校提供支援，包括提供預防及處理校園欺凌的教材和活動，協助學校反欺凌和反歧視的工作。</w:t>
      </w: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szCs w:val="28"/>
          <w:lang w:val="en-GB"/>
        </w:rPr>
      </w:pPr>
      <w:r>
        <w:rPr>
          <w:rFonts w:hint="eastAsia"/>
          <w:szCs w:val="28"/>
          <w:lang w:val="en-GB"/>
        </w:rPr>
        <w:t>13.</w:t>
      </w:r>
      <w:r>
        <w:rPr>
          <w:szCs w:val="28"/>
          <w:lang w:val="en-GB"/>
        </w:rPr>
        <w:t>3</w:t>
      </w:r>
      <w:r>
        <w:rPr>
          <w:rFonts w:hint="eastAsia"/>
          <w:szCs w:val="28"/>
          <w:lang w:val="en-GB"/>
        </w:rPr>
        <w:t>0</w:t>
      </w:r>
      <w:r>
        <w:rPr>
          <w:szCs w:val="28"/>
          <w:lang w:val="en-GB"/>
        </w:rPr>
        <w:tab/>
      </w:r>
      <w:r w:rsidRPr="0030675A">
        <w:rPr>
          <w:rFonts w:hint="eastAsia"/>
          <w:szCs w:val="28"/>
          <w:lang w:val="en-GB"/>
        </w:rPr>
        <w:t>平機會每年皆</w:t>
      </w:r>
      <w:r>
        <w:rPr>
          <w:rFonts w:hint="eastAsia"/>
          <w:szCs w:val="28"/>
          <w:lang w:val="en-GB"/>
        </w:rPr>
        <w:t>為</w:t>
      </w:r>
      <w:r w:rsidRPr="0030675A">
        <w:rPr>
          <w:rFonts w:hint="eastAsia"/>
          <w:szCs w:val="28"/>
          <w:lang w:val="en-GB"/>
        </w:rPr>
        <w:t>公務員、人力資源從業員、機構高級管理人員、非政府組織的社區工作者、來自各行業的私營機構管理人員及</w:t>
      </w:r>
      <w:r w:rsidRPr="00D57BCD">
        <w:rPr>
          <w:rFonts w:hint="eastAsia"/>
          <w:spacing w:val="2"/>
          <w:szCs w:val="28"/>
          <w:lang w:val="en-GB"/>
        </w:rPr>
        <w:t>職員、醫護人員，及來自大專院校和中學的教職員及學生提供超過</w:t>
      </w:r>
      <w:r w:rsidRPr="00D57BCD">
        <w:rPr>
          <w:rFonts w:hint="eastAsia"/>
          <w:spacing w:val="2"/>
          <w:szCs w:val="28"/>
          <w:lang w:val="en-GB"/>
        </w:rPr>
        <w:t>400</w:t>
      </w:r>
      <w:r w:rsidRPr="0030675A">
        <w:rPr>
          <w:rFonts w:hint="eastAsia"/>
          <w:szCs w:val="28"/>
          <w:lang w:val="en-GB"/>
        </w:rPr>
        <w:t>多場有關反歧視條例及相關議題的培訓。</w:t>
      </w:r>
    </w:p>
    <w:p w:rsidR="006D2061" w:rsidRDefault="006D2061" w:rsidP="008375BB">
      <w:pPr>
        <w:tabs>
          <w:tab w:val="left" w:pos="1440"/>
        </w:tabs>
        <w:adjustRightInd w:val="0"/>
        <w:snapToGrid w:val="0"/>
        <w:spacing w:line="400" w:lineRule="atLeast"/>
        <w:jc w:val="both"/>
        <w:rPr>
          <w:szCs w:val="28"/>
          <w:lang w:val="en-GB"/>
        </w:rPr>
      </w:pPr>
    </w:p>
    <w:p w:rsidR="006D2061" w:rsidRPr="0030675A" w:rsidRDefault="006D2061" w:rsidP="008375BB">
      <w:pPr>
        <w:tabs>
          <w:tab w:val="left" w:pos="1440"/>
        </w:tabs>
        <w:adjustRightInd w:val="0"/>
        <w:snapToGrid w:val="0"/>
        <w:spacing w:line="400" w:lineRule="atLeast"/>
        <w:jc w:val="both"/>
        <w:rPr>
          <w:b/>
          <w:szCs w:val="28"/>
          <w:lang w:val="en-GB"/>
        </w:rPr>
      </w:pPr>
      <w:r w:rsidRPr="0030675A">
        <w:rPr>
          <w:rFonts w:hint="eastAsia"/>
          <w:b/>
          <w:szCs w:val="28"/>
          <w:lang w:val="en-GB"/>
        </w:rPr>
        <w:t>文化認同及國家價值觀念</w:t>
      </w: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szCs w:val="28"/>
          <w:lang w:val="en-GB"/>
        </w:rPr>
      </w:pPr>
      <w:r>
        <w:rPr>
          <w:rFonts w:hint="eastAsia"/>
          <w:szCs w:val="28"/>
          <w:lang w:val="en-GB"/>
        </w:rPr>
        <w:t>13.31</w:t>
      </w:r>
      <w:r>
        <w:rPr>
          <w:szCs w:val="28"/>
          <w:lang w:val="en-GB"/>
        </w:rPr>
        <w:tab/>
      </w:r>
      <w:r w:rsidRPr="0030675A">
        <w:rPr>
          <w:rFonts w:hint="eastAsia"/>
          <w:szCs w:val="28"/>
          <w:lang w:val="en-GB"/>
        </w:rPr>
        <w:t>培養學生對國民身分的認同是香港的既定教育政策，並為課程目標之一。</w:t>
      </w:r>
      <w:r>
        <w:rPr>
          <w:rFonts w:hint="eastAsia"/>
          <w:szCs w:val="28"/>
          <w:lang w:val="en-GB"/>
        </w:rPr>
        <w:t>詳情見</w:t>
      </w:r>
      <w:r w:rsidRPr="0032557A">
        <w:rPr>
          <w:rFonts w:hint="eastAsia"/>
          <w:b/>
          <w:bCs/>
          <w:kern w:val="0"/>
          <w:szCs w:val="28"/>
          <w:lang w:val="en-GB" w:eastAsia="zh-HK"/>
        </w:rPr>
        <w:t>附件</w:t>
      </w:r>
      <w:r w:rsidRPr="0032557A">
        <w:rPr>
          <w:rFonts w:hint="eastAsia"/>
          <w:b/>
          <w:bCs/>
          <w:kern w:val="0"/>
          <w:szCs w:val="28"/>
          <w:lang w:val="en-GB" w:eastAsia="zh-HK"/>
        </w:rPr>
        <w:t>13</w:t>
      </w:r>
      <w:r>
        <w:rPr>
          <w:rFonts w:hint="eastAsia"/>
          <w:b/>
          <w:bCs/>
          <w:kern w:val="0"/>
          <w:szCs w:val="28"/>
          <w:lang w:val="en-GB"/>
        </w:rPr>
        <w:t>G</w:t>
      </w:r>
      <w:r>
        <w:rPr>
          <w:rFonts w:hint="eastAsia"/>
          <w:b/>
          <w:bCs/>
          <w:kern w:val="0"/>
          <w:szCs w:val="28"/>
          <w:lang w:val="en-GB"/>
        </w:rPr>
        <w:t>。</w:t>
      </w:r>
    </w:p>
    <w:p w:rsidR="006D2061" w:rsidRDefault="006D2061" w:rsidP="008375BB">
      <w:pPr>
        <w:tabs>
          <w:tab w:val="left" w:pos="1440"/>
        </w:tabs>
        <w:adjustRightInd w:val="0"/>
        <w:snapToGrid w:val="0"/>
        <w:spacing w:line="400" w:lineRule="atLeast"/>
        <w:jc w:val="both"/>
        <w:rPr>
          <w:szCs w:val="28"/>
          <w:lang w:val="en-GB"/>
        </w:rPr>
      </w:pPr>
    </w:p>
    <w:p w:rsidR="006D2061" w:rsidRDefault="006D2061" w:rsidP="008375BB">
      <w:pPr>
        <w:tabs>
          <w:tab w:val="left" w:pos="1440"/>
        </w:tabs>
        <w:adjustRightInd w:val="0"/>
        <w:snapToGrid w:val="0"/>
        <w:spacing w:line="400" w:lineRule="atLeast"/>
        <w:jc w:val="both"/>
        <w:rPr>
          <w:b/>
          <w:szCs w:val="28"/>
          <w:lang w:val="en-GB"/>
        </w:rPr>
      </w:pPr>
      <w:r w:rsidRPr="0030675A">
        <w:rPr>
          <w:rFonts w:hint="eastAsia"/>
          <w:b/>
          <w:szCs w:val="28"/>
          <w:lang w:val="en-GB"/>
        </w:rPr>
        <w:t>《基本法》方面的公眾教育</w:t>
      </w:r>
    </w:p>
    <w:p w:rsidR="006D2061" w:rsidRDefault="006D2061" w:rsidP="008375BB">
      <w:pPr>
        <w:tabs>
          <w:tab w:val="left" w:pos="1440"/>
        </w:tabs>
        <w:adjustRightInd w:val="0"/>
        <w:snapToGrid w:val="0"/>
        <w:spacing w:line="400" w:lineRule="atLeast"/>
        <w:jc w:val="both"/>
        <w:rPr>
          <w:b/>
          <w:szCs w:val="28"/>
          <w:lang w:val="en-GB"/>
        </w:rPr>
      </w:pPr>
    </w:p>
    <w:p w:rsidR="006D2061" w:rsidRPr="00FB7D82" w:rsidRDefault="006D2061" w:rsidP="008375BB">
      <w:pPr>
        <w:tabs>
          <w:tab w:val="left" w:pos="1440"/>
        </w:tabs>
        <w:adjustRightInd w:val="0"/>
        <w:snapToGrid w:val="0"/>
        <w:spacing w:line="400" w:lineRule="atLeast"/>
        <w:jc w:val="both"/>
        <w:rPr>
          <w:szCs w:val="28"/>
          <w:lang w:val="en-GB"/>
        </w:rPr>
      </w:pPr>
      <w:r w:rsidRPr="00FB7D82">
        <w:rPr>
          <w:rFonts w:hint="eastAsia"/>
          <w:szCs w:val="28"/>
          <w:lang w:val="en-GB"/>
        </w:rPr>
        <w:t>13.</w:t>
      </w:r>
      <w:r>
        <w:rPr>
          <w:szCs w:val="28"/>
          <w:lang w:val="en-GB"/>
        </w:rPr>
        <w:t>3</w:t>
      </w:r>
      <w:r>
        <w:rPr>
          <w:rFonts w:hint="eastAsia"/>
          <w:szCs w:val="28"/>
          <w:lang w:val="en-GB"/>
        </w:rPr>
        <w:t>2</w:t>
      </w:r>
      <w:r w:rsidRPr="00FB7D82">
        <w:rPr>
          <w:szCs w:val="28"/>
          <w:lang w:val="en-GB"/>
        </w:rPr>
        <w:tab/>
      </w:r>
      <w:r w:rsidRPr="004B2E69">
        <w:rPr>
          <w:szCs w:val="28"/>
        </w:rPr>
        <w:t>情況與</w:t>
      </w:r>
      <w:r w:rsidRPr="004B2E69">
        <w:rPr>
          <w:rFonts w:hint="eastAsia"/>
          <w:szCs w:val="28"/>
        </w:rPr>
        <w:t>上一次報告第</w:t>
      </w:r>
      <w:r w:rsidRPr="004B2E69">
        <w:rPr>
          <w:szCs w:val="28"/>
        </w:rPr>
        <w:t>13.</w:t>
      </w:r>
      <w:r>
        <w:rPr>
          <w:rFonts w:hint="eastAsia"/>
          <w:szCs w:val="28"/>
        </w:rPr>
        <w:t>103</w:t>
      </w:r>
      <w:r w:rsidRPr="004B2E69">
        <w:rPr>
          <w:rFonts w:hint="eastAsia"/>
          <w:szCs w:val="28"/>
        </w:rPr>
        <w:t>段所述的相同。</w:t>
      </w:r>
    </w:p>
    <w:p w:rsidR="006D2061" w:rsidRPr="0030675A" w:rsidRDefault="006D2061" w:rsidP="008375BB">
      <w:pPr>
        <w:tabs>
          <w:tab w:val="left" w:pos="1440"/>
        </w:tabs>
        <w:adjustRightInd w:val="0"/>
        <w:snapToGrid w:val="0"/>
        <w:spacing w:line="400" w:lineRule="atLeast"/>
        <w:jc w:val="both"/>
        <w:rPr>
          <w:szCs w:val="28"/>
          <w:lang w:val="en-GB"/>
        </w:rPr>
      </w:pPr>
    </w:p>
    <w:p w:rsidR="00B94F98" w:rsidRPr="00725BB0" w:rsidRDefault="00B94F98">
      <w:pPr>
        <w:widowControl/>
        <w:rPr>
          <w:szCs w:val="28"/>
        </w:rPr>
      </w:pPr>
      <w:r w:rsidRPr="00725BB0">
        <w:rPr>
          <w:szCs w:val="28"/>
        </w:rPr>
        <w:br w:type="page"/>
      </w:r>
    </w:p>
    <w:p w:rsidR="006D2061" w:rsidRPr="00930209" w:rsidRDefault="006D2061" w:rsidP="008375BB">
      <w:pPr>
        <w:tabs>
          <w:tab w:val="left" w:pos="1440"/>
        </w:tabs>
        <w:adjustRightInd w:val="0"/>
        <w:snapToGrid w:val="0"/>
        <w:spacing w:line="400" w:lineRule="atLeast"/>
        <w:contextualSpacing/>
        <w:jc w:val="both"/>
        <w:rPr>
          <w:szCs w:val="28"/>
        </w:rPr>
      </w:pPr>
      <w:r w:rsidRPr="00930209">
        <w:rPr>
          <w:rFonts w:hint="eastAsia"/>
          <w:b/>
          <w:szCs w:val="28"/>
          <w:u w:val="single"/>
        </w:rPr>
        <w:lastRenderedPageBreak/>
        <w:t>第十五條：參與文化生活、享受科學進步及其應用之惠的權利</w:t>
      </w:r>
    </w:p>
    <w:p w:rsidR="006D2061" w:rsidRPr="00930209" w:rsidRDefault="006D2061" w:rsidP="008375BB">
      <w:pPr>
        <w:tabs>
          <w:tab w:val="left" w:pos="1440"/>
        </w:tabs>
        <w:adjustRightInd w:val="0"/>
        <w:snapToGrid w:val="0"/>
        <w:spacing w:line="400" w:lineRule="atLeast"/>
        <w:contextualSpacing/>
        <w:jc w:val="both"/>
        <w:rPr>
          <w:szCs w:val="28"/>
        </w:rPr>
      </w:pPr>
    </w:p>
    <w:p w:rsidR="006D2061" w:rsidRPr="00930209" w:rsidRDefault="006D2061" w:rsidP="008375BB">
      <w:pPr>
        <w:tabs>
          <w:tab w:val="left" w:pos="1440"/>
        </w:tabs>
        <w:adjustRightInd w:val="0"/>
        <w:snapToGrid w:val="0"/>
        <w:spacing w:line="400" w:lineRule="atLeast"/>
        <w:contextualSpacing/>
        <w:jc w:val="both"/>
        <w:rPr>
          <w:szCs w:val="28"/>
        </w:rPr>
      </w:pPr>
      <w:r w:rsidRPr="00930209">
        <w:rPr>
          <w:szCs w:val="28"/>
        </w:rPr>
        <w:t>15.1</w:t>
      </w:r>
      <w:r w:rsidRPr="00930209">
        <w:rPr>
          <w:szCs w:val="28"/>
        </w:rPr>
        <w:tab/>
      </w:r>
      <w:r w:rsidRPr="00930209">
        <w:rPr>
          <w:szCs w:val="28"/>
        </w:rPr>
        <w:t>憲制及法</w:t>
      </w:r>
      <w:r w:rsidRPr="00930209">
        <w:rPr>
          <w:rFonts w:hint="eastAsia"/>
          <w:szCs w:val="28"/>
        </w:rPr>
        <w:t>律</w:t>
      </w:r>
      <w:r w:rsidRPr="00930209">
        <w:rPr>
          <w:szCs w:val="28"/>
        </w:rPr>
        <w:t>方面對第十五條所述權利的保障情況與第一次報告第</w:t>
      </w:r>
      <w:r w:rsidRPr="00930209">
        <w:rPr>
          <w:szCs w:val="28"/>
        </w:rPr>
        <w:t>581</w:t>
      </w:r>
      <w:r w:rsidRPr="00930209">
        <w:rPr>
          <w:szCs w:val="28"/>
        </w:rPr>
        <w:t>段所述的相同。</w:t>
      </w:r>
    </w:p>
    <w:p w:rsidR="006D2061" w:rsidRPr="00930209" w:rsidRDefault="006D2061" w:rsidP="008375BB">
      <w:pPr>
        <w:tabs>
          <w:tab w:val="left" w:pos="1440"/>
        </w:tabs>
        <w:adjustRightInd w:val="0"/>
        <w:snapToGrid w:val="0"/>
        <w:spacing w:line="400" w:lineRule="atLeast"/>
        <w:contextualSpacing/>
        <w:jc w:val="both"/>
        <w:rPr>
          <w:szCs w:val="28"/>
        </w:rPr>
      </w:pPr>
    </w:p>
    <w:p w:rsidR="006D2061" w:rsidRPr="00930209" w:rsidRDefault="006D2061" w:rsidP="008375BB">
      <w:pPr>
        <w:tabs>
          <w:tab w:val="left" w:pos="1440"/>
        </w:tabs>
        <w:adjustRightInd w:val="0"/>
        <w:snapToGrid w:val="0"/>
        <w:spacing w:line="400" w:lineRule="atLeast"/>
        <w:contextualSpacing/>
        <w:jc w:val="both"/>
        <w:rPr>
          <w:b/>
          <w:szCs w:val="28"/>
        </w:rPr>
      </w:pPr>
      <w:r w:rsidRPr="00930209">
        <w:rPr>
          <w:b/>
          <w:szCs w:val="28"/>
        </w:rPr>
        <w:t>文化及藝術政策</w:t>
      </w:r>
    </w:p>
    <w:p w:rsidR="006D2061" w:rsidRPr="00930209" w:rsidRDefault="006D2061" w:rsidP="008375BB">
      <w:pPr>
        <w:tabs>
          <w:tab w:val="left" w:pos="1440"/>
        </w:tabs>
        <w:adjustRightInd w:val="0"/>
        <w:snapToGrid w:val="0"/>
        <w:spacing w:line="400" w:lineRule="atLeast"/>
        <w:contextualSpacing/>
        <w:jc w:val="both"/>
        <w:rPr>
          <w:b/>
          <w:szCs w:val="28"/>
        </w:rPr>
      </w:pPr>
    </w:p>
    <w:p w:rsidR="006D2061" w:rsidRPr="00930209" w:rsidRDefault="006D2061" w:rsidP="008375BB">
      <w:pPr>
        <w:tabs>
          <w:tab w:val="left" w:pos="1440"/>
        </w:tabs>
        <w:adjustRightInd w:val="0"/>
        <w:snapToGrid w:val="0"/>
        <w:spacing w:line="400" w:lineRule="atLeast"/>
        <w:contextualSpacing/>
        <w:jc w:val="both"/>
        <w:rPr>
          <w:szCs w:val="28"/>
        </w:rPr>
      </w:pPr>
      <w:r w:rsidRPr="00930209">
        <w:rPr>
          <w:szCs w:val="28"/>
        </w:rPr>
        <w:t>15.2</w:t>
      </w:r>
      <w:r w:rsidRPr="00930209">
        <w:rPr>
          <w:szCs w:val="28"/>
        </w:rPr>
        <w:tab/>
      </w:r>
      <w:r w:rsidRPr="00930209">
        <w:rPr>
          <w:szCs w:val="28"/>
        </w:rPr>
        <w:t>如第一次報告第</w:t>
      </w:r>
      <w:r w:rsidRPr="00930209">
        <w:rPr>
          <w:szCs w:val="28"/>
        </w:rPr>
        <w:t>582</w:t>
      </w:r>
      <w:r w:rsidRPr="00930209">
        <w:rPr>
          <w:szCs w:val="28"/>
        </w:rPr>
        <w:t>段所述，政府的文化及藝術政策，是締造有利文化藝術表達和創作，並鼓勵市民參與文化活動的環境。</w:t>
      </w:r>
    </w:p>
    <w:p w:rsidR="006D2061" w:rsidRPr="00930209" w:rsidRDefault="006D2061" w:rsidP="008375BB">
      <w:pPr>
        <w:tabs>
          <w:tab w:val="left" w:pos="1440"/>
        </w:tabs>
        <w:adjustRightInd w:val="0"/>
        <w:snapToGrid w:val="0"/>
        <w:spacing w:line="400" w:lineRule="atLeast"/>
        <w:contextualSpacing/>
        <w:jc w:val="both"/>
        <w:rPr>
          <w:szCs w:val="28"/>
        </w:rPr>
      </w:pPr>
    </w:p>
    <w:p w:rsidR="006D2061" w:rsidRPr="00930209" w:rsidRDefault="006D2061" w:rsidP="008375BB">
      <w:pPr>
        <w:tabs>
          <w:tab w:val="left" w:pos="1440"/>
        </w:tabs>
        <w:adjustRightInd w:val="0"/>
        <w:snapToGrid w:val="0"/>
        <w:spacing w:line="400" w:lineRule="atLeast"/>
        <w:contextualSpacing/>
        <w:jc w:val="both"/>
        <w:rPr>
          <w:szCs w:val="28"/>
        </w:rPr>
      </w:pPr>
      <w:r w:rsidRPr="00613F91">
        <w:rPr>
          <w:spacing w:val="2"/>
          <w:szCs w:val="28"/>
        </w:rPr>
        <w:t>15.3</w:t>
      </w:r>
      <w:r w:rsidRPr="00613F91">
        <w:rPr>
          <w:spacing w:val="2"/>
          <w:szCs w:val="28"/>
        </w:rPr>
        <w:tab/>
      </w:r>
      <w:r w:rsidRPr="00613F91">
        <w:rPr>
          <w:rFonts w:hint="eastAsia"/>
          <w:spacing w:val="2"/>
          <w:szCs w:val="28"/>
        </w:rPr>
        <w:t>自上次報告以來，政府致力改善現有措施和推出新的措施，</w:t>
      </w:r>
      <w:r w:rsidRPr="006731FD">
        <w:rPr>
          <w:rFonts w:hint="eastAsia"/>
          <w:szCs w:val="28"/>
        </w:rPr>
        <w:t>以進一步支援本地藝術及文化界，如推行新資助計劃和增加香港藝術發展局（藝發局）的資源。政府</w:t>
      </w:r>
      <w:r>
        <w:rPr>
          <w:rFonts w:hint="eastAsia"/>
          <w:szCs w:val="28"/>
          <w:lang w:eastAsia="zh-HK"/>
        </w:rPr>
        <w:t>的</w:t>
      </w:r>
      <w:r w:rsidRPr="006731FD">
        <w:rPr>
          <w:rFonts w:hint="eastAsia"/>
          <w:szCs w:val="28"/>
        </w:rPr>
        <w:t>文化藝術支出在</w:t>
      </w:r>
      <w:r w:rsidRPr="006731FD">
        <w:rPr>
          <w:szCs w:val="28"/>
        </w:rPr>
        <w:t>2018-19</w:t>
      </w:r>
      <w:r w:rsidRPr="006731FD">
        <w:rPr>
          <w:rFonts w:hint="eastAsia"/>
          <w:szCs w:val="28"/>
        </w:rPr>
        <w:t>年超過</w:t>
      </w:r>
      <w:r w:rsidRPr="006731FD">
        <w:rPr>
          <w:szCs w:val="28"/>
        </w:rPr>
        <w:t>48</w:t>
      </w:r>
      <w:r w:rsidRPr="006731FD">
        <w:rPr>
          <w:rFonts w:hint="eastAsia"/>
          <w:szCs w:val="28"/>
        </w:rPr>
        <w:t>億元（不包括建設工程的開支）</w:t>
      </w:r>
      <w:r>
        <w:rPr>
          <w:rFonts w:hint="eastAsia"/>
          <w:szCs w:val="28"/>
          <w:lang w:eastAsia="zh-HK"/>
        </w:rPr>
        <w:t>，</w:t>
      </w:r>
      <w:r w:rsidRPr="006731FD">
        <w:rPr>
          <w:rFonts w:hint="eastAsia"/>
          <w:szCs w:val="28"/>
        </w:rPr>
        <w:t>主要用於為藝術活動提供場地支援、資助藝術團體、藝術教育和推廣，以及支付相關行政費用。</w:t>
      </w:r>
    </w:p>
    <w:p w:rsidR="006D2061" w:rsidRPr="00930209" w:rsidRDefault="006D2061" w:rsidP="008375BB">
      <w:pPr>
        <w:tabs>
          <w:tab w:val="left" w:pos="1440"/>
        </w:tabs>
        <w:adjustRightInd w:val="0"/>
        <w:snapToGrid w:val="0"/>
        <w:spacing w:line="400" w:lineRule="atLeast"/>
        <w:contextualSpacing/>
        <w:jc w:val="both"/>
        <w:rPr>
          <w:szCs w:val="28"/>
        </w:rPr>
      </w:pPr>
    </w:p>
    <w:p w:rsidR="006D2061" w:rsidRPr="006731FD" w:rsidRDefault="006D2061" w:rsidP="008375BB">
      <w:pPr>
        <w:tabs>
          <w:tab w:val="left" w:pos="1440"/>
        </w:tabs>
        <w:adjustRightInd w:val="0"/>
        <w:snapToGrid w:val="0"/>
        <w:spacing w:line="400" w:lineRule="atLeast"/>
        <w:contextualSpacing/>
        <w:jc w:val="both"/>
        <w:rPr>
          <w:szCs w:val="28"/>
        </w:rPr>
      </w:pPr>
      <w:r w:rsidRPr="00930209">
        <w:rPr>
          <w:szCs w:val="28"/>
        </w:rPr>
        <w:t>15.4</w:t>
      </w:r>
      <w:r w:rsidRPr="00930209">
        <w:rPr>
          <w:szCs w:val="28"/>
        </w:rPr>
        <w:tab/>
      </w:r>
      <w:r w:rsidRPr="006731FD">
        <w:rPr>
          <w:rFonts w:hint="eastAsia"/>
          <w:szCs w:val="28"/>
        </w:rPr>
        <w:t>除直接營運文化設施外，政府亦成立法定機構－西九文化區管理局－以發展西九文化區。西九文化區是重要的文化基建投資</w:t>
      </w:r>
      <w:r>
        <w:rPr>
          <w:rFonts w:hint="eastAsia"/>
          <w:szCs w:val="28"/>
        </w:rPr>
        <w:t>，</w:t>
      </w:r>
      <w:r w:rsidRPr="006731FD">
        <w:rPr>
          <w:rFonts w:hint="eastAsia"/>
          <w:szCs w:val="28"/>
        </w:rPr>
        <w:t>現正發展成為一個糅合地方與傳統特色，並加入國際和現代元素的世界級綜合文化藝術區，其目標是促進文化藝術的發展，回應市民日益增長的文化需求，並且提升香港作為國際大都會的地位。</w:t>
      </w:r>
    </w:p>
    <w:p w:rsidR="006D2061" w:rsidRPr="00930209" w:rsidRDefault="006D2061" w:rsidP="008375BB">
      <w:pPr>
        <w:tabs>
          <w:tab w:val="left" w:pos="1440"/>
        </w:tabs>
        <w:adjustRightInd w:val="0"/>
        <w:snapToGrid w:val="0"/>
        <w:spacing w:line="400" w:lineRule="atLeast"/>
        <w:contextualSpacing/>
        <w:jc w:val="both"/>
        <w:rPr>
          <w:szCs w:val="28"/>
        </w:rPr>
      </w:pPr>
    </w:p>
    <w:p w:rsidR="006D2061" w:rsidRPr="006731FD" w:rsidRDefault="006D2061" w:rsidP="008375BB">
      <w:pPr>
        <w:tabs>
          <w:tab w:val="left" w:pos="1440"/>
        </w:tabs>
        <w:adjustRightInd w:val="0"/>
        <w:snapToGrid w:val="0"/>
        <w:spacing w:line="400" w:lineRule="atLeast"/>
        <w:contextualSpacing/>
        <w:jc w:val="both"/>
        <w:rPr>
          <w:b/>
          <w:szCs w:val="28"/>
        </w:rPr>
      </w:pPr>
      <w:r w:rsidRPr="006731FD">
        <w:rPr>
          <w:rFonts w:hint="eastAsia"/>
          <w:b/>
          <w:szCs w:val="28"/>
        </w:rPr>
        <w:t>文化藝術活動</w:t>
      </w:r>
      <w:r>
        <w:rPr>
          <w:rFonts w:hint="eastAsia"/>
          <w:b/>
          <w:szCs w:val="28"/>
          <w:lang w:eastAsia="zh-HK"/>
        </w:rPr>
        <w:t>的推廣</w:t>
      </w:r>
      <w:r w:rsidRPr="006731FD">
        <w:rPr>
          <w:rFonts w:hint="eastAsia"/>
          <w:b/>
          <w:szCs w:val="28"/>
        </w:rPr>
        <w:t>及</w:t>
      </w:r>
      <w:r>
        <w:rPr>
          <w:rFonts w:hint="eastAsia"/>
          <w:b/>
          <w:szCs w:val="28"/>
          <w:lang w:eastAsia="zh-HK"/>
        </w:rPr>
        <w:t>參</w:t>
      </w:r>
      <w:r>
        <w:rPr>
          <w:rFonts w:hint="eastAsia"/>
          <w:b/>
          <w:szCs w:val="28"/>
        </w:rPr>
        <w:t>與</w:t>
      </w:r>
    </w:p>
    <w:p w:rsidR="006D2061" w:rsidRDefault="006D2061" w:rsidP="008375BB">
      <w:pPr>
        <w:tabs>
          <w:tab w:val="left" w:pos="1440"/>
        </w:tabs>
        <w:adjustRightInd w:val="0"/>
        <w:snapToGrid w:val="0"/>
        <w:spacing w:line="400" w:lineRule="atLeast"/>
        <w:contextualSpacing/>
        <w:jc w:val="both"/>
        <w:rPr>
          <w:szCs w:val="28"/>
        </w:rPr>
      </w:pPr>
    </w:p>
    <w:p w:rsidR="006D2061" w:rsidRPr="006731FD" w:rsidRDefault="006D2061" w:rsidP="008375BB">
      <w:pPr>
        <w:tabs>
          <w:tab w:val="left" w:pos="1440"/>
        </w:tabs>
        <w:adjustRightInd w:val="0"/>
        <w:snapToGrid w:val="0"/>
        <w:spacing w:line="400" w:lineRule="atLeast"/>
        <w:contextualSpacing/>
        <w:jc w:val="both"/>
        <w:rPr>
          <w:szCs w:val="28"/>
        </w:rPr>
      </w:pPr>
      <w:r>
        <w:rPr>
          <w:rFonts w:hint="eastAsia"/>
          <w:szCs w:val="28"/>
        </w:rPr>
        <w:t>15.5</w:t>
      </w:r>
      <w:r>
        <w:rPr>
          <w:szCs w:val="28"/>
        </w:rPr>
        <w:tab/>
      </w:r>
      <w:r w:rsidRPr="00D423B2">
        <w:rPr>
          <w:rFonts w:hint="eastAsia"/>
          <w:szCs w:val="28"/>
        </w:rPr>
        <w:t>政府致力推廣</w:t>
      </w:r>
      <w:r>
        <w:rPr>
          <w:rFonts w:hint="eastAsia"/>
          <w:szCs w:val="28"/>
          <w:lang w:eastAsia="zh-HK"/>
        </w:rPr>
        <w:t>文</w:t>
      </w:r>
      <w:r>
        <w:rPr>
          <w:rFonts w:hint="eastAsia"/>
          <w:szCs w:val="28"/>
        </w:rPr>
        <w:t>化</w:t>
      </w:r>
      <w:r w:rsidRPr="00D423B2">
        <w:rPr>
          <w:rFonts w:hint="eastAsia"/>
          <w:szCs w:val="28"/>
        </w:rPr>
        <w:t>藝術，</w:t>
      </w:r>
      <w:r>
        <w:rPr>
          <w:rFonts w:hint="eastAsia"/>
          <w:szCs w:val="28"/>
          <w:lang w:eastAsia="zh-HK"/>
        </w:rPr>
        <w:t>以及</w:t>
      </w:r>
      <w:r w:rsidRPr="00D423B2">
        <w:rPr>
          <w:rFonts w:hint="eastAsia"/>
          <w:szCs w:val="28"/>
        </w:rPr>
        <w:t>鼓勵各界</w:t>
      </w:r>
      <w:r>
        <w:rPr>
          <w:rFonts w:hint="eastAsia"/>
          <w:szCs w:val="28"/>
          <w:lang w:eastAsia="zh-HK"/>
        </w:rPr>
        <w:t>（包</w:t>
      </w:r>
      <w:r>
        <w:rPr>
          <w:rFonts w:hint="eastAsia"/>
          <w:szCs w:val="28"/>
        </w:rPr>
        <w:t>括</w:t>
      </w:r>
      <w:r>
        <w:rPr>
          <w:rFonts w:hint="eastAsia"/>
          <w:szCs w:val="28"/>
          <w:lang w:eastAsia="zh-HK"/>
        </w:rPr>
        <w:t>兒童和青</w:t>
      </w:r>
      <w:r>
        <w:rPr>
          <w:rFonts w:hint="eastAsia"/>
          <w:szCs w:val="28"/>
        </w:rPr>
        <w:t>少年</w:t>
      </w:r>
      <w:r>
        <w:rPr>
          <w:rFonts w:hint="eastAsia"/>
          <w:szCs w:val="28"/>
          <w:lang w:eastAsia="zh-HK"/>
        </w:rPr>
        <w:t>及殘</w:t>
      </w:r>
      <w:r>
        <w:rPr>
          <w:rFonts w:hint="eastAsia"/>
          <w:szCs w:val="28"/>
        </w:rPr>
        <w:t>疾</w:t>
      </w:r>
      <w:r>
        <w:rPr>
          <w:rFonts w:hint="eastAsia"/>
          <w:szCs w:val="28"/>
          <w:lang w:eastAsia="zh-HK"/>
        </w:rPr>
        <w:t>人士）</w:t>
      </w:r>
      <w:r w:rsidRPr="00D423B2">
        <w:rPr>
          <w:rFonts w:hint="eastAsia"/>
          <w:szCs w:val="28"/>
        </w:rPr>
        <w:t>參與文化藝術活動</w:t>
      </w:r>
      <w:r>
        <w:rPr>
          <w:rFonts w:hint="eastAsia"/>
          <w:szCs w:val="28"/>
        </w:rPr>
        <w:t>。文化設施</w:t>
      </w:r>
      <w:r>
        <w:rPr>
          <w:rFonts w:hint="eastAsia"/>
          <w:szCs w:val="28"/>
          <w:lang w:eastAsia="zh-HK"/>
        </w:rPr>
        <w:t>與推</w:t>
      </w:r>
      <w:r>
        <w:rPr>
          <w:rFonts w:hint="eastAsia"/>
          <w:szCs w:val="28"/>
        </w:rPr>
        <w:t>廣</w:t>
      </w:r>
      <w:r>
        <w:rPr>
          <w:rFonts w:hint="eastAsia"/>
          <w:szCs w:val="28"/>
          <w:lang w:eastAsia="zh-HK"/>
        </w:rPr>
        <w:t>文化藝</w:t>
      </w:r>
      <w:r>
        <w:rPr>
          <w:rFonts w:hint="eastAsia"/>
          <w:szCs w:val="28"/>
        </w:rPr>
        <w:t>術</w:t>
      </w:r>
      <w:r>
        <w:rPr>
          <w:rFonts w:hint="eastAsia"/>
          <w:szCs w:val="28"/>
          <w:lang w:eastAsia="zh-HK"/>
        </w:rPr>
        <w:t>及參</w:t>
      </w:r>
      <w:r>
        <w:rPr>
          <w:rFonts w:hint="eastAsia"/>
          <w:szCs w:val="28"/>
        </w:rPr>
        <w:t>與</w:t>
      </w:r>
      <w:r w:rsidRPr="00C152C4">
        <w:rPr>
          <w:rFonts w:hint="eastAsia"/>
          <w:szCs w:val="28"/>
        </w:rPr>
        <w:t>文化藝術</w:t>
      </w:r>
      <w:r>
        <w:rPr>
          <w:rFonts w:hint="eastAsia"/>
          <w:szCs w:val="28"/>
          <w:lang w:eastAsia="zh-HK"/>
        </w:rPr>
        <w:t>活</w:t>
      </w:r>
      <w:r>
        <w:rPr>
          <w:rFonts w:hint="eastAsia"/>
          <w:szCs w:val="28"/>
        </w:rPr>
        <w:t>動</w:t>
      </w:r>
      <w:r w:rsidRPr="006731FD">
        <w:rPr>
          <w:rFonts w:hint="eastAsia"/>
          <w:szCs w:val="28"/>
        </w:rPr>
        <w:t>的最新情況在</w:t>
      </w:r>
      <w:r w:rsidRPr="00974933">
        <w:rPr>
          <w:rFonts w:hint="eastAsia"/>
          <w:b/>
          <w:szCs w:val="28"/>
          <w:lang w:eastAsia="zh-HK"/>
        </w:rPr>
        <w:t>附件</w:t>
      </w:r>
      <w:r w:rsidRPr="00974933">
        <w:rPr>
          <w:rFonts w:hint="eastAsia"/>
          <w:b/>
          <w:szCs w:val="28"/>
        </w:rPr>
        <w:t>15A</w:t>
      </w:r>
      <w:r w:rsidRPr="006731FD">
        <w:rPr>
          <w:rFonts w:hint="eastAsia"/>
          <w:szCs w:val="28"/>
        </w:rPr>
        <w:t>詳述。</w:t>
      </w:r>
    </w:p>
    <w:p w:rsidR="006D2061" w:rsidRDefault="006D2061" w:rsidP="008375BB">
      <w:pPr>
        <w:tabs>
          <w:tab w:val="left" w:pos="1440"/>
        </w:tabs>
        <w:adjustRightInd w:val="0"/>
        <w:snapToGrid w:val="0"/>
        <w:spacing w:line="400" w:lineRule="atLeast"/>
        <w:contextualSpacing/>
        <w:jc w:val="both"/>
        <w:rPr>
          <w:szCs w:val="28"/>
        </w:rPr>
      </w:pPr>
    </w:p>
    <w:p w:rsidR="006D2061" w:rsidRPr="00C41521" w:rsidRDefault="006D2061" w:rsidP="008375BB">
      <w:pPr>
        <w:tabs>
          <w:tab w:val="left" w:pos="1440"/>
        </w:tabs>
        <w:adjustRightInd w:val="0"/>
        <w:snapToGrid w:val="0"/>
        <w:spacing w:line="400" w:lineRule="atLeast"/>
        <w:contextualSpacing/>
        <w:jc w:val="both"/>
        <w:rPr>
          <w:b/>
          <w:szCs w:val="28"/>
        </w:rPr>
      </w:pPr>
      <w:r w:rsidRPr="00C41521">
        <w:rPr>
          <w:rFonts w:hint="eastAsia"/>
          <w:b/>
          <w:szCs w:val="28"/>
        </w:rPr>
        <w:t>文化藝術的教育及發展</w:t>
      </w:r>
    </w:p>
    <w:p w:rsidR="006D2061" w:rsidRDefault="006D2061" w:rsidP="008375BB">
      <w:pPr>
        <w:tabs>
          <w:tab w:val="left" w:pos="1440"/>
        </w:tabs>
        <w:adjustRightInd w:val="0"/>
        <w:snapToGrid w:val="0"/>
        <w:spacing w:line="400" w:lineRule="atLeast"/>
        <w:contextualSpacing/>
        <w:jc w:val="both"/>
        <w:rPr>
          <w:szCs w:val="28"/>
        </w:rPr>
      </w:pPr>
    </w:p>
    <w:p w:rsidR="006D2061" w:rsidRPr="00C41521" w:rsidRDefault="006D2061" w:rsidP="008375BB">
      <w:pPr>
        <w:tabs>
          <w:tab w:val="left" w:pos="1440"/>
        </w:tabs>
        <w:adjustRightInd w:val="0"/>
        <w:snapToGrid w:val="0"/>
        <w:spacing w:line="400" w:lineRule="atLeast"/>
        <w:contextualSpacing/>
        <w:jc w:val="both"/>
        <w:rPr>
          <w:szCs w:val="28"/>
        </w:rPr>
      </w:pPr>
      <w:r>
        <w:rPr>
          <w:rFonts w:hint="eastAsia"/>
          <w:szCs w:val="28"/>
        </w:rPr>
        <w:t>15.6</w:t>
      </w:r>
      <w:r>
        <w:rPr>
          <w:rFonts w:hint="eastAsia"/>
          <w:szCs w:val="28"/>
        </w:rPr>
        <w:tab/>
      </w:r>
      <w:r w:rsidRPr="00C41521">
        <w:rPr>
          <w:rFonts w:hint="eastAsia"/>
          <w:szCs w:val="28"/>
        </w:rPr>
        <w:t>香港演藝學院和香港藝術中心繼續促進各種形式的藝術發展及提供訓練。</w:t>
      </w:r>
      <w:r>
        <w:rPr>
          <w:rFonts w:hint="eastAsia"/>
          <w:szCs w:val="28"/>
          <w:lang w:eastAsia="zh-HK"/>
        </w:rPr>
        <w:t>前者</w:t>
      </w:r>
      <w:r w:rsidRPr="00C41521">
        <w:rPr>
          <w:rFonts w:hint="eastAsia"/>
          <w:szCs w:val="28"/>
        </w:rPr>
        <w:t>是香港唯一提供表演藝術及相關科藝的訓練、教育及研究工作的公帑資助高等教育院校。自</w:t>
      </w:r>
      <w:r w:rsidRPr="00C41521">
        <w:rPr>
          <w:szCs w:val="28"/>
        </w:rPr>
        <w:t>1984</w:t>
      </w:r>
      <w:r w:rsidRPr="00C41521">
        <w:rPr>
          <w:rFonts w:hint="eastAsia"/>
          <w:szCs w:val="28"/>
        </w:rPr>
        <w:t>年成立至今已有</w:t>
      </w:r>
      <w:r w:rsidRPr="00613F91">
        <w:rPr>
          <w:rFonts w:hint="eastAsia"/>
          <w:spacing w:val="2"/>
          <w:szCs w:val="28"/>
        </w:rPr>
        <w:t>超過</w:t>
      </w:r>
      <w:r w:rsidRPr="00613F91">
        <w:rPr>
          <w:spacing w:val="2"/>
          <w:szCs w:val="28"/>
        </w:rPr>
        <w:t>9 000</w:t>
      </w:r>
      <w:r w:rsidRPr="00613F91">
        <w:rPr>
          <w:rFonts w:hint="eastAsia"/>
          <w:spacing w:val="2"/>
          <w:szCs w:val="28"/>
        </w:rPr>
        <w:t>名畢業生。由獨立機構香港藝術中心成立的香港藝術學</w:t>
      </w:r>
      <w:r w:rsidRPr="00613F91">
        <w:rPr>
          <w:rFonts w:hint="eastAsia"/>
          <w:spacing w:val="2"/>
          <w:szCs w:val="28"/>
        </w:rPr>
        <w:lastRenderedPageBreak/>
        <w:t>院，</w:t>
      </w:r>
      <w:r w:rsidRPr="00C41521">
        <w:rPr>
          <w:rFonts w:hint="eastAsia"/>
          <w:szCs w:val="28"/>
        </w:rPr>
        <w:t>持續開辦多項藝術教育學歷頒授課程。</w:t>
      </w:r>
    </w:p>
    <w:p w:rsidR="006D2061" w:rsidRPr="00C41521" w:rsidRDefault="006D2061" w:rsidP="008375BB">
      <w:pPr>
        <w:tabs>
          <w:tab w:val="left" w:pos="1440"/>
        </w:tabs>
        <w:adjustRightInd w:val="0"/>
        <w:snapToGrid w:val="0"/>
        <w:spacing w:line="400" w:lineRule="atLeast"/>
        <w:contextualSpacing/>
        <w:jc w:val="both"/>
        <w:rPr>
          <w:szCs w:val="28"/>
        </w:rPr>
      </w:pPr>
    </w:p>
    <w:p w:rsidR="006D2061" w:rsidRDefault="006D2061" w:rsidP="008375BB">
      <w:pPr>
        <w:tabs>
          <w:tab w:val="left" w:pos="1440"/>
        </w:tabs>
        <w:adjustRightInd w:val="0"/>
        <w:snapToGrid w:val="0"/>
        <w:spacing w:line="400" w:lineRule="atLeast"/>
        <w:contextualSpacing/>
        <w:jc w:val="both"/>
        <w:rPr>
          <w:szCs w:val="28"/>
        </w:rPr>
      </w:pPr>
      <w:r w:rsidRPr="00C41521">
        <w:rPr>
          <w:szCs w:val="28"/>
        </w:rPr>
        <w:t>15.</w:t>
      </w:r>
      <w:r>
        <w:rPr>
          <w:rFonts w:hint="eastAsia"/>
          <w:szCs w:val="28"/>
        </w:rPr>
        <w:t>7</w:t>
      </w:r>
      <w:r w:rsidRPr="00C41521">
        <w:rPr>
          <w:szCs w:val="28"/>
        </w:rPr>
        <w:tab/>
      </w:r>
      <w:r w:rsidRPr="00C41521">
        <w:rPr>
          <w:rFonts w:hint="eastAsia"/>
          <w:szCs w:val="28"/>
        </w:rPr>
        <w:t>教育局一直在學校推動文化藝術的學習</w:t>
      </w:r>
      <w:r>
        <w:rPr>
          <w:rFonts w:hint="eastAsia"/>
          <w:szCs w:val="28"/>
        </w:rPr>
        <w:t>，</w:t>
      </w:r>
      <w:r>
        <w:rPr>
          <w:rFonts w:hint="eastAsia"/>
          <w:szCs w:val="28"/>
          <w:lang w:eastAsia="zh-HK"/>
        </w:rPr>
        <w:t>情</w:t>
      </w:r>
      <w:r>
        <w:rPr>
          <w:rFonts w:hint="eastAsia"/>
          <w:szCs w:val="28"/>
        </w:rPr>
        <w:t>況</w:t>
      </w:r>
      <w:r>
        <w:rPr>
          <w:rFonts w:hint="eastAsia"/>
          <w:szCs w:val="28"/>
          <w:lang w:eastAsia="zh-HK"/>
        </w:rPr>
        <w:t>與上一次報</w:t>
      </w:r>
      <w:r>
        <w:rPr>
          <w:rFonts w:hint="eastAsia"/>
          <w:szCs w:val="28"/>
        </w:rPr>
        <w:t>告</w:t>
      </w:r>
      <w:r>
        <w:rPr>
          <w:rFonts w:hint="eastAsia"/>
          <w:szCs w:val="28"/>
          <w:lang w:eastAsia="zh-HK"/>
        </w:rPr>
        <w:t>第</w:t>
      </w:r>
      <w:r>
        <w:rPr>
          <w:rFonts w:hint="eastAsia"/>
          <w:szCs w:val="28"/>
        </w:rPr>
        <w:t>15.32</w:t>
      </w:r>
      <w:r>
        <w:rPr>
          <w:rFonts w:hint="eastAsia"/>
          <w:szCs w:val="28"/>
          <w:lang w:eastAsia="zh-HK"/>
        </w:rPr>
        <w:t>至</w:t>
      </w:r>
      <w:r>
        <w:rPr>
          <w:rFonts w:hint="eastAsia"/>
          <w:szCs w:val="28"/>
        </w:rPr>
        <w:t>15.35</w:t>
      </w:r>
      <w:r>
        <w:rPr>
          <w:rFonts w:hint="eastAsia"/>
          <w:szCs w:val="28"/>
          <w:lang w:eastAsia="zh-HK"/>
        </w:rPr>
        <w:t>段所述的相同</w:t>
      </w:r>
      <w:r w:rsidRPr="00C41521">
        <w:rPr>
          <w:rFonts w:hint="eastAsia"/>
          <w:szCs w:val="28"/>
        </w:rPr>
        <w:t>。</w:t>
      </w:r>
    </w:p>
    <w:p w:rsidR="006D2061" w:rsidRDefault="006D2061" w:rsidP="008375BB">
      <w:pPr>
        <w:tabs>
          <w:tab w:val="left" w:pos="1440"/>
        </w:tabs>
        <w:adjustRightInd w:val="0"/>
        <w:snapToGrid w:val="0"/>
        <w:spacing w:line="400" w:lineRule="atLeast"/>
        <w:contextualSpacing/>
        <w:jc w:val="both"/>
        <w:rPr>
          <w:szCs w:val="28"/>
        </w:rPr>
      </w:pPr>
    </w:p>
    <w:p w:rsidR="006D2061" w:rsidRPr="00C41521" w:rsidRDefault="006D2061" w:rsidP="008375BB">
      <w:pPr>
        <w:tabs>
          <w:tab w:val="left" w:pos="1440"/>
        </w:tabs>
        <w:adjustRightInd w:val="0"/>
        <w:snapToGrid w:val="0"/>
        <w:spacing w:line="400" w:lineRule="atLeast"/>
        <w:contextualSpacing/>
        <w:jc w:val="both"/>
        <w:rPr>
          <w:b/>
          <w:szCs w:val="28"/>
        </w:rPr>
      </w:pPr>
      <w:r w:rsidRPr="00C41521">
        <w:rPr>
          <w:rFonts w:hint="eastAsia"/>
          <w:b/>
          <w:szCs w:val="28"/>
        </w:rPr>
        <w:t>文物保育政策</w:t>
      </w:r>
    </w:p>
    <w:p w:rsidR="006D2061" w:rsidRDefault="006D2061" w:rsidP="008375BB">
      <w:pPr>
        <w:tabs>
          <w:tab w:val="left" w:pos="1440"/>
        </w:tabs>
        <w:adjustRightInd w:val="0"/>
        <w:snapToGrid w:val="0"/>
        <w:spacing w:line="400" w:lineRule="atLeast"/>
        <w:contextualSpacing/>
        <w:jc w:val="both"/>
        <w:rPr>
          <w:szCs w:val="28"/>
        </w:rPr>
      </w:pPr>
    </w:p>
    <w:p w:rsidR="006D2061" w:rsidRPr="00C41521" w:rsidRDefault="006D2061" w:rsidP="008375BB">
      <w:pPr>
        <w:tabs>
          <w:tab w:val="left" w:pos="1440"/>
        </w:tabs>
        <w:adjustRightInd w:val="0"/>
        <w:snapToGrid w:val="0"/>
        <w:spacing w:line="400" w:lineRule="atLeast"/>
        <w:contextualSpacing/>
        <w:jc w:val="both"/>
        <w:rPr>
          <w:szCs w:val="28"/>
        </w:rPr>
      </w:pPr>
      <w:r>
        <w:rPr>
          <w:rFonts w:hint="eastAsia"/>
          <w:szCs w:val="28"/>
        </w:rPr>
        <w:t>15</w:t>
      </w:r>
      <w:r>
        <w:rPr>
          <w:szCs w:val="28"/>
        </w:rPr>
        <w:t>.</w:t>
      </w:r>
      <w:r>
        <w:rPr>
          <w:rFonts w:hint="eastAsia"/>
          <w:szCs w:val="28"/>
        </w:rPr>
        <w:t>8</w:t>
      </w:r>
      <w:r>
        <w:rPr>
          <w:szCs w:val="28"/>
        </w:rPr>
        <w:tab/>
      </w:r>
      <w:r w:rsidRPr="00C41521">
        <w:rPr>
          <w:rFonts w:hint="eastAsia"/>
          <w:szCs w:val="28"/>
        </w:rPr>
        <w:t>政府致力對歷史和文物建築及地點加以保護、保存和活化更新，讓我們這一代和子孫後代均可受惠共享。發展局於</w:t>
      </w:r>
      <w:r w:rsidRPr="00C41521">
        <w:rPr>
          <w:rFonts w:hint="eastAsia"/>
          <w:szCs w:val="28"/>
        </w:rPr>
        <w:t>2008</w:t>
      </w:r>
      <w:r w:rsidRPr="00C41521">
        <w:rPr>
          <w:rFonts w:hint="eastAsia"/>
          <w:szCs w:val="28"/>
        </w:rPr>
        <w:t>年</w:t>
      </w:r>
      <w:r w:rsidRPr="00C41521">
        <w:rPr>
          <w:rFonts w:hint="eastAsia"/>
          <w:szCs w:val="28"/>
        </w:rPr>
        <w:t>4</w:t>
      </w:r>
      <w:r w:rsidRPr="00C41521">
        <w:rPr>
          <w:rFonts w:hint="eastAsia"/>
          <w:szCs w:val="28"/>
        </w:rPr>
        <w:t>月成立文物保育專員辦事處，專責推展各項文物保育措施</w:t>
      </w:r>
      <w:r>
        <w:rPr>
          <w:rFonts w:hint="eastAsia"/>
          <w:szCs w:val="28"/>
        </w:rPr>
        <w:t>，</w:t>
      </w:r>
      <w:r>
        <w:rPr>
          <w:rFonts w:hint="eastAsia"/>
          <w:szCs w:val="28"/>
          <w:lang w:eastAsia="zh-HK"/>
        </w:rPr>
        <w:t>此</w:t>
      </w:r>
      <w:r>
        <w:rPr>
          <w:rFonts w:hint="eastAsia"/>
          <w:szCs w:val="28"/>
        </w:rPr>
        <w:t>外，</w:t>
      </w:r>
      <w:r w:rsidRPr="00C41521">
        <w:rPr>
          <w:rFonts w:hint="eastAsia"/>
          <w:szCs w:val="28"/>
        </w:rPr>
        <w:t>古物諮詢委員會負責就</w:t>
      </w:r>
      <w:r>
        <w:rPr>
          <w:rFonts w:hint="eastAsia"/>
          <w:szCs w:val="28"/>
        </w:rPr>
        <w:t>相關</w:t>
      </w:r>
      <w:r w:rsidRPr="00C41521">
        <w:rPr>
          <w:rFonts w:hint="eastAsia"/>
          <w:szCs w:val="28"/>
        </w:rPr>
        <w:t>事宜，向政府提供意見</w:t>
      </w:r>
      <w:r>
        <w:rPr>
          <w:rFonts w:hint="eastAsia"/>
          <w:szCs w:val="28"/>
          <w:lang w:eastAsia="zh-HK"/>
        </w:rPr>
        <w:t>。上</w:t>
      </w:r>
      <w:r>
        <w:rPr>
          <w:rFonts w:hint="eastAsia"/>
          <w:szCs w:val="28"/>
        </w:rPr>
        <w:t>述</w:t>
      </w:r>
      <w:r>
        <w:rPr>
          <w:rFonts w:hint="eastAsia"/>
          <w:szCs w:val="28"/>
          <w:lang w:eastAsia="zh-HK"/>
        </w:rPr>
        <w:t>辦事</w:t>
      </w:r>
      <w:r>
        <w:rPr>
          <w:rFonts w:hint="eastAsia"/>
          <w:szCs w:val="28"/>
        </w:rPr>
        <w:t>處</w:t>
      </w:r>
      <w:r>
        <w:rPr>
          <w:rFonts w:hint="eastAsia"/>
          <w:szCs w:val="28"/>
          <w:lang w:eastAsia="zh-HK"/>
        </w:rPr>
        <w:t>及委</w:t>
      </w:r>
      <w:r>
        <w:rPr>
          <w:rFonts w:hint="eastAsia"/>
          <w:szCs w:val="28"/>
        </w:rPr>
        <w:t>員會</w:t>
      </w:r>
      <w:r>
        <w:rPr>
          <w:rFonts w:hint="eastAsia"/>
          <w:szCs w:val="28"/>
          <w:lang w:eastAsia="zh-HK"/>
        </w:rPr>
        <w:t>的工</w:t>
      </w:r>
      <w:r>
        <w:rPr>
          <w:rFonts w:hint="eastAsia"/>
          <w:szCs w:val="28"/>
        </w:rPr>
        <w:t>作</w:t>
      </w:r>
      <w:r>
        <w:rPr>
          <w:rFonts w:hint="eastAsia"/>
          <w:szCs w:val="28"/>
          <w:lang w:eastAsia="zh-HK"/>
        </w:rPr>
        <w:t>詳見</w:t>
      </w:r>
      <w:r w:rsidRPr="00974933">
        <w:rPr>
          <w:rFonts w:hint="eastAsia"/>
          <w:b/>
          <w:szCs w:val="28"/>
          <w:lang w:eastAsia="zh-HK"/>
        </w:rPr>
        <w:t>附件</w:t>
      </w:r>
      <w:r w:rsidRPr="00974933">
        <w:rPr>
          <w:rFonts w:hint="eastAsia"/>
          <w:b/>
          <w:szCs w:val="28"/>
        </w:rPr>
        <w:t>15B</w:t>
      </w:r>
      <w:r>
        <w:rPr>
          <w:rFonts w:hint="eastAsia"/>
          <w:szCs w:val="28"/>
        </w:rPr>
        <w:t>。</w:t>
      </w:r>
    </w:p>
    <w:p w:rsidR="006D2061" w:rsidRPr="00C41521" w:rsidRDefault="006D2061" w:rsidP="008375BB">
      <w:pPr>
        <w:tabs>
          <w:tab w:val="left" w:pos="1440"/>
        </w:tabs>
        <w:adjustRightInd w:val="0"/>
        <w:snapToGrid w:val="0"/>
        <w:spacing w:line="400" w:lineRule="atLeast"/>
        <w:contextualSpacing/>
        <w:jc w:val="both"/>
        <w:rPr>
          <w:szCs w:val="28"/>
        </w:rPr>
      </w:pPr>
    </w:p>
    <w:p w:rsidR="006D2061" w:rsidRPr="00C41521" w:rsidRDefault="006D2061" w:rsidP="008375BB">
      <w:pPr>
        <w:tabs>
          <w:tab w:val="left" w:pos="1440"/>
        </w:tabs>
        <w:adjustRightInd w:val="0"/>
        <w:snapToGrid w:val="0"/>
        <w:spacing w:line="400" w:lineRule="atLeast"/>
        <w:contextualSpacing/>
        <w:jc w:val="both"/>
        <w:rPr>
          <w:b/>
          <w:szCs w:val="28"/>
        </w:rPr>
      </w:pPr>
      <w:r w:rsidRPr="00C41521">
        <w:rPr>
          <w:rFonts w:hint="eastAsia"/>
          <w:b/>
          <w:szCs w:val="28"/>
          <w:lang w:eastAsia="zh-HK"/>
        </w:rPr>
        <w:t>歷</w:t>
      </w:r>
      <w:r w:rsidRPr="00C41521">
        <w:rPr>
          <w:rFonts w:hint="eastAsia"/>
          <w:b/>
          <w:szCs w:val="28"/>
        </w:rPr>
        <w:t>史</w:t>
      </w:r>
      <w:r w:rsidRPr="00C41521">
        <w:rPr>
          <w:rFonts w:hint="eastAsia"/>
          <w:b/>
          <w:szCs w:val="28"/>
          <w:lang w:eastAsia="zh-HK"/>
        </w:rPr>
        <w:t>檔</w:t>
      </w:r>
      <w:r w:rsidRPr="00C41521">
        <w:rPr>
          <w:rFonts w:hint="eastAsia"/>
          <w:b/>
          <w:szCs w:val="28"/>
        </w:rPr>
        <w:t>案</w:t>
      </w:r>
    </w:p>
    <w:p w:rsidR="006D2061" w:rsidRDefault="006D2061" w:rsidP="008375BB">
      <w:pPr>
        <w:tabs>
          <w:tab w:val="left" w:pos="1440"/>
        </w:tabs>
        <w:adjustRightInd w:val="0"/>
        <w:snapToGrid w:val="0"/>
        <w:spacing w:line="400" w:lineRule="atLeast"/>
        <w:contextualSpacing/>
        <w:jc w:val="both"/>
        <w:rPr>
          <w:szCs w:val="28"/>
        </w:rPr>
      </w:pPr>
    </w:p>
    <w:p w:rsidR="006D2061" w:rsidRDefault="006D2061" w:rsidP="00613F91">
      <w:pPr>
        <w:tabs>
          <w:tab w:val="left" w:pos="1440"/>
        </w:tabs>
        <w:overflowPunct w:val="0"/>
        <w:adjustRightInd w:val="0"/>
        <w:snapToGrid w:val="0"/>
        <w:spacing w:line="400" w:lineRule="atLeast"/>
        <w:contextualSpacing/>
        <w:jc w:val="both"/>
        <w:rPr>
          <w:szCs w:val="28"/>
        </w:rPr>
      </w:pPr>
      <w:r>
        <w:rPr>
          <w:rFonts w:hint="eastAsia"/>
          <w:szCs w:val="28"/>
        </w:rPr>
        <w:t>15.9</w:t>
      </w:r>
      <w:r>
        <w:rPr>
          <w:szCs w:val="28"/>
        </w:rPr>
        <w:tab/>
      </w:r>
      <w:r w:rsidRPr="00C41521">
        <w:rPr>
          <w:rFonts w:hint="eastAsia"/>
          <w:szCs w:val="28"/>
        </w:rPr>
        <w:t>在上次報告第</w:t>
      </w:r>
      <w:r w:rsidRPr="00C41521">
        <w:rPr>
          <w:rFonts w:hint="eastAsia"/>
          <w:szCs w:val="28"/>
        </w:rPr>
        <w:t>15.45</w:t>
      </w:r>
      <w:r w:rsidRPr="00C41521">
        <w:rPr>
          <w:rFonts w:hint="eastAsia"/>
          <w:szCs w:val="28"/>
        </w:rPr>
        <w:t>段闡述了政府檔案處</w:t>
      </w:r>
      <w:r>
        <w:rPr>
          <w:rFonts w:hint="eastAsia"/>
          <w:szCs w:val="28"/>
          <w:lang w:eastAsia="zh-HK"/>
        </w:rPr>
        <w:t>（</w:t>
      </w:r>
      <w:r w:rsidRPr="00C41521">
        <w:rPr>
          <w:rFonts w:hint="eastAsia"/>
          <w:szCs w:val="28"/>
        </w:rPr>
        <w:t>檔案處</w:t>
      </w:r>
      <w:r>
        <w:rPr>
          <w:rFonts w:hint="eastAsia"/>
          <w:szCs w:val="28"/>
          <w:lang w:eastAsia="zh-HK"/>
        </w:rPr>
        <w:t>）</w:t>
      </w:r>
      <w:r w:rsidRPr="00C41521">
        <w:rPr>
          <w:rFonts w:hint="eastAsia"/>
          <w:szCs w:val="28"/>
        </w:rPr>
        <w:t>管理歷史檔案和推動公眾人士欣賞和使用歷史檔案</w:t>
      </w:r>
      <w:r>
        <w:rPr>
          <w:rFonts w:hint="eastAsia"/>
          <w:szCs w:val="28"/>
          <w:lang w:eastAsia="zh-HK"/>
        </w:rPr>
        <w:t>的措</w:t>
      </w:r>
      <w:r>
        <w:rPr>
          <w:rFonts w:hint="eastAsia"/>
          <w:szCs w:val="28"/>
        </w:rPr>
        <w:t>施</w:t>
      </w:r>
      <w:r w:rsidRPr="00C41521">
        <w:rPr>
          <w:rFonts w:hint="eastAsia"/>
          <w:szCs w:val="28"/>
        </w:rPr>
        <w:t>。目前，檔案處保存了逾</w:t>
      </w:r>
      <w:r w:rsidRPr="00C41521">
        <w:rPr>
          <w:rFonts w:hint="eastAsia"/>
          <w:szCs w:val="28"/>
        </w:rPr>
        <w:t>150</w:t>
      </w:r>
      <w:r w:rsidRPr="00C41521">
        <w:rPr>
          <w:rFonts w:hint="eastAsia"/>
          <w:szCs w:val="28"/>
        </w:rPr>
        <w:t>萬項歷史檔案，為方便使用者查閱，超過</w:t>
      </w:r>
      <w:r w:rsidRPr="00C41521">
        <w:rPr>
          <w:rFonts w:hint="eastAsia"/>
          <w:szCs w:val="28"/>
        </w:rPr>
        <w:t>85</w:t>
      </w:r>
      <w:r>
        <w:rPr>
          <w:szCs w:val="28"/>
        </w:rPr>
        <w:t> </w:t>
      </w:r>
      <w:r w:rsidRPr="00C41521">
        <w:rPr>
          <w:rFonts w:hint="eastAsia"/>
          <w:szCs w:val="28"/>
        </w:rPr>
        <w:t>000</w:t>
      </w:r>
      <w:r w:rsidRPr="00C41521">
        <w:rPr>
          <w:rFonts w:hint="eastAsia"/>
          <w:szCs w:val="28"/>
        </w:rPr>
        <w:t>項歷史檔案已數碼化，製作成</w:t>
      </w:r>
      <w:r w:rsidRPr="00C41521">
        <w:rPr>
          <w:rFonts w:hint="eastAsia"/>
          <w:szCs w:val="28"/>
        </w:rPr>
        <w:t>200</w:t>
      </w:r>
      <w:r w:rsidRPr="00C41521">
        <w:rPr>
          <w:rFonts w:hint="eastAsia"/>
          <w:szCs w:val="28"/>
        </w:rPr>
        <w:t>萬個數碼影像。為讓公眾人士更加認識和欣賞歷史檔案遺產，自上次報告以來，</w:t>
      </w:r>
      <w:r>
        <w:rPr>
          <w:rFonts w:hint="eastAsia"/>
          <w:szCs w:val="28"/>
          <w:lang w:eastAsia="zh-HK"/>
        </w:rPr>
        <w:t>該</w:t>
      </w:r>
      <w:r w:rsidRPr="00C41521">
        <w:rPr>
          <w:rFonts w:hint="eastAsia"/>
          <w:szCs w:val="28"/>
        </w:rPr>
        <w:t>處已舉辦</w:t>
      </w:r>
      <w:r w:rsidRPr="00C41521">
        <w:rPr>
          <w:rFonts w:hint="eastAsia"/>
          <w:szCs w:val="28"/>
        </w:rPr>
        <w:t>8</w:t>
      </w:r>
      <w:r w:rsidRPr="00C41521">
        <w:rPr>
          <w:rFonts w:hint="eastAsia"/>
          <w:szCs w:val="28"/>
        </w:rPr>
        <w:t>項展覽、</w:t>
      </w:r>
      <w:r w:rsidRPr="00C41521">
        <w:rPr>
          <w:rFonts w:hint="eastAsia"/>
          <w:szCs w:val="28"/>
        </w:rPr>
        <w:t>530</w:t>
      </w:r>
      <w:r w:rsidRPr="00C41521">
        <w:rPr>
          <w:rFonts w:hint="eastAsia"/>
          <w:szCs w:val="28"/>
        </w:rPr>
        <w:t>次專題視像資料欣賞會，以及</w:t>
      </w:r>
      <w:r w:rsidRPr="00C41521">
        <w:rPr>
          <w:rFonts w:hint="eastAsia"/>
          <w:szCs w:val="28"/>
        </w:rPr>
        <w:t>287</w:t>
      </w:r>
      <w:r w:rsidRPr="00C41521">
        <w:rPr>
          <w:rFonts w:hint="eastAsia"/>
          <w:szCs w:val="28"/>
        </w:rPr>
        <w:t>場研討會和團體參觀，參加者超過</w:t>
      </w:r>
      <w:r w:rsidRPr="00C41521">
        <w:rPr>
          <w:rFonts w:hint="eastAsia"/>
          <w:szCs w:val="28"/>
        </w:rPr>
        <w:t>2</w:t>
      </w:r>
      <w:r w:rsidRPr="00C41521">
        <w:rPr>
          <w:rFonts w:hint="eastAsia"/>
          <w:szCs w:val="28"/>
        </w:rPr>
        <w:t>萬名。</w:t>
      </w:r>
      <w:r>
        <w:rPr>
          <w:rFonts w:hint="eastAsia"/>
          <w:szCs w:val="28"/>
          <w:lang w:eastAsia="zh-HK"/>
        </w:rPr>
        <w:t>該</w:t>
      </w:r>
      <w:r w:rsidRPr="00C41521">
        <w:rPr>
          <w:rFonts w:hint="eastAsia"/>
          <w:szCs w:val="28"/>
        </w:rPr>
        <w:t>處更設立</w:t>
      </w:r>
      <w:r>
        <w:rPr>
          <w:szCs w:val="28"/>
        </w:rPr>
        <w:t>“</w:t>
      </w:r>
      <w:r w:rsidRPr="00C41521">
        <w:rPr>
          <w:rFonts w:hint="eastAsia"/>
          <w:szCs w:val="28"/>
        </w:rPr>
        <w:t>教學資源庫</w:t>
      </w:r>
      <w:r>
        <w:rPr>
          <w:szCs w:val="28"/>
        </w:rPr>
        <w:t>”</w:t>
      </w:r>
      <w:r w:rsidRPr="00C41521">
        <w:rPr>
          <w:rFonts w:hint="eastAsia"/>
          <w:szCs w:val="28"/>
        </w:rPr>
        <w:t>網頁，提供多項網上教學輔助資源，</w:t>
      </w:r>
      <w:r w:rsidRPr="00613F91">
        <w:rPr>
          <w:rFonts w:hint="eastAsia"/>
          <w:spacing w:val="2"/>
          <w:szCs w:val="28"/>
        </w:rPr>
        <w:t>推動公眾人士更廣泛使用歷史檔案。</w:t>
      </w:r>
      <w:r w:rsidRPr="00613F91">
        <w:rPr>
          <w:rFonts w:hint="eastAsia"/>
          <w:spacing w:val="2"/>
          <w:szCs w:val="28"/>
          <w:lang w:eastAsia="zh-HK"/>
        </w:rPr>
        <w:t>該</w:t>
      </w:r>
      <w:r w:rsidRPr="00613F91">
        <w:rPr>
          <w:rFonts w:hint="eastAsia"/>
          <w:spacing w:val="2"/>
          <w:szCs w:val="28"/>
        </w:rPr>
        <w:t>處</w:t>
      </w:r>
      <w:r w:rsidRPr="00613F91">
        <w:rPr>
          <w:rFonts w:hint="eastAsia"/>
          <w:spacing w:val="2"/>
          <w:szCs w:val="28"/>
          <w:lang w:eastAsia="zh-HK"/>
        </w:rPr>
        <w:t>亦</w:t>
      </w:r>
      <w:r w:rsidRPr="00613F91">
        <w:rPr>
          <w:rFonts w:hint="eastAsia"/>
          <w:spacing w:val="2"/>
          <w:szCs w:val="28"/>
        </w:rPr>
        <w:t>自</w:t>
      </w:r>
      <w:r w:rsidRPr="00613F91">
        <w:rPr>
          <w:rFonts w:hint="eastAsia"/>
          <w:spacing w:val="2"/>
          <w:szCs w:val="28"/>
        </w:rPr>
        <w:t>2015</w:t>
      </w:r>
      <w:r w:rsidRPr="00613F91">
        <w:rPr>
          <w:rFonts w:hint="eastAsia"/>
          <w:spacing w:val="2"/>
          <w:szCs w:val="28"/>
        </w:rPr>
        <w:t>年設立上訴渠道，</w:t>
      </w:r>
      <w:r w:rsidRPr="00C41521">
        <w:rPr>
          <w:rFonts w:hint="eastAsia"/>
          <w:szCs w:val="28"/>
        </w:rPr>
        <w:t>公眾人士可就檔案處的決定向行政署</w:t>
      </w:r>
      <w:r>
        <w:rPr>
          <w:rFonts w:hint="eastAsia"/>
          <w:szCs w:val="28"/>
          <w:lang w:eastAsia="zh-HK"/>
        </w:rPr>
        <w:t>署</w:t>
      </w:r>
      <w:r w:rsidRPr="00C41521">
        <w:rPr>
          <w:rFonts w:hint="eastAsia"/>
          <w:szCs w:val="28"/>
        </w:rPr>
        <w:t>長提出上訴。如認為檔案處處理其查閱申請時有任何行政失當，也可向申訴專員作出投訴。</w:t>
      </w:r>
      <w:r>
        <w:rPr>
          <w:rFonts w:hint="eastAsia"/>
          <w:szCs w:val="28"/>
          <w:lang w:eastAsia="zh-HK"/>
        </w:rPr>
        <w:t>該</w:t>
      </w:r>
      <w:r w:rsidRPr="00C41521">
        <w:rPr>
          <w:rFonts w:hint="eastAsia"/>
          <w:szCs w:val="28"/>
        </w:rPr>
        <w:t>處自</w:t>
      </w:r>
      <w:r w:rsidRPr="00C41521">
        <w:rPr>
          <w:rFonts w:hint="eastAsia"/>
          <w:szCs w:val="28"/>
        </w:rPr>
        <w:t>2015</w:t>
      </w:r>
      <w:r w:rsidRPr="00C41521">
        <w:rPr>
          <w:rFonts w:hint="eastAsia"/>
          <w:szCs w:val="28"/>
        </w:rPr>
        <w:t>年以來已處理共</w:t>
      </w:r>
      <w:r w:rsidRPr="00C41521">
        <w:rPr>
          <w:rFonts w:hint="eastAsia"/>
          <w:szCs w:val="28"/>
        </w:rPr>
        <w:t>256</w:t>
      </w:r>
      <w:r w:rsidRPr="00C41521">
        <w:rPr>
          <w:rFonts w:hint="eastAsia"/>
          <w:szCs w:val="28"/>
        </w:rPr>
        <w:t>項查閱申請，其中超過</w:t>
      </w:r>
      <w:r w:rsidRPr="00C41521">
        <w:rPr>
          <w:rFonts w:hint="eastAsia"/>
          <w:szCs w:val="28"/>
        </w:rPr>
        <w:t>99.2%</w:t>
      </w:r>
      <w:r w:rsidRPr="00C41521">
        <w:rPr>
          <w:rFonts w:hint="eastAsia"/>
          <w:szCs w:val="28"/>
        </w:rPr>
        <w:t>的申請獲批准。只有兩項申請被拒絕提供全部資料，而檔案處已向申請人充</w:t>
      </w:r>
      <w:r w:rsidRPr="00613F91">
        <w:rPr>
          <w:rFonts w:hint="eastAsia"/>
          <w:spacing w:val="2"/>
          <w:szCs w:val="28"/>
        </w:rPr>
        <w:t>分解釋理由。檔案處自上訴渠道設立至今未有接獲任何上訴。</w:t>
      </w:r>
      <w:r w:rsidRPr="00613F91">
        <w:rPr>
          <w:rFonts w:hint="eastAsia"/>
          <w:spacing w:val="2"/>
          <w:szCs w:val="28"/>
        </w:rPr>
        <w:t>2018</w:t>
      </w:r>
      <w:r w:rsidRPr="00613F91">
        <w:rPr>
          <w:rFonts w:hint="eastAsia"/>
          <w:spacing w:val="2"/>
          <w:szCs w:val="28"/>
        </w:rPr>
        <w:t>年，</w:t>
      </w:r>
      <w:r w:rsidRPr="00C41521">
        <w:rPr>
          <w:rFonts w:hint="eastAsia"/>
          <w:szCs w:val="28"/>
        </w:rPr>
        <w:t>檔案處推出嶄新的網上歷史檔案館藏目錄，名為“</w:t>
      </w:r>
      <w:r w:rsidRPr="00C41521">
        <w:rPr>
          <w:rFonts w:hint="eastAsia"/>
          <w:szCs w:val="28"/>
        </w:rPr>
        <w:t>@PRO</w:t>
      </w:r>
      <w:r w:rsidRPr="00C41521">
        <w:rPr>
          <w:rFonts w:hint="eastAsia"/>
          <w:szCs w:val="28"/>
        </w:rPr>
        <w:t>”。“</w:t>
      </w:r>
      <w:r w:rsidRPr="00C41521">
        <w:rPr>
          <w:rFonts w:hint="eastAsia"/>
          <w:szCs w:val="28"/>
        </w:rPr>
        <w:t>@PRO</w:t>
      </w:r>
      <w:r w:rsidRPr="00C41521">
        <w:rPr>
          <w:rFonts w:hint="eastAsia"/>
          <w:szCs w:val="28"/>
        </w:rPr>
        <w:t>”設有便捷易用的全新界面，方便搜尋和查閱所需的歷史檔案。</w:t>
      </w:r>
    </w:p>
    <w:p w:rsidR="006D2061" w:rsidRPr="00C41521" w:rsidRDefault="006D2061" w:rsidP="008375BB">
      <w:pPr>
        <w:tabs>
          <w:tab w:val="left" w:pos="1440"/>
        </w:tabs>
        <w:adjustRightInd w:val="0"/>
        <w:snapToGrid w:val="0"/>
        <w:spacing w:line="400" w:lineRule="atLeast"/>
        <w:contextualSpacing/>
        <w:jc w:val="both"/>
        <w:rPr>
          <w:szCs w:val="28"/>
        </w:rPr>
      </w:pPr>
    </w:p>
    <w:p w:rsidR="006D2061" w:rsidRDefault="006D2061" w:rsidP="008375BB">
      <w:pPr>
        <w:tabs>
          <w:tab w:val="left" w:pos="1440"/>
        </w:tabs>
        <w:adjustRightInd w:val="0"/>
        <w:snapToGrid w:val="0"/>
        <w:spacing w:line="400" w:lineRule="atLeast"/>
        <w:contextualSpacing/>
        <w:jc w:val="both"/>
        <w:rPr>
          <w:szCs w:val="28"/>
        </w:rPr>
      </w:pPr>
      <w:r>
        <w:rPr>
          <w:szCs w:val="28"/>
        </w:rPr>
        <w:t>15.1</w:t>
      </w:r>
      <w:r>
        <w:rPr>
          <w:rFonts w:hint="eastAsia"/>
          <w:szCs w:val="28"/>
        </w:rPr>
        <w:t>0</w:t>
      </w:r>
      <w:r>
        <w:rPr>
          <w:szCs w:val="28"/>
        </w:rPr>
        <w:tab/>
      </w:r>
      <w:r w:rsidRPr="00C41521">
        <w:rPr>
          <w:rFonts w:hint="eastAsia"/>
          <w:szCs w:val="28"/>
        </w:rPr>
        <w:t>法律改革委員會於</w:t>
      </w:r>
      <w:r w:rsidRPr="00C41521">
        <w:rPr>
          <w:szCs w:val="28"/>
        </w:rPr>
        <w:t>2013</w:t>
      </w:r>
      <w:r w:rsidRPr="00C41521">
        <w:rPr>
          <w:rFonts w:hint="eastAsia"/>
          <w:szCs w:val="28"/>
        </w:rPr>
        <w:t>年成立檔案法小組委員會，就檔案法進行研究，</w:t>
      </w:r>
      <w:r>
        <w:rPr>
          <w:rFonts w:hint="eastAsia"/>
          <w:szCs w:val="28"/>
          <w:lang w:eastAsia="zh-HK"/>
        </w:rPr>
        <w:t>並</w:t>
      </w:r>
      <w:r w:rsidRPr="00C41521">
        <w:rPr>
          <w:rFonts w:hint="eastAsia"/>
          <w:szCs w:val="28"/>
        </w:rPr>
        <w:t>考慮是否需要進行改革，如需改革則提出合適的建</w:t>
      </w:r>
      <w:r w:rsidRPr="00C41521">
        <w:rPr>
          <w:rFonts w:hint="eastAsia"/>
          <w:szCs w:val="28"/>
        </w:rPr>
        <w:lastRenderedPageBreak/>
        <w:t>議。小組委員會</w:t>
      </w:r>
      <w:r>
        <w:rPr>
          <w:rFonts w:hint="eastAsia"/>
          <w:szCs w:val="28"/>
        </w:rPr>
        <w:t>於</w:t>
      </w:r>
      <w:r w:rsidRPr="00C41521">
        <w:rPr>
          <w:szCs w:val="28"/>
        </w:rPr>
        <w:t>2018</w:t>
      </w:r>
      <w:r w:rsidRPr="00C41521">
        <w:rPr>
          <w:rFonts w:hint="eastAsia"/>
          <w:szCs w:val="28"/>
        </w:rPr>
        <w:t>年</w:t>
      </w:r>
      <w:r w:rsidRPr="00C41521">
        <w:rPr>
          <w:szCs w:val="28"/>
        </w:rPr>
        <w:t>12</w:t>
      </w:r>
      <w:r w:rsidRPr="00C41521">
        <w:rPr>
          <w:rFonts w:hint="eastAsia"/>
          <w:szCs w:val="28"/>
        </w:rPr>
        <w:t>月發表諮詢文件。小組委員會同意，香港目前雖沒有檔案法</w:t>
      </w:r>
      <w:r>
        <w:rPr>
          <w:rFonts w:hint="eastAsia"/>
          <w:szCs w:val="28"/>
        </w:rPr>
        <w:t>，但</w:t>
      </w:r>
      <w:r w:rsidRPr="00C41521">
        <w:rPr>
          <w:rFonts w:hint="eastAsia"/>
          <w:szCs w:val="28"/>
        </w:rPr>
        <w:t>現時規管檔案及歷史檔案管理的行政制度已包含其他司法管轄區檔案法的重要元素，並大體上跟隨國際採用的最佳作業方法。儘管如此，小組委員會初步認為確有理據支持訂立檔案</w:t>
      </w:r>
      <w:r w:rsidRPr="00613F91">
        <w:rPr>
          <w:rFonts w:hint="eastAsia"/>
          <w:spacing w:val="2"/>
          <w:szCs w:val="28"/>
        </w:rPr>
        <w:t>法，以進一步加強香港公共檔案及歷史檔案的管理、保護和保存工作。</w:t>
      </w:r>
      <w:r w:rsidRPr="00C41521">
        <w:rPr>
          <w:rFonts w:hint="eastAsia"/>
          <w:szCs w:val="28"/>
        </w:rPr>
        <w:t>政府對訂立檔案法持正面態度。如</w:t>
      </w:r>
      <w:r w:rsidRPr="00AD6B5D">
        <w:rPr>
          <w:rFonts w:hint="eastAsia"/>
          <w:szCs w:val="28"/>
        </w:rPr>
        <w:t>法律改革委員會</w:t>
      </w:r>
      <w:r w:rsidRPr="00C41521">
        <w:rPr>
          <w:rFonts w:hint="eastAsia"/>
          <w:szCs w:val="28"/>
        </w:rPr>
        <w:t>在進行公眾諮詢後建議訂立檔案法，政府會適當地跟進。</w:t>
      </w:r>
    </w:p>
    <w:p w:rsidR="006D2061" w:rsidRDefault="006D2061" w:rsidP="008375BB">
      <w:pPr>
        <w:tabs>
          <w:tab w:val="left" w:pos="1440"/>
        </w:tabs>
        <w:adjustRightInd w:val="0"/>
        <w:snapToGrid w:val="0"/>
        <w:spacing w:line="400" w:lineRule="atLeast"/>
        <w:contextualSpacing/>
        <w:jc w:val="both"/>
        <w:rPr>
          <w:szCs w:val="28"/>
        </w:rPr>
      </w:pPr>
    </w:p>
    <w:p w:rsidR="006D2061" w:rsidRDefault="006D2061" w:rsidP="008375BB">
      <w:pPr>
        <w:tabs>
          <w:tab w:val="left" w:pos="1440"/>
        </w:tabs>
        <w:adjustRightInd w:val="0"/>
        <w:snapToGrid w:val="0"/>
        <w:spacing w:line="400" w:lineRule="atLeast"/>
        <w:contextualSpacing/>
        <w:jc w:val="both"/>
        <w:rPr>
          <w:szCs w:val="28"/>
        </w:rPr>
      </w:pPr>
      <w:r w:rsidRPr="00930209">
        <w:rPr>
          <w:rFonts w:hint="eastAsia"/>
          <w:b/>
          <w:bCs/>
          <w:szCs w:val="28"/>
        </w:rPr>
        <w:t>廣播</w:t>
      </w:r>
    </w:p>
    <w:p w:rsidR="006D2061" w:rsidRDefault="006D2061" w:rsidP="008375BB">
      <w:pPr>
        <w:tabs>
          <w:tab w:val="left" w:pos="1440"/>
        </w:tabs>
        <w:adjustRightInd w:val="0"/>
        <w:snapToGrid w:val="0"/>
        <w:spacing w:line="400" w:lineRule="atLeast"/>
        <w:contextualSpacing/>
        <w:jc w:val="both"/>
        <w:rPr>
          <w:szCs w:val="28"/>
        </w:rPr>
      </w:pPr>
    </w:p>
    <w:p w:rsidR="006D2061" w:rsidRDefault="006D2061" w:rsidP="008375BB">
      <w:pPr>
        <w:tabs>
          <w:tab w:val="left" w:pos="1440"/>
        </w:tabs>
        <w:adjustRightInd w:val="0"/>
        <w:snapToGrid w:val="0"/>
        <w:spacing w:line="400" w:lineRule="atLeast"/>
        <w:contextualSpacing/>
        <w:jc w:val="both"/>
        <w:rPr>
          <w:szCs w:val="28"/>
        </w:rPr>
      </w:pPr>
      <w:r>
        <w:rPr>
          <w:rFonts w:hint="eastAsia"/>
          <w:szCs w:val="28"/>
        </w:rPr>
        <w:t>15.</w:t>
      </w:r>
      <w:r>
        <w:rPr>
          <w:szCs w:val="28"/>
        </w:rPr>
        <w:t>1</w:t>
      </w:r>
      <w:r>
        <w:rPr>
          <w:rFonts w:hint="eastAsia"/>
          <w:szCs w:val="28"/>
        </w:rPr>
        <w:t>1</w:t>
      </w:r>
      <w:r>
        <w:rPr>
          <w:szCs w:val="28"/>
        </w:rPr>
        <w:tab/>
      </w:r>
      <w:r w:rsidRPr="00C41521">
        <w:rPr>
          <w:rFonts w:hint="eastAsia"/>
          <w:szCs w:val="28"/>
        </w:rPr>
        <w:t>香港的廣播業發展蓬勃。觀眾可收看逾</w:t>
      </w:r>
      <w:r w:rsidRPr="00C41521">
        <w:rPr>
          <w:szCs w:val="28"/>
        </w:rPr>
        <w:t>800</w:t>
      </w:r>
      <w:r w:rsidRPr="00C41521">
        <w:rPr>
          <w:rFonts w:hint="eastAsia"/>
          <w:szCs w:val="28"/>
        </w:rPr>
        <w:t>條本地和海外以多種語言廣播的免費地面和衞星或收費電視頻道。三家本地免費電視節目服務</w:t>
      </w:r>
      <w:r>
        <w:rPr>
          <w:rFonts w:hint="eastAsia"/>
          <w:szCs w:val="28"/>
          <w:lang w:eastAsia="zh-HK"/>
        </w:rPr>
        <w:t>（</w:t>
      </w:r>
      <w:r w:rsidRPr="00C41521">
        <w:rPr>
          <w:rFonts w:hint="eastAsia"/>
          <w:szCs w:val="28"/>
        </w:rPr>
        <w:t>免費電視</w:t>
      </w:r>
      <w:r>
        <w:rPr>
          <w:rFonts w:hint="eastAsia"/>
          <w:szCs w:val="28"/>
          <w:lang w:eastAsia="zh-HK"/>
        </w:rPr>
        <w:t>）</w:t>
      </w:r>
      <w:r w:rsidRPr="00C41521">
        <w:rPr>
          <w:rFonts w:hint="eastAsia"/>
          <w:szCs w:val="28"/>
        </w:rPr>
        <w:t>持牌機構須播放新聞、紀錄片、時事節目、文化藝術節目、兒童節目、年青人節目及長者節目。香港電台</w:t>
      </w:r>
      <w:r>
        <w:rPr>
          <w:rFonts w:hint="eastAsia"/>
          <w:szCs w:val="28"/>
          <w:lang w:eastAsia="zh-HK"/>
        </w:rPr>
        <w:t>（</w:t>
      </w:r>
      <w:r w:rsidRPr="00C41521">
        <w:rPr>
          <w:rFonts w:hint="eastAsia"/>
          <w:szCs w:val="28"/>
        </w:rPr>
        <w:t>港台</w:t>
      </w:r>
      <w:r>
        <w:rPr>
          <w:rFonts w:hint="eastAsia"/>
          <w:szCs w:val="28"/>
          <w:lang w:eastAsia="zh-HK"/>
        </w:rPr>
        <w:t>）</w:t>
      </w:r>
      <w:r w:rsidRPr="00C41521">
        <w:rPr>
          <w:rFonts w:hint="eastAsia"/>
          <w:szCs w:val="28"/>
        </w:rPr>
        <w:t>，作為公共廣播機構，播放不同類型的節目，以服務普羅大眾，同時照顧小眾的需要。</w:t>
      </w:r>
    </w:p>
    <w:p w:rsidR="006D2061" w:rsidRDefault="006D2061" w:rsidP="008375BB">
      <w:pPr>
        <w:tabs>
          <w:tab w:val="left" w:pos="1440"/>
        </w:tabs>
        <w:adjustRightInd w:val="0"/>
        <w:snapToGrid w:val="0"/>
        <w:spacing w:line="400" w:lineRule="atLeast"/>
        <w:contextualSpacing/>
        <w:jc w:val="both"/>
        <w:rPr>
          <w:szCs w:val="28"/>
        </w:rPr>
      </w:pPr>
    </w:p>
    <w:p w:rsidR="006D2061" w:rsidRDefault="006D2061" w:rsidP="008375BB">
      <w:pPr>
        <w:tabs>
          <w:tab w:val="left" w:pos="1440"/>
        </w:tabs>
        <w:adjustRightInd w:val="0"/>
        <w:snapToGrid w:val="0"/>
        <w:spacing w:line="400" w:lineRule="atLeast"/>
        <w:contextualSpacing/>
        <w:jc w:val="both"/>
        <w:rPr>
          <w:szCs w:val="28"/>
        </w:rPr>
      </w:pPr>
      <w:r>
        <w:rPr>
          <w:rFonts w:hint="eastAsia"/>
          <w:szCs w:val="28"/>
        </w:rPr>
        <w:t>15.12</w:t>
      </w:r>
      <w:r>
        <w:rPr>
          <w:szCs w:val="28"/>
        </w:rPr>
        <w:tab/>
      </w:r>
      <w:r w:rsidRPr="00C41521">
        <w:rPr>
          <w:rFonts w:hint="eastAsia"/>
          <w:szCs w:val="28"/>
        </w:rPr>
        <w:t>聲音廣播方面，由港台及兩家持牌廣播機構營辦的</w:t>
      </w:r>
      <w:r w:rsidRPr="00C41521">
        <w:rPr>
          <w:szCs w:val="28"/>
        </w:rPr>
        <w:t>13</w:t>
      </w:r>
      <w:r w:rsidRPr="00C41521">
        <w:rPr>
          <w:rFonts w:hint="eastAsia"/>
          <w:szCs w:val="28"/>
        </w:rPr>
        <w:t>條本地電台頻道為香港聽眾提供服務。電台頻道的節目包括新聞及天氣報告、時事節目、藝術文化節目，以及分別為兒童、青少年和長者而設的節目。</w:t>
      </w:r>
    </w:p>
    <w:p w:rsidR="006D2061" w:rsidRDefault="006D2061" w:rsidP="008375BB">
      <w:pPr>
        <w:tabs>
          <w:tab w:val="left" w:pos="1440"/>
        </w:tabs>
        <w:adjustRightInd w:val="0"/>
        <w:snapToGrid w:val="0"/>
        <w:spacing w:line="400" w:lineRule="atLeast"/>
        <w:contextualSpacing/>
        <w:jc w:val="both"/>
        <w:rPr>
          <w:szCs w:val="28"/>
        </w:rPr>
      </w:pPr>
    </w:p>
    <w:p w:rsidR="006D2061" w:rsidRDefault="006D2061" w:rsidP="00613F91">
      <w:pPr>
        <w:tabs>
          <w:tab w:val="left" w:pos="1440"/>
        </w:tabs>
        <w:overflowPunct w:val="0"/>
        <w:autoSpaceDE w:val="0"/>
        <w:adjustRightInd w:val="0"/>
        <w:snapToGrid w:val="0"/>
        <w:spacing w:line="400" w:lineRule="atLeast"/>
        <w:contextualSpacing/>
        <w:jc w:val="both"/>
        <w:rPr>
          <w:szCs w:val="28"/>
        </w:rPr>
      </w:pPr>
      <w:r w:rsidRPr="00613F91">
        <w:rPr>
          <w:rFonts w:hint="eastAsia"/>
          <w:spacing w:val="-4"/>
          <w:szCs w:val="28"/>
        </w:rPr>
        <w:t>15.13</w:t>
      </w:r>
      <w:r w:rsidRPr="00613F91">
        <w:rPr>
          <w:spacing w:val="-4"/>
          <w:szCs w:val="28"/>
        </w:rPr>
        <w:tab/>
      </w:r>
      <w:r w:rsidRPr="00613F91">
        <w:rPr>
          <w:rFonts w:hint="eastAsia"/>
          <w:spacing w:val="-4"/>
          <w:szCs w:val="28"/>
        </w:rPr>
        <w:t>繼上一次報告第</w:t>
      </w:r>
      <w:r w:rsidRPr="00613F91">
        <w:rPr>
          <w:spacing w:val="-4"/>
          <w:szCs w:val="28"/>
        </w:rPr>
        <w:t>15.47</w:t>
      </w:r>
      <w:r w:rsidRPr="00613F91">
        <w:rPr>
          <w:rFonts w:hint="eastAsia"/>
          <w:spacing w:val="-4"/>
          <w:szCs w:val="28"/>
        </w:rPr>
        <w:t>至</w:t>
      </w:r>
      <w:r w:rsidRPr="00613F91">
        <w:rPr>
          <w:spacing w:val="-4"/>
          <w:szCs w:val="28"/>
        </w:rPr>
        <w:t>15.49</w:t>
      </w:r>
      <w:r w:rsidRPr="00613F91">
        <w:rPr>
          <w:rFonts w:hint="eastAsia"/>
          <w:spacing w:val="-4"/>
          <w:szCs w:val="28"/>
        </w:rPr>
        <w:t>段，政府在</w:t>
      </w:r>
      <w:r w:rsidRPr="00613F91">
        <w:rPr>
          <w:spacing w:val="-4"/>
          <w:szCs w:val="28"/>
        </w:rPr>
        <w:t>2010</w:t>
      </w:r>
      <w:r w:rsidRPr="00613F91">
        <w:rPr>
          <w:rFonts w:hint="eastAsia"/>
          <w:spacing w:val="-4"/>
          <w:szCs w:val="28"/>
        </w:rPr>
        <w:t>年公布</w:t>
      </w:r>
      <w:r w:rsidRPr="00C41521">
        <w:rPr>
          <w:rFonts w:hint="eastAsia"/>
          <w:szCs w:val="28"/>
        </w:rPr>
        <w:t>《香港電台約章》，確立港台作為公共廣播機構的角色，訂明其公共目的及使命，及確立港台編輯自主。由社會各界人士組成</w:t>
      </w:r>
      <w:r>
        <w:rPr>
          <w:rFonts w:hint="eastAsia"/>
          <w:szCs w:val="28"/>
        </w:rPr>
        <w:t>的</w:t>
      </w:r>
      <w:r w:rsidRPr="00C41521">
        <w:rPr>
          <w:rFonts w:hint="eastAsia"/>
          <w:szCs w:val="28"/>
        </w:rPr>
        <w:t>香港電台顧問委員會於</w:t>
      </w:r>
      <w:r w:rsidRPr="00C41521">
        <w:rPr>
          <w:szCs w:val="28"/>
        </w:rPr>
        <w:t>2010</w:t>
      </w:r>
      <w:r w:rsidRPr="00C41521">
        <w:rPr>
          <w:rFonts w:hint="eastAsia"/>
          <w:szCs w:val="28"/>
        </w:rPr>
        <w:t>年成立，就關乎港台節目編輯方針、節目標準及質素的事宜向廣播處長提供意見，亦會聽取有關港台的投訴、公眾意見調</w:t>
      </w:r>
      <w:r w:rsidRPr="007F576E">
        <w:rPr>
          <w:rFonts w:hint="eastAsia"/>
          <w:spacing w:val="2"/>
          <w:szCs w:val="28"/>
        </w:rPr>
        <w:t>查和服務表現評估的報告。港台於</w:t>
      </w:r>
      <w:r w:rsidRPr="007F576E">
        <w:rPr>
          <w:spacing w:val="2"/>
          <w:szCs w:val="28"/>
        </w:rPr>
        <w:t>2012</w:t>
      </w:r>
      <w:r w:rsidRPr="007F576E">
        <w:rPr>
          <w:rFonts w:hint="eastAsia"/>
          <w:spacing w:val="2"/>
          <w:szCs w:val="28"/>
        </w:rPr>
        <w:t>年推出「社區參與廣播服務」，</w:t>
      </w:r>
      <w:r w:rsidRPr="00C41521">
        <w:rPr>
          <w:rFonts w:hint="eastAsia"/>
          <w:szCs w:val="28"/>
        </w:rPr>
        <w:t>邀請社區及少數族裔人士參與電台節目製作。參加者可申請「社區參與廣播基金」資助製作節目。截至</w:t>
      </w:r>
      <w:r w:rsidRPr="00C41521">
        <w:rPr>
          <w:szCs w:val="28"/>
        </w:rPr>
        <w:t>2018</w:t>
      </w:r>
      <w:r w:rsidRPr="00C41521">
        <w:rPr>
          <w:rFonts w:hint="eastAsia"/>
          <w:szCs w:val="28"/>
        </w:rPr>
        <w:t>年年底，「社區參與廣播服務」的節目時數已超過</w:t>
      </w:r>
      <w:r w:rsidRPr="00C41521">
        <w:rPr>
          <w:szCs w:val="28"/>
        </w:rPr>
        <w:t>4</w:t>
      </w:r>
      <w:r>
        <w:rPr>
          <w:szCs w:val="28"/>
        </w:rPr>
        <w:t> </w:t>
      </w:r>
      <w:r w:rsidRPr="00C41521">
        <w:rPr>
          <w:szCs w:val="28"/>
        </w:rPr>
        <w:t>100</w:t>
      </w:r>
      <w:r w:rsidRPr="00C41521">
        <w:rPr>
          <w:rFonts w:hint="eastAsia"/>
          <w:szCs w:val="28"/>
        </w:rPr>
        <w:t>小時。</w:t>
      </w:r>
    </w:p>
    <w:p w:rsidR="006D2061" w:rsidRDefault="006D2061" w:rsidP="008375BB">
      <w:pPr>
        <w:tabs>
          <w:tab w:val="left" w:pos="1440"/>
        </w:tabs>
        <w:adjustRightInd w:val="0"/>
        <w:snapToGrid w:val="0"/>
        <w:spacing w:line="400" w:lineRule="atLeast"/>
        <w:contextualSpacing/>
        <w:jc w:val="both"/>
        <w:rPr>
          <w:szCs w:val="28"/>
        </w:rPr>
      </w:pPr>
    </w:p>
    <w:p w:rsidR="006D2061" w:rsidRDefault="006D2061" w:rsidP="008375BB">
      <w:pPr>
        <w:keepNext/>
        <w:tabs>
          <w:tab w:val="left" w:pos="1440"/>
        </w:tabs>
        <w:adjustRightInd w:val="0"/>
        <w:snapToGrid w:val="0"/>
        <w:spacing w:line="400" w:lineRule="atLeast"/>
        <w:contextualSpacing/>
        <w:jc w:val="both"/>
        <w:rPr>
          <w:szCs w:val="28"/>
        </w:rPr>
      </w:pPr>
      <w:r w:rsidRPr="00930209">
        <w:rPr>
          <w:b/>
          <w:szCs w:val="28"/>
          <w:lang w:val="en-GB"/>
        </w:rPr>
        <w:lastRenderedPageBreak/>
        <w:t>推廣科技</w:t>
      </w:r>
    </w:p>
    <w:p w:rsidR="006D2061" w:rsidRDefault="006D2061" w:rsidP="008375BB">
      <w:pPr>
        <w:keepNext/>
        <w:tabs>
          <w:tab w:val="left" w:pos="1440"/>
        </w:tabs>
        <w:adjustRightInd w:val="0"/>
        <w:snapToGrid w:val="0"/>
        <w:spacing w:line="400" w:lineRule="atLeast"/>
        <w:contextualSpacing/>
        <w:jc w:val="both"/>
        <w:rPr>
          <w:szCs w:val="28"/>
        </w:rPr>
      </w:pPr>
    </w:p>
    <w:p w:rsidR="006D2061" w:rsidRPr="002C37B0" w:rsidRDefault="006D2061" w:rsidP="008375BB">
      <w:pPr>
        <w:tabs>
          <w:tab w:val="left" w:pos="1440"/>
        </w:tabs>
        <w:adjustRightInd w:val="0"/>
        <w:snapToGrid w:val="0"/>
        <w:spacing w:line="400" w:lineRule="atLeast"/>
        <w:contextualSpacing/>
        <w:jc w:val="both"/>
        <w:rPr>
          <w:szCs w:val="28"/>
          <w:lang w:eastAsia="zh-HK"/>
        </w:rPr>
      </w:pPr>
      <w:r>
        <w:rPr>
          <w:rFonts w:hint="eastAsia"/>
          <w:szCs w:val="28"/>
        </w:rPr>
        <w:t>15.14</w:t>
      </w:r>
      <w:r>
        <w:rPr>
          <w:rFonts w:hint="eastAsia"/>
          <w:szCs w:val="28"/>
        </w:rPr>
        <w:tab/>
      </w:r>
      <w:r w:rsidRPr="002C37B0">
        <w:rPr>
          <w:rFonts w:hint="eastAsia"/>
          <w:szCs w:val="28"/>
        </w:rPr>
        <w:t>自上次報告，特區政府加大力度推動香港的創新及科技（創科）發展</w:t>
      </w:r>
      <w:r>
        <w:rPr>
          <w:rFonts w:hint="eastAsia"/>
          <w:szCs w:val="28"/>
          <w:lang w:eastAsia="zh-HK"/>
        </w:rPr>
        <w:t>，詳情見</w:t>
      </w:r>
      <w:r w:rsidRPr="009C1FB4">
        <w:rPr>
          <w:rFonts w:hint="eastAsia"/>
          <w:b/>
          <w:szCs w:val="28"/>
          <w:lang w:eastAsia="zh-HK"/>
        </w:rPr>
        <w:t>附件</w:t>
      </w:r>
      <w:r w:rsidRPr="009C1FB4">
        <w:rPr>
          <w:rFonts w:hint="eastAsia"/>
          <w:b/>
          <w:szCs w:val="28"/>
        </w:rPr>
        <w:t>15C</w:t>
      </w:r>
      <w:r>
        <w:rPr>
          <w:rFonts w:hint="eastAsia"/>
          <w:b/>
          <w:szCs w:val="28"/>
          <w:lang w:eastAsia="zh-HK"/>
        </w:rPr>
        <w:t>。</w:t>
      </w:r>
    </w:p>
    <w:p w:rsidR="006D2061" w:rsidRPr="002C37B0" w:rsidRDefault="006D2061" w:rsidP="008375BB">
      <w:pPr>
        <w:tabs>
          <w:tab w:val="left" w:pos="1440"/>
        </w:tabs>
        <w:adjustRightInd w:val="0"/>
        <w:snapToGrid w:val="0"/>
        <w:spacing w:line="400" w:lineRule="atLeast"/>
        <w:contextualSpacing/>
        <w:jc w:val="both"/>
        <w:rPr>
          <w:szCs w:val="28"/>
        </w:rPr>
      </w:pPr>
    </w:p>
    <w:p w:rsidR="006D2061" w:rsidRPr="002C37B0" w:rsidRDefault="006D2061" w:rsidP="008375BB">
      <w:pPr>
        <w:tabs>
          <w:tab w:val="left" w:pos="1440"/>
        </w:tabs>
        <w:adjustRightInd w:val="0"/>
        <w:snapToGrid w:val="0"/>
        <w:spacing w:line="400" w:lineRule="atLeast"/>
        <w:contextualSpacing/>
        <w:jc w:val="both"/>
        <w:rPr>
          <w:szCs w:val="28"/>
          <w:u w:val="single"/>
        </w:rPr>
      </w:pPr>
      <w:r w:rsidRPr="002C37B0">
        <w:rPr>
          <w:rFonts w:hint="eastAsia"/>
          <w:szCs w:val="28"/>
          <w:u w:val="single"/>
        </w:rPr>
        <w:t>保護知識產權</w:t>
      </w:r>
    </w:p>
    <w:p w:rsidR="006D2061" w:rsidRPr="002C37B0" w:rsidRDefault="006D2061" w:rsidP="008375BB">
      <w:pPr>
        <w:tabs>
          <w:tab w:val="left" w:pos="1440"/>
        </w:tabs>
        <w:adjustRightInd w:val="0"/>
        <w:snapToGrid w:val="0"/>
        <w:spacing w:line="400" w:lineRule="atLeast"/>
        <w:contextualSpacing/>
        <w:jc w:val="both"/>
        <w:rPr>
          <w:b/>
          <w:szCs w:val="28"/>
        </w:rPr>
      </w:pPr>
    </w:p>
    <w:p w:rsidR="006D2061" w:rsidRPr="002C37B0" w:rsidRDefault="006D2061" w:rsidP="008375BB">
      <w:pPr>
        <w:tabs>
          <w:tab w:val="left" w:pos="1440"/>
        </w:tabs>
        <w:adjustRightInd w:val="0"/>
        <w:snapToGrid w:val="0"/>
        <w:spacing w:line="400" w:lineRule="atLeast"/>
        <w:contextualSpacing/>
        <w:jc w:val="both"/>
        <w:rPr>
          <w:szCs w:val="28"/>
        </w:rPr>
      </w:pPr>
      <w:r w:rsidRPr="00D51FC1">
        <w:rPr>
          <w:rFonts w:hint="eastAsia"/>
          <w:spacing w:val="-2"/>
          <w:szCs w:val="28"/>
        </w:rPr>
        <w:t xml:space="preserve">15.15 </w:t>
      </w:r>
      <w:r w:rsidRPr="00D51FC1">
        <w:rPr>
          <w:rFonts w:hint="eastAsia"/>
          <w:spacing w:val="-2"/>
          <w:szCs w:val="28"/>
        </w:rPr>
        <w:tab/>
      </w:r>
      <w:r w:rsidRPr="00D51FC1">
        <w:rPr>
          <w:rFonts w:hint="eastAsia"/>
          <w:spacing w:val="-2"/>
          <w:szCs w:val="28"/>
        </w:rPr>
        <w:t>整體情況與第一次報告裡第</w:t>
      </w:r>
      <w:r w:rsidRPr="00D51FC1">
        <w:rPr>
          <w:rFonts w:hint="eastAsia"/>
          <w:spacing w:val="-2"/>
          <w:szCs w:val="28"/>
        </w:rPr>
        <w:t>613</w:t>
      </w:r>
      <w:r w:rsidRPr="00D51FC1">
        <w:rPr>
          <w:rFonts w:hint="eastAsia"/>
          <w:spacing w:val="-2"/>
          <w:szCs w:val="28"/>
        </w:rPr>
        <w:t>至</w:t>
      </w:r>
      <w:r w:rsidRPr="00D51FC1">
        <w:rPr>
          <w:rFonts w:hint="eastAsia"/>
          <w:spacing w:val="-2"/>
          <w:szCs w:val="28"/>
        </w:rPr>
        <w:t>617</w:t>
      </w:r>
      <w:r w:rsidRPr="00D51FC1">
        <w:rPr>
          <w:rFonts w:hint="eastAsia"/>
          <w:spacing w:val="-2"/>
          <w:szCs w:val="28"/>
        </w:rPr>
        <w:t>段所述的相同。</w:t>
      </w:r>
      <w:r w:rsidRPr="002C37B0">
        <w:rPr>
          <w:rFonts w:hint="eastAsia"/>
          <w:szCs w:val="28"/>
        </w:rPr>
        <w:t>香港特區致力透過完備的法例、嚴謹的執法工作、持續的公眾教育，及與知識產權擁有人及其他執法機構的緊密合作，為知識產權提供嚴格保護。根據世界經濟論壇在</w:t>
      </w:r>
      <w:r w:rsidRPr="002C37B0">
        <w:rPr>
          <w:rFonts w:hint="eastAsia"/>
          <w:szCs w:val="28"/>
        </w:rPr>
        <w:t>2018</w:t>
      </w:r>
      <w:r w:rsidRPr="002C37B0">
        <w:rPr>
          <w:rFonts w:hint="eastAsia"/>
          <w:szCs w:val="28"/>
        </w:rPr>
        <w:t>年</w:t>
      </w:r>
      <w:r w:rsidRPr="002C37B0">
        <w:rPr>
          <w:rFonts w:hint="eastAsia"/>
          <w:szCs w:val="28"/>
        </w:rPr>
        <w:t>10</w:t>
      </w:r>
      <w:r w:rsidRPr="002C37B0">
        <w:rPr>
          <w:rFonts w:hint="eastAsia"/>
          <w:szCs w:val="28"/>
        </w:rPr>
        <w:t>月發表的全球競爭力報告，香港在保護知識產權方面在全球</w:t>
      </w:r>
      <w:r w:rsidRPr="002C37B0">
        <w:rPr>
          <w:rFonts w:hint="eastAsia"/>
          <w:szCs w:val="28"/>
        </w:rPr>
        <w:t>140</w:t>
      </w:r>
      <w:r w:rsidRPr="002C37B0">
        <w:rPr>
          <w:rFonts w:hint="eastAsia"/>
          <w:szCs w:val="28"/>
        </w:rPr>
        <w:t>個經濟體中排</w:t>
      </w:r>
      <w:r>
        <w:rPr>
          <w:rFonts w:hint="eastAsia"/>
          <w:szCs w:val="28"/>
        </w:rPr>
        <w:t>名</w:t>
      </w:r>
      <w:r w:rsidRPr="002C37B0">
        <w:rPr>
          <w:rFonts w:hint="eastAsia"/>
          <w:szCs w:val="28"/>
        </w:rPr>
        <w:t>第九。香港</w:t>
      </w:r>
      <w:r>
        <w:rPr>
          <w:rFonts w:hint="eastAsia"/>
          <w:szCs w:val="28"/>
        </w:rPr>
        <w:t>在</w:t>
      </w:r>
      <w:r w:rsidRPr="002C37B0">
        <w:rPr>
          <w:rFonts w:hint="eastAsia"/>
          <w:szCs w:val="28"/>
        </w:rPr>
        <w:t>推廣科技設有專利制度，為科學發明提供有效保護，並正全力建立「原授專利」制度，以配合把香港發展為區內創新科技樞紐的工作。</w:t>
      </w:r>
    </w:p>
    <w:p w:rsidR="006D2061" w:rsidRDefault="006D2061" w:rsidP="008375BB">
      <w:pPr>
        <w:tabs>
          <w:tab w:val="left" w:pos="1440"/>
        </w:tabs>
        <w:adjustRightInd w:val="0"/>
        <w:snapToGrid w:val="0"/>
        <w:spacing w:line="400" w:lineRule="atLeast"/>
        <w:contextualSpacing/>
        <w:jc w:val="both"/>
        <w:rPr>
          <w:b/>
          <w:szCs w:val="28"/>
        </w:rPr>
      </w:pPr>
    </w:p>
    <w:p w:rsidR="006D2061" w:rsidRPr="002C37B0" w:rsidRDefault="006D2061" w:rsidP="008375BB">
      <w:pPr>
        <w:tabs>
          <w:tab w:val="left" w:pos="1440"/>
        </w:tabs>
        <w:adjustRightInd w:val="0"/>
        <w:snapToGrid w:val="0"/>
        <w:spacing w:line="400" w:lineRule="atLeast"/>
        <w:contextualSpacing/>
        <w:jc w:val="both"/>
        <w:rPr>
          <w:b/>
          <w:szCs w:val="28"/>
        </w:rPr>
      </w:pPr>
      <w:r w:rsidRPr="002C37B0">
        <w:rPr>
          <w:rFonts w:hint="eastAsia"/>
          <w:b/>
          <w:szCs w:val="28"/>
        </w:rPr>
        <w:t>郊野公園及保育自然區</w:t>
      </w:r>
    </w:p>
    <w:p w:rsidR="006D2061" w:rsidRPr="002C37B0" w:rsidRDefault="006D2061" w:rsidP="008375BB">
      <w:pPr>
        <w:tabs>
          <w:tab w:val="left" w:pos="1440"/>
        </w:tabs>
        <w:adjustRightInd w:val="0"/>
        <w:snapToGrid w:val="0"/>
        <w:spacing w:line="400" w:lineRule="atLeast"/>
        <w:contextualSpacing/>
        <w:jc w:val="both"/>
        <w:rPr>
          <w:b/>
          <w:szCs w:val="28"/>
        </w:rPr>
      </w:pPr>
    </w:p>
    <w:p w:rsidR="006D2061" w:rsidRPr="002C37B0" w:rsidRDefault="006D2061" w:rsidP="008375BB">
      <w:pPr>
        <w:tabs>
          <w:tab w:val="left" w:pos="1440"/>
        </w:tabs>
        <w:adjustRightInd w:val="0"/>
        <w:snapToGrid w:val="0"/>
        <w:spacing w:line="400" w:lineRule="atLeast"/>
        <w:contextualSpacing/>
        <w:jc w:val="both"/>
        <w:rPr>
          <w:szCs w:val="28"/>
        </w:rPr>
      </w:pPr>
      <w:r w:rsidRPr="002C37B0">
        <w:rPr>
          <w:szCs w:val="28"/>
        </w:rPr>
        <w:t>15.</w:t>
      </w:r>
      <w:r>
        <w:rPr>
          <w:rFonts w:hint="eastAsia"/>
          <w:szCs w:val="28"/>
        </w:rPr>
        <w:t>16</w:t>
      </w:r>
      <w:r w:rsidRPr="002C37B0">
        <w:rPr>
          <w:szCs w:val="28"/>
        </w:rPr>
        <w:tab/>
      </w:r>
      <w:r w:rsidRPr="002C37B0">
        <w:rPr>
          <w:rFonts w:hint="eastAsia"/>
          <w:szCs w:val="28"/>
        </w:rPr>
        <w:t>在上次報告提交後，</w:t>
      </w:r>
      <w:r>
        <w:rPr>
          <w:rFonts w:hint="eastAsia"/>
          <w:szCs w:val="28"/>
        </w:rPr>
        <w:t>我們</w:t>
      </w:r>
      <w:r w:rsidRPr="002C37B0">
        <w:rPr>
          <w:rFonts w:hint="eastAsia"/>
          <w:szCs w:val="28"/>
        </w:rPr>
        <w:t>增設了五個特別地區及將六幅郊野公園「不包括的土地」納入郊野公園範圍。除設立保護區以有效保護生物多樣性外，香港地質公園於</w:t>
      </w:r>
      <w:r w:rsidRPr="002C37B0">
        <w:rPr>
          <w:szCs w:val="28"/>
        </w:rPr>
        <w:t>2011</w:t>
      </w:r>
      <w:r w:rsidRPr="002C37B0">
        <w:rPr>
          <w:rFonts w:hint="eastAsia"/>
          <w:szCs w:val="28"/>
        </w:rPr>
        <w:t>年</w:t>
      </w:r>
      <w:r w:rsidRPr="002C37B0">
        <w:rPr>
          <w:szCs w:val="28"/>
        </w:rPr>
        <w:t>9</w:t>
      </w:r>
      <w:r w:rsidRPr="002C37B0">
        <w:rPr>
          <w:rFonts w:hint="eastAsia"/>
          <w:szCs w:val="28"/>
        </w:rPr>
        <w:t>月獲接納為世界地質公園網絡的成員，並於</w:t>
      </w:r>
      <w:r w:rsidRPr="002C37B0">
        <w:rPr>
          <w:szCs w:val="28"/>
        </w:rPr>
        <w:t>2015</w:t>
      </w:r>
      <w:r w:rsidRPr="002C37B0">
        <w:rPr>
          <w:rFonts w:hint="eastAsia"/>
          <w:szCs w:val="28"/>
        </w:rPr>
        <w:t>年</w:t>
      </w:r>
      <w:r w:rsidRPr="002C37B0">
        <w:rPr>
          <w:szCs w:val="28"/>
        </w:rPr>
        <w:t>11</w:t>
      </w:r>
      <w:r w:rsidRPr="002C37B0">
        <w:rPr>
          <w:rFonts w:hint="eastAsia"/>
          <w:szCs w:val="28"/>
        </w:rPr>
        <w:t>月更名為香港聯合國教科文組織世界地質公園。我們亦與海外的八個地質公園建立姊妹公園合作關係，為推廣、管理及可持續地發展地質公園提供重要的海外網絡。</w:t>
      </w:r>
    </w:p>
    <w:p w:rsidR="006D2061" w:rsidRPr="002C37B0" w:rsidRDefault="006D2061" w:rsidP="008375BB">
      <w:pPr>
        <w:tabs>
          <w:tab w:val="left" w:pos="1440"/>
        </w:tabs>
        <w:adjustRightInd w:val="0"/>
        <w:snapToGrid w:val="0"/>
        <w:spacing w:line="400" w:lineRule="atLeast"/>
        <w:contextualSpacing/>
        <w:jc w:val="both"/>
        <w:rPr>
          <w:szCs w:val="28"/>
        </w:rPr>
      </w:pPr>
    </w:p>
    <w:p w:rsidR="006D2061" w:rsidRDefault="006D2061" w:rsidP="008375BB">
      <w:pPr>
        <w:tabs>
          <w:tab w:val="left" w:pos="1440"/>
        </w:tabs>
        <w:adjustRightInd w:val="0"/>
        <w:snapToGrid w:val="0"/>
        <w:spacing w:line="400" w:lineRule="atLeast"/>
        <w:contextualSpacing/>
        <w:jc w:val="both"/>
        <w:rPr>
          <w:b/>
          <w:szCs w:val="28"/>
        </w:rPr>
      </w:pPr>
      <w:r w:rsidRPr="002C37B0">
        <w:rPr>
          <w:rFonts w:hint="eastAsia"/>
          <w:szCs w:val="28"/>
        </w:rPr>
        <w:t>15.</w:t>
      </w:r>
      <w:r>
        <w:rPr>
          <w:rFonts w:hint="eastAsia"/>
          <w:szCs w:val="28"/>
        </w:rPr>
        <w:t>17</w:t>
      </w:r>
      <w:r w:rsidRPr="002C37B0">
        <w:rPr>
          <w:rFonts w:hint="eastAsia"/>
          <w:szCs w:val="28"/>
        </w:rPr>
        <w:tab/>
      </w:r>
      <w:r w:rsidRPr="002C37B0">
        <w:rPr>
          <w:rFonts w:hint="eastAsia"/>
          <w:szCs w:val="28"/>
        </w:rPr>
        <w:t>「鄉郊保育辦公室」已於</w:t>
      </w:r>
      <w:r w:rsidRPr="002C37B0">
        <w:rPr>
          <w:rFonts w:hint="eastAsia"/>
          <w:szCs w:val="28"/>
        </w:rPr>
        <w:t>2018</w:t>
      </w:r>
      <w:r w:rsidRPr="002C37B0">
        <w:rPr>
          <w:rFonts w:hint="eastAsia"/>
          <w:szCs w:val="28"/>
        </w:rPr>
        <w:t>年</w:t>
      </w:r>
      <w:r w:rsidRPr="002C37B0">
        <w:rPr>
          <w:rFonts w:hint="eastAsia"/>
          <w:szCs w:val="28"/>
        </w:rPr>
        <w:t>7</w:t>
      </w:r>
      <w:r w:rsidRPr="002C37B0">
        <w:rPr>
          <w:rFonts w:hint="eastAsia"/>
          <w:szCs w:val="28"/>
        </w:rPr>
        <w:t>月成立，專門統籌香港的鄉郊保育計劃及促進偏遠鄉郊的可持續發展。</w:t>
      </w:r>
    </w:p>
    <w:p w:rsidR="006D2061" w:rsidRPr="00930209" w:rsidRDefault="006D2061" w:rsidP="008375BB">
      <w:pPr>
        <w:tabs>
          <w:tab w:val="left" w:pos="1440"/>
        </w:tabs>
        <w:adjustRightInd w:val="0"/>
        <w:snapToGrid w:val="0"/>
        <w:spacing w:line="400" w:lineRule="atLeast"/>
        <w:contextualSpacing/>
        <w:jc w:val="both"/>
        <w:rPr>
          <w:b/>
          <w:szCs w:val="28"/>
        </w:rPr>
      </w:pPr>
    </w:p>
    <w:p w:rsidR="000B71BB" w:rsidRDefault="000B71BB" w:rsidP="008375BB">
      <w:pPr>
        <w:jc w:val="both"/>
        <w:sectPr w:rsidR="000B71BB" w:rsidSect="00402F3C">
          <w:footerReference w:type="default" r:id="rId13"/>
          <w:pgSz w:w="11906" w:h="16838"/>
          <w:pgMar w:top="1440" w:right="1800" w:bottom="1440" w:left="1800" w:header="720" w:footer="720" w:gutter="0"/>
          <w:pgNumType w:start="1"/>
          <w:cols w:space="425"/>
          <w:docGrid w:type="lines" w:linePitch="381"/>
        </w:sectPr>
      </w:pPr>
    </w:p>
    <w:p w:rsidR="000B71BB" w:rsidRDefault="000B71BB" w:rsidP="000B71BB">
      <w:pPr>
        <w:snapToGrid w:val="0"/>
        <w:spacing w:line="400" w:lineRule="atLeast"/>
        <w:jc w:val="right"/>
        <w:rPr>
          <w:b/>
          <w:szCs w:val="28"/>
        </w:rPr>
      </w:pPr>
      <w:r w:rsidRPr="00C330D2">
        <w:rPr>
          <w:rFonts w:hint="eastAsia"/>
          <w:b/>
          <w:szCs w:val="28"/>
          <w:lang w:eastAsia="zh-HK"/>
        </w:rPr>
        <w:lastRenderedPageBreak/>
        <w:t>附件</w:t>
      </w:r>
      <w:r w:rsidRPr="00C330D2">
        <w:rPr>
          <w:rFonts w:hint="eastAsia"/>
          <w:b/>
          <w:szCs w:val="28"/>
        </w:rPr>
        <w:t>1</w:t>
      </w:r>
      <w:r>
        <w:rPr>
          <w:rFonts w:hint="eastAsia"/>
          <w:b/>
          <w:szCs w:val="28"/>
        </w:rPr>
        <w:t>A</w:t>
      </w:r>
    </w:p>
    <w:p w:rsidR="000B71BB" w:rsidRDefault="000B71BB" w:rsidP="000B71BB">
      <w:pPr>
        <w:snapToGrid w:val="0"/>
        <w:spacing w:line="400" w:lineRule="atLeast"/>
        <w:jc w:val="center"/>
        <w:rPr>
          <w:b/>
          <w:szCs w:val="28"/>
          <w:lang w:eastAsia="zh-HK"/>
        </w:rPr>
      </w:pPr>
    </w:p>
    <w:p w:rsidR="000B71BB" w:rsidRDefault="000B71BB" w:rsidP="000B71BB">
      <w:pPr>
        <w:snapToGrid w:val="0"/>
        <w:spacing w:line="400" w:lineRule="atLeast"/>
        <w:jc w:val="center"/>
        <w:rPr>
          <w:b/>
          <w:szCs w:val="28"/>
        </w:rPr>
      </w:pPr>
      <w:r>
        <w:rPr>
          <w:rFonts w:hint="eastAsia"/>
          <w:b/>
          <w:szCs w:val="28"/>
          <w:lang w:eastAsia="zh-HK"/>
        </w:rPr>
        <w:t>政制</w:t>
      </w:r>
      <w:r>
        <w:rPr>
          <w:rFonts w:hint="eastAsia"/>
          <w:b/>
          <w:szCs w:val="28"/>
        </w:rPr>
        <w:t>發</w:t>
      </w:r>
      <w:r>
        <w:rPr>
          <w:rFonts w:hint="eastAsia"/>
          <w:b/>
          <w:szCs w:val="28"/>
          <w:lang w:eastAsia="zh-HK"/>
        </w:rPr>
        <w:t>展</w:t>
      </w:r>
    </w:p>
    <w:p w:rsidR="000B71BB" w:rsidRPr="00D552EE" w:rsidRDefault="000B71BB" w:rsidP="000B71BB">
      <w:pPr>
        <w:adjustRightInd w:val="0"/>
        <w:snapToGrid w:val="0"/>
        <w:spacing w:line="400" w:lineRule="atLeast"/>
        <w:contextualSpacing/>
        <w:jc w:val="both"/>
        <w:rPr>
          <w:rFonts w:cs="Times New Roman"/>
          <w:szCs w:val="28"/>
        </w:rPr>
      </w:pPr>
    </w:p>
    <w:p w:rsidR="000B71BB"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t>1.</w:t>
      </w:r>
      <w:r w:rsidRPr="00D552EE">
        <w:rPr>
          <w:rFonts w:cs="Times New Roman" w:hint="eastAsia"/>
          <w:szCs w:val="28"/>
        </w:rPr>
        <w:tab/>
      </w:r>
      <w:r w:rsidRPr="00CA1B05">
        <w:rPr>
          <w:rFonts w:cs="Times New Roman" w:hint="eastAsia"/>
          <w:szCs w:val="28"/>
        </w:rPr>
        <w:t>立法會由地方選區直接選舉產生的議席，按照香港特區《基本法》附件二的規定，由第一屆（</w:t>
      </w:r>
      <w:r w:rsidRPr="00CA1B05">
        <w:rPr>
          <w:rFonts w:cs="Times New Roman" w:hint="eastAsia"/>
          <w:szCs w:val="28"/>
        </w:rPr>
        <w:t>1998-2000</w:t>
      </w:r>
      <w:r w:rsidRPr="00CA1B05">
        <w:rPr>
          <w:rFonts w:cs="Times New Roman" w:hint="eastAsia"/>
          <w:szCs w:val="28"/>
        </w:rPr>
        <w:t>年）</w:t>
      </w:r>
      <w:r w:rsidRPr="00CA1B05">
        <w:rPr>
          <w:rFonts w:cs="Times New Roman" w:hint="eastAsia"/>
          <w:szCs w:val="28"/>
        </w:rPr>
        <w:t>20</w:t>
      </w:r>
      <w:r w:rsidRPr="00CA1B05">
        <w:rPr>
          <w:rFonts w:cs="Times New Roman" w:hint="eastAsia"/>
          <w:szCs w:val="28"/>
        </w:rPr>
        <w:t>席，增至第二屆（</w:t>
      </w:r>
      <w:r w:rsidRPr="00CA1B05">
        <w:rPr>
          <w:rFonts w:cs="Times New Roman" w:hint="eastAsia"/>
          <w:szCs w:val="28"/>
        </w:rPr>
        <w:t>2000-2004</w:t>
      </w:r>
      <w:r w:rsidRPr="00CA1B05">
        <w:rPr>
          <w:rFonts w:cs="Times New Roman" w:hint="eastAsia"/>
          <w:szCs w:val="28"/>
        </w:rPr>
        <w:t>年）</w:t>
      </w:r>
      <w:r w:rsidRPr="00CA1B05">
        <w:rPr>
          <w:rFonts w:cs="Times New Roman" w:hint="eastAsia"/>
          <w:szCs w:val="28"/>
        </w:rPr>
        <w:t>24</w:t>
      </w:r>
      <w:r w:rsidRPr="00CA1B05">
        <w:rPr>
          <w:rFonts w:cs="Times New Roman" w:hint="eastAsia"/>
          <w:szCs w:val="28"/>
        </w:rPr>
        <w:t>席，到第三屆（</w:t>
      </w:r>
      <w:r w:rsidRPr="00CA1B05">
        <w:rPr>
          <w:rFonts w:cs="Times New Roman" w:hint="eastAsia"/>
          <w:szCs w:val="28"/>
        </w:rPr>
        <w:t>2004-2008</w:t>
      </w:r>
      <w:r w:rsidRPr="00CA1B05">
        <w:rPr>
          <w:rFonts w:cs="Times New Roman" w:hint="eastAsia"/>
          <w:szCs w:val="28"/>
        </w:rPr>
        <w:t>年）進一步增至</w:t>
      </w:r>
      <w:r w:rsidRPr="00CA1B05">
        <w:rPr>
          <w:rFonts w:cs="Times New Roman" w:hint="eastAsia"/>
          <w:szCs w:val="28"/>
        </w:rPr>
        <w:t>30</w:t>
      </w:r>
      <w:r w:rsidRPr="00CA1B05">
        <w:rPr>
          <w:rFonts w:cs="Times New Roman" w:hint="eastAsia"/>
          <w:szCs w:val="28"/>
        </w:rPr>
        <w:t>席。經過多輪公眾諮詢後，特區政府於</w:t>
      </w:r>
      <w:r w:rsidRPr="00CA1B05">
        <w:rPr>
          <w:rFonts w:cs="Times New Roman" w:hint="eastAsia"/>
          <w:szCs w:val="28"/>
        </w:rPr>
        <w:t>2010</w:t>
      </w:r>
      <w:r w:rsidRPr="00CA1B05">
        <w:rPr>
          <w:rFonts w:cs="Times New Roman" w:hint="eastAsia"/>
          <w:szCs w:val="28"/>
        </w:rPr>
        <w:t>年提出修改</w:t>
      </w:r>
      <w:r w:rsidRPr="00CA1B05">
        <w:rPr>
          <w:rFonts w:cs="Times New Roman" w:hint="eastAsia"/>
          <w:szCs w:val="28"/>
        </w:rPr>
        <w:t>2012</w:t>
      </w:r>
      <w:r w:rsidRPr="00CA1B05">
        <w:rPr>
          <w:rFonts w:cs="Times New Roman" w:hint="eastAsia"/>
          <w:szCs w:val="28"/>
        </w:rPr>
        <w:t>年行政長官和立法會的產生辦法。就行政長官產生辦法，政府建議：</w:t>
      </w: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Pr="00684CB7" w:rsidRDefault="00740A02" w:rsidP="00740A02">
      <w:pPr>
        <w:tabs>
          <w:tab w:val="left" w:pos="720"/>
          <w:tab w:val="left" w:pos="1440"/>
        </w:tabs>
        <w:adjustRightInd w:val="0"/>
        <w:snapToGrid w:val="0"/>
        <w:spacing w:line="400" w:lineRule="atLeast"/>
        <w:jc w:val="both"/>
        <w:rPr>
          <w:szCs w:val="28"/>
        </w:rPr>
      </w:pPr>
      <w:r>
        <w:rPr>
          <w:szCs w:val="28"/>
        </w:rPr>
        <w:tab/>
        <w:t>(a)</w:t>
      </w:r>
      <w:r>
        <w:rPr>
          <w:szCs w:val="28"/>
        </w:rPr>
        <w:tab/>
      </w:r>
      <w:r w:rsidR="000B71BB" w:rsidRPr="00684CB7">
        <w:rPr>
          <w:rFonts w:hint="eastAsia"/>
          <w:szCs w:val="28"/>
        </w:rPr>
        <w:t>2012</w:t>
      </w:r>
      <w:r w:rsidR="000B71BB" w:rsidRPr="00684CB7">
        <w:rPr>
          <w:rFonts w:hint="eastAsia"/>
          <w:szCs w:val="28"/>
        </w:rPr>
        <w:t>年的選舉委員會由</w:t>
      </w:r>
      <w:r w:rsidR="000B71BB" w:rsidRPr="00684CB7">
        <w:rPr>
          <w:rFonts w:hint="eastAsia"/>
          <w:szCs w:val="28"/>
        </w:rPr>
        <w:t>800</w:t>
      </w:r>
      <w:r w:rsidR="000B71BB" w:rsidRPr="00684CB7">
        <w:rPr>
          <w:rFonts w:hint="eastAsia"/>
          <w:szCs w:val="28"/>
        </w:rPr>
        <w:t>人增至</w:t>
      </w:r>
      <w:r w:rsidR="000B71BB" w:rsidRPr="00684CB7">
        <w:rPr>
          <w:rFonts w:hint="eastAsia"/>
          <w:szCs w:val="28"/>
        </w:rPr>
        <w:t>1</w:t>
      </w:r>
      <w:r w:rsidR="000B71BB">
        <w:rPr>
          <w:szCs w:val="28"/>
        </w:rPr>
        <w:t> </w:t>
      </w:r>
      <w:r w:rsidR="000B71BB" w:rsidRPr="00684CB7">
        <w:rPr>
          <w:rFonts w:hint="eastAsia"/>
          <w:szCs w:val="28"/>
        </w:rPr>
        <w:t>200</w:t>
      </w:r>
      <w:r w:rsidR="000B71BB" w:rsidRPr="00684CB7">
        <w:rPr>
          <w:rFonts w:hint="eastAsia"/>
          <w:szCs w:val="28"/>
        </w:rPr>
        <w:t>人；</w:t>
      </w:r>
    </w:p>
    <w:p w:rsidR="000B71BB" w:rsidRPr="00684CB7" w:rsidRDefault="000B71BB" w:rsidP="000B71BB">
      <w:pPr>
        <w:adjustRightInd w:val="0"/>
        <w:snapToGrid w:val="0"/>
        <w:spacing w:line="400" w:lineRule="atLeast"/>
        <w:jc w:val="both"/>
        <w:rPr>
          <w:szCs w:val="28"/>
        </w:rPr>
      </w:pPr>
    </w:p>
    <w:p w:rsidR="000B71BB" w:rsidRPr="00684CB7" w:rsidRDefault="00740A02" w:rsidP="00740A02">
      <w:pPr>
        <w:tabs>
          <w:tab w:val="left" w:pos="720"/>
          <w:tab w:val="left" w:pos="1440"/>
        </w:tabs>
        <w:adjustRightInd w:val="0"/>
        <w:snapToGrid w:val="0"/>
        <w:spacing w:line="400" w:lineRule="atLeast"/>
        <w:ind w:left="1436" w:hanging="1436"/>
        <w:jc w:val="both"/>
        <w:rPr>
          <w:szCs w:val="28"/>
        </w:rPr>
      </w:pPr>
      <w:r>
        <w:rPr>
          <w:szCs w:val="28"/>
        </w:rPr>
        <w:tab/>
        <w:t>(b)</w:t>
      </w:r>
      <w:r>
        <w:rPr>
          <w:szCs w:val="28"/>
        </w:rPr>
        <w:tab/>
      </w:r>
      <w:r w:rsidR="000B71BB" w:rsidRPr="00740A02">
        <w:rPr>
          <w:rFonts w:hint="eastAsia"/>
          <w:spacing w:val="2"/>
          <w:szCs w:val="28"/>
        </w:rPr>
        <w:t>在第四界別（即政界）新增</w:t>
      </w:r>
      <w:r w:rsidR="000B71BB" w:rsidRPr="00740A02">
        <w:rPr>
          <w:rFonts w:hint="eastAsia"/>
          <w:spacing w:val="2"/>
          <w:szCs w:val="28"/>
        </w:rPr>
        <w:t>100</w:t>
      </w:r>
      <w:r w:rsidR="000B71BB" w:rsidRPr="00740A02">
        <w:rPr>
          <w:rFonts w:hint="eastAsia"/>
          <w:spacing w:val="2"/>
          <w:szCs w:val="28"/>
        </w:rPr>
        <w:t>個議席的四分之三（即</w:t>
      </w:r>
      <w:r w:rsidR="000B71BB" w:rsidRPr="00740A02">
        <w:rPr>
          <w:rFonts w:hint="eastAsia"/>
          <w:spacing w:val="4"/>
          <w:szCs w:val="28"/>
        </w:rPr>
        <w:t>75</w:t>
      </w:r>
      <w:r w:rsidR="000B71BB" w:rsidRPr="00740A02">
        <w:rPr>
          <w:rFonts w:hint="eastAsia"/>
          <w:spacing w:val="4"/>
          <w:szCs w:val="28"/>
        </w:rPr>
        <w:t>席）分配予民選區議員，加上原來的</w:t>
      </w:r>
      <w:r w:rsidR="000B71BB" w:rsidRPr="00740A02">
        <w:rPr>
          <w:rFonts w:hint="eastAsia"/>
          <w:spacing w:val="4"/>
          <w:szCs w:val="28"/>
        </w:rPr>
        <w:t>42</w:t>
      </w:r>
      <w:r w:rsidR="000B71BB" w:rsidRPr="00740A02">
        <w:rPr>
          <w:rFonts w:hint="eastAsia"/>
          <w:spacing w:val="4"/>
          <w:szCs w:val="28"/>
        </w:rPr>
        <w:t>個議席，區議</w:t>
      </w:r>
      <w:r w:rsidR="000B71BB" w:rsidRPr="00740A02">
        <w:rPr>
          <w:rFonts w:hint="eastAsia"/>
          <w:spacing w:val="2"/>
          <w:szCs w:val="28"/>
        </w:rPr>
        <w:t>會將共有</w:t>
      </w:r>
      <w:r w:rsidR="000B71BB" w:rsidRPr="00740A02">
        <w:rPr>
          <w:rFonts w:hint="eastAsia"/>
          <w:spacing w:val="2"/>
          <w:szCs w:val="28"/>
        </w:rPr>
        <w:t>117</w:t>
      </w:r>
      <w:r w:rsidR="000B71BB" w:rsidRPr="00740A02">
        <w:rPr>
          <w:rFonts w:hint="eastAsia"/>
          <w:spacing w:val="2"/>
          <w:szCs w:val="28"/>
        </w:rPr>
        <w:t>個議席，由民選區議員互選產生；</w:t>
      </w:r>
      <w:r w:rsidR="000B71BB" w:rsidRPr="00740A02">
        <w:rPr>
          <w:rFonts w:hint="eastAsia"/>
          <w:spacing w:val="2"/>
          <w:szCs w:val="28"/>
          <w:lang w:eastAsia="zh-HK"/>
        </w:rPr>
        <w:t>以及</w:t>
      </w:r>
    </w:p>
    <w:p w:rsidR="000B71BB" w:rsidRPr="00740A02" w:rsidRDefault="000B71BB" w:rsidP="000B71BB">
      <w:pPr>
        <w:adjustRightInd w:val="0"/>
        <w:snapToGrid w:val="0"/>
        <w:spacing w:line="400" w:lineRule="atLeast"/>
        <w:jc w:val="both"/>
        <w:rPr>
          <w:szCs w:val="28"/>
        </w:rPr>
      </w:pPr>
    </w:p>
    <w:p w:rsidR="000B71BB" w:rsidRPr="00684CB7" w:rsidRDefault="00740A02" w:rsidP="00740A02">
      <w:pPr>
        <w:tabs>
          <w:tab w:val="left" w:pos="720"/>
          <w:tab w:val="left" w:pos="1440"/>
        </w:tabs>
        <w:adjustRightInd w:val="0"/>
        <w:snapToGrid w:val="0"/>
        <w:spacing w:line="400" w:lineRule="atLeast"/>
        <w:ind w:left="1436" w:hanging="1436"/>
        <w:jc w:val="both"/>
        <w:rPr>
          <w:szCs w:val="28"/>
        </w:rPr>
      </w:pPr>
      <w:r>
        <w:rPr>
          <w:szCs w:val="28"/>
        </w:rPr>
        <w:tab/>
      </w:r>
      <w:r>
        <w:rPr>
          <w:rFonts w:hint="eastAsia"/>
          <w:szCs w:val="28"/>
        </w:rPr>
        <w:t>(c)</w:t>
      </w:r>
      <w:r>
        <w:rPr>
          <w:szCs w:val="28"/>
        </w:rPr>
        <w:tab/>
      </w:r>
      <w:r w:rsidR="000B71BB" w:rsidRPr="00740A02">
        <w:rPr>
          <w:rFonts w:hint="eastAsia"/>
          <w:spacing w:val="2"/>
          <w:szCs w:val="28"/>
        </w:rPr>
        <w:t>提名門檻維持在選舉委員會委員數目的八分之一（即由不少於</w:t>
      </w:r>
      <w:r w:rsidR="000B71BB" w:rsidRPr="00740A02">
        <w:rPr>
          <w:rFonts w:hint="eastAsia"/>
          <w:spacing w:val="2"/>
          <w:szCs w:val="28"/>
        </w:rPr>
        <w:t>150</w:t>
      </w:r>
      <w:r w:rsidR="000B71BB" w:rsidRPr="00740A02">
        <w:rPr>
          <w:rFonts w:hint="eastAsia"/>
          <w:spacing w:val="2"/>
          <w:szCs w:val="28"/>
        </w:rPr>
        <w:t>名委員提名），以提供足夠競爭性，亦能確保候選人有足夠支持。</w:t>
      </w: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Pr="00684CB7" w:rsidRDefault="000B71BB" w:rsidP="000B71BB">
      <w:pPr>
        <w:tabs>
          <w:tab w:val="left" w:pos="1440"/>
        </w:tabs>
        <w:adjustRightInd w:val="0"/>
        <w:snapToGrid w:val="0"/>
        <w:spacing w:line="400" w:lineRule="atLeast"/>
        <w:jc w:val="both"/>
        <w:rPr>
          <w:szCs w:val="28"/>
        </w:rPr>
      </w:pPr>
      <w:r w:rsidRPr="00684CB7">
        <w:rPr>
          <w:rFonts w:hint="eastAsia"/>
          <w:szCs w:val="28"/>
        </w:rPr>
        <w:t>就立法會產生辦法方面，則建議：</w:t>
      </w:r>
    </w:p>
    <w:p w:rsidR="000B71BB" w:rsidRPr="00684CB7" w:rsidRDefault="000B71BB" w:rsidP="000B71BB">
      <w:pPr>
        <w:tabs>
          <w:tab w:val="left" w:pos="1440"/>
        </w:tabs>
        <w:adjustRightInd w:val="0"/>
        <w:snapToGrid w:val="0"/>
        <w:spacing w:line="400" w:lineRule="atLeast"/>
        <w:jc w:val="both"/>
        <w:rPr>
          <w:szCs w:val="28"/>
        </w:rPr>
      </w:pPr>
    </w:p>
    <w:p w:rsidR="000B71BB" w:rsidRPr="00684CB7" w:rsidRDefault="00740A02" w:rsidP="00740A02">
      <w:pPr>
        <w:tabs>
          <w:tab w:val="left" w:pos="720"/>
          <w:tab w:val="left" w:pos="1440"/>
        </w:tabs>
        <w:adjustRightInd w:val="0"/>
        <w:snapToGrid w:val="0"/>
        <w:spacing w:line="400" w:lineRule="atLeast"/>
        <w:jc w:val="both"/>
        <w:rPr>
          <w:szCs w:val="28"/>
        </w:rPr>
      </w:pPr>
      <w:r>
        <w:rPr>
          <w:szCs w:val="28"/>
        </w:rPr>
        <w:tab/>
        <w:t>(a)</w:t>
      </w:r>
      <w:r>
        <w:rPr>
          <w:szCs w:val="28"/>
        </w:rPr>
        <w:tab/>
      </w:r>
      <w:r w:rsidR="000B71BB" w:rsidRPr="00684CB7">
        <w:rPr>
          <w:rFonts w:hint="eastAsia"/>
          <w:szCs w:val="28"/>
        </w:rPr>
        <w:t>2012</w:t>
      </w:r>
      <w:r w:rsidR="000B71BB" w:rsidRPr="00684CB7">
        <w:rPr>
          <w:rFonts w:hint="eastAsia"/>
          <w:szCs w:val="28"/>
        </w:rPr>
        <w:t>年立法會議席由</w:t>
      </w:r>
      <w:r w:rsidR="000B71BB" w:rsidRPr="00684CB7">
        <w:rPr>
          <w:rFonts w:hint="eastAsia"/>
          <w:szCs w:val="28"/>
        </w:rPr>
        <w:t>60</w:t>
      </w:r>
      <w:r w:rsidR="000B71BB" w:rsidRPr="00684CB7">
        <w:rPr>
          <w:rFonts w:hint="eastAsia"/>
          <w:szCs w:val="28"/>
        </w:rPr>
        <w:t>席增加至</w:t>
      </w:r>
      <w:r w:rsidR="000B71BB" w:rsidRPr="00684CB7">
        <w:rPr>
          <w:rFonts w:hint="eastAsia"/>
          <w:szCs w:val="28"/>
        </w:rPr>
        <w:t>70</w:t>
      </w:r>
      <w:r w:rsidR="000B71BB" w:rsidRPr="00684CB7">
        <w:rPr>
          <w:rFonts w:hint="eastAsia"/>
          <w:szCs w:val="28"/>
        </w:rPr>
        <w:t>席；</w:t>
      </w:r>
    </w:p>
    <w:p w:rsidR="000B71BB" w:rsidRPr="00684CB7" w:rsidRDefault="000B71BB" w:rsidP="002E445E">
      <w:pPr>
        <w:adjustRightInd w:val="0"/>
        <w:snapToGrid w:val="0"/>
        <w:spacing w:line="400" w:lineRule="atLeast"/>
        <w:jc w:val="both"/>
        <w:rPr>
          <w:szCs w:val="28"/>
        </w:rPr>
      </w:pPr>
    </w:p>
    <w:p w:rsidR="000B71BB" w:rsidRPr="00523037" w:rsidRDefault="00740A02" w:rsidP="00740A02">
      <w:pPr>
        <w:tabs>
          <w:tab w:val="left" w:pos="720"/>
          <w:tab w:val="left" w:pos="1440"/>
        </w:tabs>
        <w:adjustRightInd w:val="0"/>
        <w:snapToGrid w:val="0"/>
        <w:spacing w:line="400" w:lineRule="atLeast"/>
        <w:ind w:left="1436" w:hanging="1436"/>
        <w:jc w:val="both"/>
        <w:rPr>
          <w:szCs w:val="28"/>
        </w:rPr>
      </w:pPr>
      <w:r>
        <w:rPr>
          <w:spacing w:val="-2"/>
          <w:szCs w:val="28"/>
        </w:rPr>
        <w:tab/>
        <w:t>(b)</w:t>
      </w:r>
      <w:r>
        <w:rPr>
          <w:spacing w:val="-2"/>
          <w:szCs w:val="28"/>
        </w:rPr>
        <w:tab/>
      </w:r>
      <w:r w:rsidR="000B71BB" w:rsidRPr="00523037">
        <w:rPr>
          <w:rFonts w:hint="eastAsia"/>
          <w:spacing w:val="-2"/>
          <w:szCs w:val="28"/>
        </w:rPr>
        <w:t>由地方選區直接選出的議席和功能界別選出的議席分別由</w:t>
      </w:r>
      <w:r w:rsidR="000B71BB" w:rsidRPr="00523037">
        <w:rPr>
          <w:rFonts w:hint="eastAsia"/>
          <w:spacing w:val="-2"/>
          <w:szCs w:val="28"/>
        </w:rPr>
        <w:t>30</w:t>
      </w:r>
      <w:r w:rsidR="000B71BB" w:rsidRPr="00523037">
        <w:rPr>
          <w:rFonts w:hint="eastAsia"/>
          <w:spacing w:val="-2"/>
          <w:szCs w:val="28"/>
        </w:rPr>
        <w:t>席增至</w:t>
      </w:r>
      <w:r w:rsidR="000B71BB" w:rsidRPr="00523037">
        <w:rPr>
          <w:rFonts w:hint="eastAsia"/>
          <w:spacing w:val="-2"/>
          <w:szCs w:val="28"/>
        </w:rPr>
        <w:t>35</w:t>
      </w:r>
      <w:r w:rsidR="000B71BB" w:rsidRPr="00523037">
        <w:rPr>
          <w:rFonts w:hint="eastAsia"/>
          <w:spacing w:val="-2"/>
          <w:szCs w:val="28"/>
        </w:rPr>
        <w:t>席；</w:t>
      </w:r>
      <w:r w:rsidR="000B71BB" w:rsidRPr="00523037">
        <w:rPr>
          <w:rFonts w:hint="eastAsia"/>
          <w:spacing w:val="-2"/>
          <w:szCs w:val="28"/>
          <w:lang w:eastAsia="zh-HK"/>
        </w:rPr>
        <w:t>以及</w:t>
      </w:r>
    </w:p>
    <w:p w:rsidR="00523037" w:rsidRDefault="00523037" w:rsidP="002E445E">
      <w:pPr>
        <w:adjustRightInd w:val="0"/>
        <w:snapToGrid w:val="0"/>
        <w:spacing w:line="400" w:lineRule="atLeast"/>
        <w:jc w:val="both"/>
        <w:rPr>
          <w:szCs w:val="28"/>
        </w:rPr>
      </w:pPr>
    </w:p>
    <w:p w:rsidR="000B71BB" w:rsidRPr="002E6E68" w:rsidRDefault="00740A02" w:rsidP="00740A02">
      <w:pPr>
        <w:tabs>
          <w:tab w:val="left" w:pos="720"/>
          <w:tab w:val="left" w:pos="1440"/>
        </w:tabs>
        <w:adjustRightInd w:val="0"/>
        <w:snapToGrid w:val="0"/>
        <w:spacing w:line="400" w:lineRule="atLeast"/>
        <w:ind w:left="1436" w:hanging="1436"/>
        <w:jc w:val="both"/>
        <w:rPr>
          <w:spacing w:val="-2"/>
          <w:szCs w:val="28"/>
        </w:rPr>
      </w:pPr>
      <w:r>
        <w:rPr>
          <w:szCs w:val="28"/>
        </w:rPr>
        <w:tab/>
        <w:t>(c)</w:t>
      </w:r>
      <w:r>
        <w:rPr>
          <w:szCs w:val="28"/>
        </w:rPr>
        <w:tab/>
      </w:r>
      <w:r w:rsidR="000B71BB" w:rsidRPr="00740A02">
        <w:rPr>
          <w:rFonts w:hint="eastAsia"/>
          <w:spacing w:val="2"/>
          <w:szCs w:val="28"/>
        </w:rPr>
        <w:t>新增的</w:t>
      </w:r>
      <w:r w:rsidR="000B71BB" w:rsidRPr="00740A02">
        <w:rPr>
          <w:rFonts w:hint="eastAsia"/>
          <w:spacing w:val="2"/>
          <w:szCs w:val="28"/>
        </w:rPr>
        <w:t>5</w:t>
      </w:r>
      <w:r w:rsidR="000B71BB" w:rsidRPr="00740A02">
        <w:rPr>
          <w:rFonts w:hint="eastAsia"/>
          <w:spacing w:val="2"/>
          <w:szCs w:val="28"/>
        </w:rPr>
        <w:t>個功能界別議席，由民選區議員提名，然後由</w:t>
      </w:r>
      <w:r w:rsidR="000B71BB" w:rsidRPr="00740A02">
        <w:rPr>
          <w:rFonts w:hint="eastAsia"/>
          <w:spacing w:val="4"/>
          <w:szCs w:val="28"/>
        </w:rPr>
        <w:t>原本在功能界別沒有投票權的登記選民（選民基礎約</w:t>
      </w:r>
      <w:r w:rsidR="000B71BB" w:rsidRPr="00740A02">
        <w:rPr>
          <w:rFonts w:hint="eastAsia"/>
          <w:spacing w:val="4"/>
          <w:szCs w:val="28"/>
        </w:rPr>
        <w:t>320</w:t>
      </w:r>
      <w:r w:rsidR="000B71BB" w:rsidRPr="00740A02">
        <w:rPr>
          <w:rFonts w:hint="eastAsia"/>
          <w:spacing w:val="2"/>
          <w:szCs w:val="28"/>
        </w:rPr>
        <w:t>萬人，即約</w:t>
      </w:r>
      <w:r w:rsidR="000B71BB" w:rsidRPr="00740A02">
        <w:rPr>
          <w:rFonts w:hint="eastAsia"/>
          <w:spacing w:val="2"/>
          <w:szCs w:val="28"/>
        </w:rPr>
        <w:t>343</w:t>
      </w:r>
      <w:r w:rsidR="000B71BB" w:rsidRPr="00740A02">
        <w:rPr>
          <w:rFonts w:hint="eastAsia"/>
          <w:spacing w:val="2"/>
          <w:szCs w:val="28"/>
        </w:rPr>
        <w:t>萬總登記選民減除</w:t>
      </w:r>
      <w:r w:rsidR="000B71BB" w:rsidRPr="00740A02">
        <w:rPr>
          <w:rFonts w:hint="eastAsia"/>
          <w:spacing w:val="2"/>
          <w:szCs w:val="28"/>
        </w:rPr>
        <w:t>23</w:t>
      </w:r>
      <w:r w:rsidR="000B71BB" w:rsidRPr="00740A02">
        <w:rPr>
          <w:rFonts w:hint="eastAsia"/>
          <w:spacing w:val="2"/>
          <w:szCs w:val="28"/>
        </w:rPr>
        <w:t>萬其他現有功能界別的已登記選民），以一人一票選出。即每名選民可投兩票：一票投予地方選區，一票投予功能界別。</w:t>
      </w: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lastRenderedPageBreak/>
        <w:t>2.</w:t>
      </w:r>
      <w:r>
        <w:rPr>
          <w:rFonts w:cs="Times New Roman"/>
          <w:szCs w:val="28"/>
        </w:rPr>
        <w:tab/>
      </w:r>
      <w:r w:rsidRPr="00CA1B05">
        <w:rPr>
          <w:rFonts w:cs="Times New Roman" w:hint="eastAsia"/>
          <w:szCs w:val="28"/>
        </w:rPr>
        <w:t>政府就</w:t>
      </w:r>
      <w:r w:rsidRPr="00CA1B05">
        <w:rPr>
          <w:rFonts w:cs="Times New Roman"/>
          <w:szCs w:val="28"/>
        </w:rPr>
        <w:t>2012</w:t>
      </w:r>
      <w:r w:rsidRPr="00CA1B05">
        <w:rPr>
          <w:rFonts w:cs="Times New Roman" w:hint="eastAsia"/>
          <w:szCs w:val="28"/>
        </w:rPr>
        <w:t>年行政長官和立法會產生辦法修正案提出的議案在</w:t>
      </w:r>
      <w:r w:rsidRPr="00CA1B05">
        <w:rPr>
          <w:rFonts w:cs="Times New Roman"/>
          <w:szCs w:val="28"/>
        </w:rPr>
        <w:t>2010</w:t>
      </w:r>
      <w:r w:rsidRPr="00CA1B05">
        <w:rPr>
          <w:rFonts w:cs="Times New Roman" w:hint="eastAsia"/>
          <w:szCs w:val="28"/>
        </w:rPr>
        <w:t>年</w:t>
      </w:r>
      <w:r w:rsidRPr="00CA1B05">
        <w:rPr>
          <w:rFonts w:cs="Times New Roman"/>
          <w:szCs w:val="28"/>
        </w:rPr>
        <w:t>6</w:t>
      </w:r>
      <w:r w:rsidRPr="00CA1B05">
        <w:rPr>
          <w:rFonts w:cs="Times New Roman" w:hint="eastAsia"/>
          <w:szCs w:val="28"/>
        </w:rPr>
        <w:t>月</w:t>
      </w:r>
      <w:r w:rsidRPr="00CA1B05">
        <w:rPr>
          <w:rFonts w:cs="Times New Roman"/>
          <w:szCs w:val="28"/>
        </w:rPr>
        <w:t>24</w:t>
      </w:r>
      <w:r w:rsidRPr="00CA1B05">
        <w:rPr>
          <w:rFonts w:cs="Times New Roman" w:hint="eastAsia"/>
          <w:szCs w:val="28"/>
        </w:rPr>
        <w:t>及</w:t>
      </w:r>
      <w:r w:rsidRPr="00CA1B05">
        <w:rPr>
          <w:rFonts w:cs="Times New Roman"/>
          <w:szCs w:val="28"/>
        </w:rPr>
        <w:t>25</w:t>
      </w:r>
      <w:r w:rsidRPr="00CA1B05">
        <w:rPr>
          <w:rFonts w:cs="Times New Roman" w:hint="eastAsia"/>
          <w:szCs w:val="28"/>
        </w:rPr>
        <w:t>日經立法會全體議員三分之二通過。行政長官在</w:t>
      </w:r>
      <w:r w:rsidRPr="00CA1B05">
        <w:rPr>
          <w:rFonts w:cs="Times New Roman"/>
          <w:szCs w:val="28"/>
        </w:rPr>
        <w:t>2010</w:t>
      </w:r>
      <w:r w:rsidRPr="00CA1B05">
        <w:rPr>
          <w:rFonts w:cs="Times New Roman" w:hint="eastAsia"/>
          <w:szCs w:val="28"/>
        </w:rPr>
        <w:t>年</w:t>
      </w:r>
      <w:r w:rsidRPr="00CA1B05">
        <w:rPr>
          <w:rFonts w:cs="Times New Roman"/>
          <w:szCs w:val="28"/>
        </w:rPr>
        <w:t>6</w:t>
      </w:r>
      <w:r w:rsidRPr="00CA1B05">
        <w:rPr>
          <w:rFonts w:cs="Times New Roman" w:hint="eastAsia"/>
          <w:szCs w:val="28"/>
        </w:rPr>
        <w:t>月</w:t>
      </w:r>
      <w:r w:rsidRPr="00CA1B05">
        <w:rPr>
          <w:rFonts w:cs="Times New Roman"/>
          <w:szCs w:val="28"/>
        </w:rPr>
        <w:t>29</w:t>
      </w:r>
      <w:r w:rsidRPr="00CA1B05">
        <w:rPr>
          <w:rFonts w:cs="Times New Roman" w:hint="eastAsia"/>
          <w:szCs w:val="28"/>
        </w:rPr>
        <w:t>日同意修正案，全國人民代表大會常務委員會（全國人大常委會）則在</w:t>
      </w:r>
      <w:r w:rsidRPr="00CA1B05">
        <w:rPr>
          <w:rFonts w:cs="Times New Roman"/>
          <w:szCs w:val="28"/>
        </w:rPr>
        <w:t>2010</w:t>
      </w:r>
      <w:r w:rsidRPr="00CA1B05">
        <w:rPr>
          <w:rFonts w:cs="Times New Roman" w:hint="eastAsia"/>
          <w:szCs w:val="28"/>
        </w:rPr>
        <w:t>年</w:t>
      </w:r>
      <w:r w:rsidRPr="00CA1B05">
        <w:rPr>
          <w:rFonts w:cs="Times New Roman"/>
          <w:szCs w:val="28"/>
        </w:rPr>
        <w:t>8</w:t>
      </w:r>
      <w:r w:rsidRPr="00CA1B05">
        <w:rPr>
          <w:rFonts w:cs="Times New Roman" w:hint="eastAsia"/>
          <w:szCs w:val="28"/>
        </w:rPr>
        <w:t>月</w:t>
      </w:r>
      <w:r w:rsidRPr="00CA1B05">
        <w:rPr>
          <w:rFonts w:cs="Times New Roman"/>
          <w:szCs w:val="28"/>
        </w:rPr>
        <w:t>28</w:t>
      </w:r>
      <w:r w:rsidRPr="00CA1B05">
        <w:rPr>
          <w:rFonts w:cs="Times New Roman" w:hint="eastAsia"/>
          <w:szCs w:val="28"/>
        </w:rPr>
        <w:t>日批准修正案並予以備案。政府於</w:t>
      </w:r>
      <w:r w:rsidRPr="00CA1B05">
        <w:rPr>
          <w:rFonts w:cs="Times New Roman"/>
          <w:szCs w:val="28"/>
        </w:rPr>
        <w:t>2010</w:t>
      </w:r>
      <w:r w:rsidRPr="00CA1B05">
        <w:rPr>
          <w:rFonts w:cs="Times New Roman" w:hint="eastAsia"/>
          <w:szCs w:val="28"/>
        </w:rPr>
        <w:t>年</w:t>
      </w:r>
      <w:r w:rsidRPr="00CA1B05">
        <w:rPr>
          <w:rFonts w:cs="Times New Roman"/>
          <w:szCs w:val="28"/>
        </w:rPr>
        <w:t>12</w:t>
      </w:r>
      <w:r w:rsidRPr="00CA1B05">
        <w:rPr>
          <w:rFonts w:cs="Times New Roman" w:hint="eastAsia"/>
          <w:szCs w:val="28"/>
        </w:rPr>
        <w:t>月向立法會提交兩條條例草案，以落實關於</w:t>
      </w:r>
      <w:r w:rsidRPr="00CA1B05">
        <w:rPr>
          <w:rFonts w:cs="Times New Roman"/>
          <w:szCs w:val="28"/>
        </w:rPr>
        <w:t>2012</w:t>
      </w:r>
      <w:r w:rsidRPr="00CA1B05">
        <w:rPr>
          <w:rFonts w:cs="Times New Roman" w:hint="eastAsia"/>
          <w:szCs w:val="28"/>
        </w:rPr>
        <w:t>年行政長官及立法會產生辦法的建議安排。條例草案於</w:t>
      </w:r>
      <w:r w:rsidRPr="00CA1B05">
        <w:rPr>
          <w:rFonts w:cs="Times New Roman"/>
          <w:szCs w:val="28"/>
        </w:rPr>
        <w:t>2011</w:t>
      </w:r>
      <w:r w:rsidRPr="00CA1B05">
        <w:rPr>
          <w:rFonts w:cs="Times New Roman" w:hint="eastAsia"/>
          <w:szCs w:val="28"/>
        </w:rPr>
        <w:t>年</w:t>
      </w:r>
      <w:r w:rsidRPr="00CA1B05">
        <w:rPr>
          <w:rFonts w:cs="Times New Roman"/>
          <w:szCs w:val="28"/>
        </w:rPr>
        <w:t>3</w:t>
      </w:r>
      <w:r w:rsidRPr="00CA1B05">
        <w:rPr>
          <w:rFonts w:cs="Times New Roman" w:hint="eastAsia"/>
          <w:szCs w:val="28"/>
        </w:rPr>
        <w:t>月獲立法會通過。行政長官及立法會的修改產生辦法於</w:t>
      </w:r>
      <w:r w:rsidRPr="00CA1B05">
        <w:rPr>
          <w:rFonts w:cs="Times New Roman"/>
          <w:szCs w:val="28"/>
        </w:rPr>
        <w:t>2012</w:t>
      </w:r>
      <w:r w:rsidRPr="00CA1B05">
        <w:rPr>
          <w:rFonts w:cs="Times New Roman" w:hint="eastAsia"/>
          <w:szCs w:val="28"/>
        </w:rPr>
        <w:t>年行政長官選舉和</w:t>
      </w:r>
      <w:r w:rsidRPr="00CA1B05">
        <w:rPr>
          <w:rFonts w:cs="Times New Roman"/>
          <w:szCs w:val="28"/>
        </w:rPr>
        <w:t>2012</w:t>
      </w:r>
      <w:r w:rsidRPr="00CA1B05">
        <w:rPr>
          <w:rFonts w:cs="Times New Roman" w:hint="eastAsia"/>
          <w:szCs w:val="28"/>
        </w:rPr>
        <w:t>年立法會選舉落實。</w:t>
      </w: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Pr="00D552EE" w:rsidRDefault="000B71BB" w:rsidP="000B71BB">
      <w:pPr>
        <w:tabs>
          <w:tab w:val="left" w:pos="1440"/>
        </w:tabs>
        <w:adjustRightInd w:val="0"/>
        <w:snapToGrid w:val="0"/>
        <w:spacing w:line="400" w:lineRule="atLeast"/>
        <w:contextualSpacing/>
        <w:jc w:val="both"/>
        <w:rPr>
          <w:rFonts w:cs="Times New Roman"/>
          <w:szCs w:val="28"/>
        </w:rPr>
      </w:pPr>
      <w:r w:rsidRPr="00684CB7">
        <w:rPr>
          <w:rFonts w:hint="eastAsia"/>
          <w:szCs w:val="28"/>
          <w:u w:val="single"/>
        </w:rPr>
        <w:t>普選行政長官和</w:t>
      </w:r>
      <w:r w:rsidRPr="00684CB7">
        <w:rPr>
          <w:rFonts w:hint="eastAsia"/>
          <w:szCs w:val="28"/>
          <w:u w:val="single"/>
        </w:rPr>
        <w:t>2016</w:t>
      </w:r>
      <w:r w:rsidRPr="00684CB7">
        <w:rPr>
          <w:rFonts w:hint="eastAsia"/>
          <w:szCs w:val="28"/>
          <w:u w:val="single"/>
        </w:rPr>
        <w:t>年立法會產生辦法</w:t>
      </w:r>
    </w:p>
    <w:p w:rsidR="000B71BB" w:rsidRPr="00D552EE" w:rsidRDefault="000B71BB" w:rsidP="000B71BB">
      <w:pPr>
        <w:tabs>
          <w:tab w:val="left" w:pos="1440"/>
        </w:tabs>
        <w:adjustRightInd w:val="0"/>
        <w:snapToGrid w:val="0"/>
        <w:spacing w:line="400" w:lineRule="atLeast"/>
        <w:contextualSpacing/>
        <w:jc w:val="both"/>
        <w:rPr>
          <w:rFonts w:cs="Times New Roman"/>
          <w:szCs w:val="28"/>
        </w:rPr>
      </w:pPr>
    </w:p>
    <w:p w:rsidR="000B71BB" w:rsidRPr="00D552EE"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t>3.</w:t>
      </w:r>
      <w:r>
        <w:rPr>
          <w:rFonts w:cs="Times New Roman"/>
          <w:szCs w:val="28"/>
        </w:rPr>
        <w:tab/>
      </w:r>
      <w:r w:rsidRPr="00CA1B05">
        <w:rPr>
          <w:rFonts w:cs="Times New Roman" w:hint="eastAsia"/>
          <w:szCs w:val="28"/>
        </w:rPr>
        <w:t>《基本法》第四十五條訂明，「行政長官的產生辦法根據香港特別行政區的實際情況和循序漸進的原則而規定，最終達至由一個有廣泛代表性的提名委員會按民主程序提名後普選產生的目標。」《基本法》第六十八條訂明，「立法會的產生辦法根據香港特別行政區的實際情況和循序漸進的原則而規定，最終達至全部議員由普選產生的目標。」根據《基本法》附件一及二，如需對附件內就行政長官和立法會的產生辦法進行修改，須經立法會全體議員三分之二多數通過，行政長官同意，並報全國人大常委會批准或備案。根據《全國人民代表大會常務委員會關於〈中華人民共和國香港特別行政區基本法〉附件一第七條和附件二第三條的解釋》（《解釋》），是否需要進行修改，行政長官應向全國人大常委會提出報告，由全國人大常委會依照《基本法》第四十五條和第六十八條的規定，根據香港特別行政區的實際情況和循序漸進的原則確定。</w:t>
      </w:r>
    </w:p>
    <w:p w:rsidR="000B71BB" w:rsidRDefault="000B71BB" w:rsidP="000B71BB">
      <w:pPr>
        <w:snapToGrid w:val="0"/>
        <w:spacing w:line="400" w:lineRule="atLeast"/>
        <w:jc w:val="both"/>
        <w:rPr>
          <w:b/>
          <w:szCs w:val="28"/>
        </w:rPr>
      </w:pPr>
    </w:p>
    <w:p w:rsidR="000B71BB" w:rsidRPr="00D552EE"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t>4.</w:t>
      </w:r>
      <w:r>
        <w:rPr>
          <w:rFonts w:cs="Times New Roman"/>
          <w:szCs w:val="28"/>
        </w:rPr>
        <w:tab/>
      </w:r>
      <w:r w:rsidRPr="00CA1B05">
        <w:rPr>
          <w:rFonts w:cs="Times New Roman" w:hint="eastAsia"/>
          <w:szCs w:val="28"/>
        </w:rPr>
        <w:t>為實現《基本法》第四十五條及第六十八條有關普選行政長官和立法會全體議員的最終目標，政府於</w:t>
      </w:r>
      <w:r w:rsidRPr="00CA1B05">
        <w:rPr>
          <w:rFonts w:cs="Times New Roman" w:hint="eastAsia"/>
          <w:szCs w:val="28"/>
        </w:rPr>
        <w:t>2013</w:t>
      </w:r>
      <w:r w:rsidRPr="00CA1B05">
        <w:rPr>
          <w:rFonts w:cs="Times New Roman" w:hint="eastAsia"/>
          <w:szCs w:val="28"/>
        </w:rPr>
        <w:t>年</w:t>
      </w:r>
      <w:r w:rsidRPr="00CA1B05">
        <w:rPr>
          <w:rFonts w:cs="Times New Roman" w:hint="eastAsia"/>
          <w:szCs w:val="28"/>
        </w:rPr>
        <w:t>10</w:t>
      </w:r>
      <w:r w:rsidRPr="00CA1B05">
        <w:rPr>
          <w:rFonts w:cs="Times New Roman" w:hint="eastAsia"/>
          <w:szCs w:val="28"/>
        </w:rPr>
        <w:t>月宣布成立由政務司司長領導的政改諮詢專責小組，處理</w:t>
      </w:r>
      <w:r w:rsidRPr="00CA1B05">
        <w:rPr>
          <w:rFonts w:cs="Times New Roman" w:hint="eastAsia"/>
          <w:szCs w:val="28"/>
        </w:rPr>
        <w:t>2017</w:t>
      </w:r>
      <w:r w:rsidRPr="00CA1B05">
        <w:rPr>
          <w:rFonts w:cs="Times New Roman" w:hint="eastAsia"/>
          <w:szCs w:val="28"/>
        </w:rPr>
        <w:t>年行政長官及</w:t>
      </w:r>
      <w:r w:rsidRPr="00CA1B05">
        <w:rPr>
          <w:rFonts w:cs="Times New Roman" w:hint="eastAsia"/>
          <w:szCs w:val="28"/>
        </w:rPr>
        <w:t>2016</w:t>
      </w:r>
      <w:r w:rsidRPr="00CA1B05">
        <w:rPr>
          <w:rFonts w:cs="Times New Roman" w:hint="eastAsia"/>
          <w:szCs w:val="28"/>
        </w:rPr>
        <w:t>年立法會產生辦法的公眾諮詢工作。政府其後展開公眾諮詢，收集社會各界就兩個產生辦法的重點議題和相關問題的意見。</w:t>
      </w:r>
    </w:p>
    <w:p w:rsidR="000B71BB" w:rsidRDefault="000B71BB" w:rsidP="000B71BB">
      <w:pPr>
        <w:snapToGrid w:val="0"/>
        <w:spacing w:line="400" w:lineRule="atLeast"/>
        <w:jc w:val="both"/>
        <w:rPr>
          <w:b/>
          <w:szCs w:val="28"/>
        </w:rPr>
      </w:pPr>
    </w:p>
    <w:p w:rsidR="000B71BB"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t>5.</w:t>
      </w:r>
      <w:r>
        <w:rPr>
          <w:rFonts w:cs="Times New Roman"/>
          <w:szCs w:val="28"/>
        </w:rPr>
        <w:tab/>
      </w:r>
      <w:r w:rsidRPr="00CA1B05">
        <w:rPr>
          <w:rFonts w:cs="Times New Roman" w:hint="eastAsia"/>
          <w:szCs w:val="28"/>
        </w:rPr>
        <w:t>經過五個月廣泛、有序的公眾諮詢，並收集超過</w:t>
      </w:r>
      <w:r w:rsidRPr="00CA1B05">
        <w:rPr>
          <w:rFonts w:cs="Times New Roman" w:hint="eastAsia"/>
          <w:szCs w:val="28"/>
        </w:rPr>
        <w:t>12</w:t>
      </w:r>
      <w:r w:rsidRPr="00CA1B05">
        <w:rPr>
          <w:rFonts w:cs="Times New Roman" w:hint="eastAsia"/>
          <w:szCs w:val="28"/>
        </w:rPr>
        <w:t>萬份意見書後，特區政府於</w:t>
      </w:r>
      <w:r w:rsidRPr="00CA1B05">
        <w:rPr>
          <w:rFonts w:cs="Times New Roman" w:hint="eastAsia"/>
          <w:szCs w:val="28"/>
        </w:rPr>
        <w:t>2014</w:t>
      </w:r>
      <w:r w:rsidRPr="00CA1B05">
        <w:rPr>
          <w:rFonts w:cs="Times New Roman" w:hint="eastAsia"/>
          <w:szCs w:val="28"/>
        </w:rPr>
        <w:t>年</w:t>
      </w:r>
      <w:r w:rsidRPr="00CA1B05">
        <w:rPr>
          <w:rFonts w:cs="Times New Roman" w:hint="eastAsia"/>
          <w:szCs w:val="28"/>
        </w:rPr>
        <w:t>7</w:t>
      </w:r>
      <w:r w:rsidRPr="00CA1B05">
        <w:rPr>
          <w:rFonts w:cs="Times New Roman" w:hint="eastAsia"/>
          <w:szCs w:val="28"/>
        </w:rPr>
        <w:t>月</w:t>
      </w:r>
      <w:r w:rsidRPr="00CA1B05">
        <w:rPr>
          <w:rFonts w:cs="Times New Roman" w:hint="eastAsia"/>
          <w:szCs w:val="28"/>
        </w:rPr>
        <w:t>15</w:t>
      </w:r>
      <w:r w:rsidRPr="00CA1B05">
        <w:rPr>
          <w:rFonts w:cs="Times New Roman" w:hint="eastAsia"/>
          <w:szCs w:val="28"/>
        </w:rPr>
        <w:t>日公布《二零一七年行政長官及二零一六年立法會產生辦法公眾諮詢報告》，行政長官亦於同日按</w:t>
      </w:r>
      <w:r w:rsidRPr="00CA1B05">
        <w:rPr>
          <w:rFonts w:cs="Times New Roman" w:hint="eastAsia"/>
          <w:szCs w:val="28"/>
        </w:rPr>
        <w:lastRenderedPageBreak/>
        <w:t>照全國人大常委會</w:t>
      </w:r>
      <w:r w:rsidRPr="00CA1B05">
        <w:rPr>
          <w:rFonts w:cs="Times New Roman" w:hint="eastAsia"/>
          <w:szCs w:val="28"/>
        </w:rPr>
        <w:t>2004</w:t>
      </w:r>
      <w:r w:rsidRPr="00CA1B05">
        <w:rPr>
          <w:rFonts w:cs="Times New Roman" w:hint="eastAsia"/>
          <w:szCs w:val="28"/>
        </w:rPr>
        <w:t>年的《解釋》向全國人大常委會提交報告，就</w:t>
      </w:r>
      <w:r w:rsidRPr="00CA1B05">
        <w:rPr>
          <w:rFonts w:cs="Times New Roman" w:hint="eastAsia"/>
          <w:szCs w:val="28"/>
        </w:rPr>
        <w:t>2017</w:t>
      </w:r>
      <w:r w:rsidRPr="00CA1B05">
        <w:rPr>
          <w:rFonts w:cs="Times New Roman" w:hint="eastAsia"/>
          <w:szCs w:val="28"/>
        </w:rPr>
        <w:t>年行政長官及</w:t>
      </w:r>
      <w:r w:rsidRPr="00CA1B05">
        <w:rPr>
          <w:rFonts w:cs="Times New Roman" w:hint="eastAsia"/>
          <w:szCs w:val="28"/>
        </w:rPr>
        <w:t>2016</w:t>
      </w:r>
      <w:r w:rsidRPr="00CA1B05">
        <w:rPr>
          <w:rFonts w:cs="Times New Roman" w:hint="eastAsia"/>
          <w:szCs w:val="28"/>
        </w:rPr>
        <w:t>年立法會產生辦法是否需要修改，提請全國人大常委會作出決定。鑑於公眾諮詢的結果，行政長官認為香港社會普遍期望能在</w:t>
      </w:r>
      <w:r w:rsidRPr="00CA1B05">
        <w:rPr>
          <w:rFonts w:cs="Times New Roman" w:hint="eastAsia"/>
          <w:szCs w:val="28"/>
        </w:rPr>
        <w:t>2017</w:t>
      </w:r>
      <w:r w:rsidRPr="00CA1B05">
        <w:rPr>
          <w:rFonts w:cs="Times New Roman" w:hint="eastAsia"/>
          <w:szCs w:val="28"/>
        </w:rPr>
        <w:t>年落實普選行政長官，讓全港五百多萬的合資格選民可於</w:t>
      </w:r>
      <w:r w:rsidRPr="00CA1B05">
        <w:rPr>
          <w:rFonts w:cs="Times New Roman" w:hint="eastAsia"/>
          <w:szCs w:val="28"/>
        </w:rPr>
        <w:t>2017</w:t>
      </w:r>
      <w:r w:rsidRPr="00CA1B05">
        <w:rPr>
          <w:rFonts w:cs="Times New Roman" w:hint="eastAsia"/>
          <w:szCs w:val="28"/>
        </w:rPr>
        <w:t>年以「一人一票」方式選出下任行政長官，使香港的政制發展邁出重要一步；而就</w:t>
      </w:r>
      <w:r w:rsidRPr="00CA1B05">
        <w:rPr>
          <w:rFonts w:cs="Times New Roman" w:hint="eastAsia"/>
          <w:szCs w:val="28"/>
        </w:rPr>
        <w:t>2016</w:t>
      </w:r>
      <w:r w:rsidRPr="00CA1B05">
        <w:rPr>
          <w:rFonts w:cs="Times New Roman" w:hint="eastAsia"/>
          <w:szCs w:val="28"/>
        </w:rPr>
        <w:t>年立法會產生辦法，則無須對《基本法》附件二作修改。</w:t>
      </w: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t>6.</w:t>
      </w:r>
      <w:r>
        <w:rPr>
          <w:rFonts w:cs="Times New Roman"/>
          <w:szCs w:val="28"/>
        </w:rPr>
        <w:tab/>
      </w:r>
      <w:r w:rsidRPr="00CA1B05">
        <w:rPr>
          <w:rFonts w:cs="Times New Roman" w:hint="eastAsia"/>
          <w:szCs w:val="28"/>
        </w:rPr>
        <w:t>在審議行政長官提交的報告並廣泛聽取香港社會各界的意見後，全國人大常委會在</w:t>
      </w:r>
      <w:r w:rsidRPr="00CA1B05">
        <w:rPr>
          <w:rFonts w:cs="Times New Roman" w:hint="eastAsia"/>
          <w:szCs w:val="28"/>
        </w:rPr>
        <w:t>2014</w:t>
      </w:r>
      <w:r w:rsidRPr="00CA1B05">
        <w:rPr>
          <w:rFonts w:cs="Times New Roman" w:hint="eastAsia"/>
          <w:szCs w:val="28"/>
        </w:rPr>
        <w:t>年</w:t>
      </w:r>
      <w:r w:rsidRPr="00CA1B05">
        <w:rPr>
          <w:rFonts w:cs="Times New Roman" w:hint="eastAsia"/>
          <w:szCs w:val="28"/>
        </w:rPr>
        <w:t>8</w:t>
      </w:r>
      <w:r w:rsidRPr="00CA1B05">
        <w:rPr>
          <w:rFonts w:cs="Times New Roman" w:hint="eastAsia"/>
          <w:szCs w:val="28"/>
        </w:rPr>
        <w:t>月</w:t>
      </w:r>
      <w:r w:rsidRPr="00CA1B05">
        <w:rPr>
          <w:rFonts w:cs="Times New Roman" w:hint="eastAsia"/>
          <w:szCs w:val="28"/>
        </w:rPr>
        <w:t>31</w:t>
      </w:r>
      <w:r w:rsidRPr="00CA1B05">
        <w:rPr>
          <w:rFonts w:cs="Times New Roman" w:hint="eastAsia"/>
          <w:szCs w:val="28"/>
        </w:rPr>
        <w:t>日通過《關於香港特別行政區行政長官普選問題和</w:t>
      </w:r>
      <w:r w:rsidRPr="00CA1B05">
        <w:rPr>
          <w:rFonts w:cs="Times New Roman" w:hint="eastAsia"/>
          <w:szCs w:val="28"/>
        </w:rPr>
        <w:t>2016</w:t>
      </w:r>
      <w:r w:rsidRPr="00CA1B05">
        <w:rPr>
          <w:rFonts w:cs="Times New Roman" w:hint="eastAsia"/>
          <w:szCs w:val="28"/>
        </w:rPr>
        <w:t>年立法會產生辦法的決定》（「</w:t>
      </w:r>
      <w:r w:rsidRPr="00CA1B05">
        <w:rPr>
          <w:rFonts w:cs="Times New Roman" w:hint="eastAsia"/>
          <w:szCs w:val="28"/>
        </w:rPr>
        <w:t>8.31</w:t>
      </w:r>
      <w:r w:rsidRPr="00CA1B05">
        <w:rPr>
          <w:rFonts w:cs="Times New Roman" w:hint="eastAsia"/>
          <w:szCs w:val="28"/>
        </w:rPr>
        <w:t>決定」）。全國人大常委會「</w:t>
      </w:r>
      <w:r w:rsidRPr="00CA1B05">
        <w:rPr>
          <w:rFonts w:cs="Times New Roman" w:hint="eastAsia"/>
          <w:szCs w:val="28"/>
        </w:rPr>
        <w:t>8.31</w:t>
      </w:r>
      <w:r w:rsidRPr="00CA1B05">
        <w:rPr>
          <w:rFonts w:cs="Times New Roman" w:hint="eastAsia"/>
          <w:szCs w:val="28"/>
        </w:rPr>
        <w:t>決定」是按照《基本法》及全國人大常委會</w:t>
      </w:r>
      <w:r w:rsidRPr="00CA1B05">
        <w:rPr>
          <w:rFonts w:cs="Times New Roman" w:hint="eastAsia"/>
          <w:szCs w:val="28"/>
        </w:rPr>
        <w:t>2004</w:t>
      </w:r>
      <w:r w:rsidRPr="00CA1B05">
        <w:rPr>
          <w:rFonts w:cs="Times New Roman" w:hint="eastAsia"/>
          <w:szCs w:val="28"/>
        </w:rPr>
        <w:t>年的《解釋》作出，體現中央在香港特區政制發展所擔當的角色。「</w:t>
      </w:r>
      <w:r w:rsidRPr="00CA1B05">
        <w:rPr>
          <w:rFonts w:cs="Times New Roman" w:hint="eastAsia"/>
          <w:szCs w:val="28"/>
        </w:rPr>
        <w:t>8.31</w:t>
      </w:r>
      <w:r w:rsidRPr="00CA1B05">
        <w:rPr>
          <w:rFonts w:cs="Times New Roman" w:hint="eastAsia"/>
          <w:szCs w:val="28"/>
        </w:rPr>
        <w:t>決定」確認從</w:t>
      </w:r>
      <w:r w:rsidRPr="00CA1B05">
        <w:rPr>
          <w:rFonts w:cs="Times New Roman" w:hint="eastAsia"/>
          <w:szCs w:val="28"/>
        </w:rPr>
        <w:t>2017</w:t>
      </w:r>
      <w:r w:rsidRPr="00CA1B05">
        <w:rPr>
          <w:rFonts w:cs="Times New Roman" w:hint="eastAsia"/>
          <w:szCs w:val="28"/>
        </w:rPr>
        <w:t>年開始，行政長官選舉可以實行由普選產生的辦法。「</w:t>
      </w:r>
      <w:r w:rsidRPr="00CA1B05">
        <w:rPr>
          <w:rFonts w:cs="Times New Roman" w:hint="eastAsia"/>
          <w:szCs w:val="28"/>
        </w:rPr>
        <w:t>8.31</w:t>
      </w:r>
      <w:r w:rsidRPr="00CA1B05">
        <w:rPr>
          <w:rFonts w:cs="Times New Roman" w:hint="eastAsia"/>
          <w:szCs w:val="28"/>
        </w:rPr>
        <w:t>決定」同時為普選行政長官的具體方案定下清晰而明確的框架。至於</w:t>
      </w:r>
      <w:r w:rsidRPr="00CA1B05">
        <w:rPr>
          <w:rFonts w:cs="Times New Roman" w:hint="eastAsia"/>
          <w:szCs w:val="28"/>
        </w:rPr>
        <w:t>2016</w:t>
      </w:r>
      <w:r w:rsidRPr="00CA1B05">
        <w:rPr>
          <w:rFonts w:cs="Times New Roman" w:hint="eastAsia"/>
          <w:szCs w:val="28"/>
        </w:rPr>
        <w:t>年立法會的產生辦法，《基本法》附件二訂明的現行產生辦法和表決程序無須修改。</w:t>
      </w:r>
    </w:p>
    <w:p w:rsidR="000B71BB" w:rsidRPr="00CA1B05" w:rsidRDefault="000B71BB" w:rsidP="000B71BB">
      <w:pPr>
        <w:tabs>
          <w:tab w:val="left" w:pos="1440"/>
        </w:tabs>
        <w:adjustRightInd w:val="0"/>
        <w:snapToGrid w:val="0"/>
        <w:spacing w:line="400" w:lineRule="atLeast"/>
        <w:contextualSpacing/>
        <w:jc w:val="both"/>
        <w:rPr>
          <w:rFonts w:cs="Times New Roman"/>
          <w:szCs w:val="28"/>
        </w:rPr>
      </w:pPr>
    </w:p>
    <w:p w:rsidR="000B71BB" w:rsidRDefault="000B71BB" w:rsidP="000B71BB">
      <w:pPr>
        <w:tabs>
          <w:tab w:val="left" w:pos="1440"/>
        </w:tabs>
        <w:adjustRightInd w:val="0"/>
        <w:snapToGrid w:val="0"/>
        <w:spacing w:line="400" w:lineRule="atLeast"/>
        <w:contextualSpacing/>
        <w:jc w:val="both"/>
        <w:rPr>
          <w:rFonts w:cs="Times New Roman"/>
          <w:szCs w:val="28"/>
        </w:rPr>
      </w:pPr>
      <w:r>
        <w:rPr>
          <w:rFonts w:cs="Times New Roman" w:hint="eastAsia"/>
          <w:szCs w:val="28"/>
        </w:rPr>
        <w:t>7.</w:t>
      </w:r>
      <w:r>
        <w:rPr>
          <w:rFonts w:cs="Times New Roman"/>
          <w:szCs w:val="28"/>
        </w:rPr>
        <w:tab/>
      </w:r>
      <w:r w:rsidRPr="00676324">
        <w:rPr>
          <w:rFonts w:cs="Times New Roman" w:hint="eastAsia"/>
          <w:szCs w:val="28"/>
        </w:rPr>
        <w:t>政府根據《基本法》及「</w:t>
      </w:r>
      <w:r w:rsidRPr="00676324">
        <w:rPr>
          <w:rFonts w:cs="Times New Roman"/>
          <w:szCs w:val="28"/>
        </w:rPr>
        <w:t>8.31</w:t>
      </w:r>
      <w:r w:rsidRPr="00676324">
        <w:rPr>
          <w:rFonts w:cs="Times New Roman" w:hint="eastAsia"/>
          <w:szCs w:val="28"/>
        </w:rPr>
        <w:t>決定」，於</w:t>
      </w:r>
      <w:r w:rsidRPr="00676324">
        <w:rPr>
          <w:rFonts w:cs="Times New Roman"/>
          <w:szCs w:val="28"/>
        </w:rPr>
        <w:t>2015</w:t>
      </w:r>
      <w:r w:rsidRPr="00676324">
        <w:rPr>
          <w:rFonts w:cs="Times New Roman" w:hint="eastAsia"/>
          <w:szCs w:val="28"/>
        </w:rPr>
        <w:t>年</w:t>
      </w:r>
      <w:r w:rsidRPr="00676324">
        <w:rPr>
          <w:rFonts w:cs="Times New Roman"/>
          <w:szCs w:val="28"/>
        </w:rPr>
        <w:t>1</w:t>
      </w:r>
      <w:r w:rsidRPr="00676324">
        <w:rPr>
          <w:rFonts w:cs="Times New Roman" w:hint="eastAsia"/>
          <w:szCs w:val="28"/>
        </w:rPr>
        <w:t>月</w:t>
      </w:r>
      <w:r w:rsidRPr="00676324">
        <w:rPr>
          <w:rFonts w:cs="Times New Roman"/>
          <w:szCs w:val="28"/>
        </w:rPr>
        <w:t>7</w:t>
      </w:r>
      <w:r w:rsidRPr="00676324">
        <w:rPr>
          <w:rFonts w:cs="Times New Roman" w:hint="eastAsia"/>
          <w:szCs w:val="28"/>
        </w:rPr>
        <w:t>日發表《行政長官普選辦法諮詢文件》，展開為期兩個月的行政長官普選辦法公眾諮詢；其後於</w:t>
      </w:r>
      <w:r w:rsidRPr="00676324">
        <w:rPr>
          <w:rFonts w:cs="Times New Roman"/>
          <w:szCs w:val="28"/>
        </w:rPr>
        <w:t>2015</w:t>
      </w:r>
      <w:r w:rsidRPr="00676324">
        <w:rPr>
          <w:rFonts w:cs="Times New Roman" w:hint="eastAsia"/>
          <w:szCs w:val="28"/>
        </w:rPr>
        <w:t>年</w:t>
      </w:r>
      <w:r w:rsidRPr="00676324">
        <w:rPr>
          <w:rFonts w:cs="Times New Roman"/>
          <w:szCs w:val="28"/>
        </w:rPr>
        <w:t>4</w:t>
      </w:r>
      <w:r w:rsidRPr="00676324">
        <w:rPr>
          <w:rFonts w:cs="Times New Roman" w:hint="eastAsia"/>
          <w:szCs w:val="28"/>
        </w:rPr>
        <w:t>月</w:t>
      </w:r>
      <w:r w:rsidRPr="00676324">
        <w:rPr>
          <w:rFonts w:cs="Times New Roman"/>
          <w:szCs w:val="28"/>
        </w:rPr>
        <w:t>22</w:t>
      </w:r>
      <w:r w:rsidRPr="00676324">
        <w:rPr>
          <w:rFonts w:cs="Times New Roman" w:hint="eastAsia"/>
          <w:szCs w:val="28"/>
        </w:rPr>
        <w:t>日公布《行政長官普選辦法公眾諮詢報告及方案》，整理並歸納收集到的意見，並提出一套合憲、合法、合情、合理的方案。政府提出的方案重點如下：</w:t>
      </w:r>
    </w:p>
    <w:p w:rsidR="000B71BB" w:rsidRDefault="000B71BB" w:rsidP="000B71BB">
      <w:pPr>
        <w:tabs>
          <w:tab w:val="left" w:pos="1440"/>
        </w:tabs>
        <w:adjustRightInd w:val="0"/>
        <w:snapToGrid w:val="0"/>
        <w:spacing w:line="400" w:lineRule="atLeast"/>
        <w:contextualSpacing/>
        <w:jc w:val="both"/>
        <w:rPr>
          <w:rFonts w:cs="Times New Roman"/>
          <w:szCs w:val="28"/>
        </w:rPr>
      </w:pPr>
    </w:p>
    <w:p w:rsidR="000B71BB" w:rsidRPr="002E445E" w:rsidRDefault="00740A02" w:rsidP="00740A02">
      <w:pPr>
        <w:tabs>
          <w:tab w:val="left" w:pos="720"/>
          <w:tab w:val="left" w:pos="1440"/>
        </w:tabs>
        <w:adjustRightInd w:val="0"/>
        <w:snapToGrid w:val="0"/>
        <w:spacing w:line="400" w:lineRule="atLeast"/>
        <w:ind w:left="1436" w:hanging="1436"/>
        <w:jc w:val="both"/>
        <w:rPr>
          <w:spacing w:val="-2"/>
          <w:szCs w:val="28"/>
        </w:rPr>
      </w:pPr>
      <w:r>
        <w:rPr>
          <w:spacing w:val="-2"/>
          <w:szCs w:val="28"/>
        </w:rPr>
        <w:tab/>
      </w:r>
      <w:r>
        <w:rPr>
          <w:rFonts w:hint="eastAsia"/>
          <w:spacing w:val="-2"/>
          <w:szCs w:val="28"/>
        </w:rPr>
        <w:t>(a)</w:t>
      </w:r>
      <w:r>
        <w:rPr>
          <w:spacing w:val="-2"/>
          <w:szCs w:val="28"/>
        </w:rPr>
        <w:tab/>
      </w:r>
      <w:r w:rsidR="000B71BB" w:rsidRPr="002E445E">
        <w:rPr>
          <w:rFonts w:hint="eastAsia"/>
          <w:spacing w:val="-2"/>
          <w:szCs w:val="28"/>
        </w:rPr>
        <w:t>提名委員會</w:t>
      </w:r>
      <w:r w:rsidR="000B71BB" w:rsidRPr="002E445E">
        <w:rPr>
          <w:spacing w:val="-2"/>
          <w:szCs w:val="28"/>
        </w:rPr>
        <w:t>由</w:t>
      </w:r>
      <w:r w:rsidR="000B71BB" w:rsidRPr="002E445E">
        <w:rPr>
          <w:spacing w:val="-2"/>
          <w:szCs w:val="28"/>
        </w:rPr>
        <w:t>1 200</w:t>
      </w:r>
      <w:r w:rsidR="000B71BB" w:rsidRPr="002E445E">
        <w:rPr>
          <w:spacing w:val="-2"/>
          <w:szCs w:val="28"/>
        </w:rPr>
        <w:t>人組成</w:t>
      </w:r>
      <w:r w:rsidR="000B71BB" w:rsidRPr="002E445E">
        <w:rPr>
          <w:rFonts w:hint="eastAsia"/>
          <w:spacing w:val="-2"/>
          <w:szCs w:val="28"/>
        </w:rPr>
        <w:t>，</w:t>
      </w:r>
      <w:r w:rsidR="000B71BB" w:rsidRPr="002E445E">
        <w:rPr>
          <w:spacing w:val="-2"/>
          <w:szCs w:val="28"/>
        </w:rPr>
        <w:t>按照現時選舉委員會四大界</w:t>
      </w:r>
      <w:r w:rsidR="000B71BB" w:rsidRPr="00740A02">
        <w:rPr>
          <w:szCs w:val="28"/>
        </w:rPr>
        <w:t>別共</w:t>
      </w:r>
      <w:r w:rsidR="000B71BB" w:rsidRPr="00740A02">
        <w:rPr>
          <w:szCs w:val="28"/>
        </w:rPr>
        <w:t>38</w:t>
      </w:r>
      <w:r w:rsidR="000B71BB" w:rsidRPr="00740A02">
        <w:rPr>
          <w:szCs w:val="28"/>
        </w:rPr>
        <w:t>個界別分組組成；現時</w:t>
      </w:r>
      <w:r w:rsidR="000B71BB" w:rsidRPr="00740A02">
        <w:rPr>
          <w:szCs w:val="28"/>
        </w:rPr>
        <w:t>38</w:t>
      </w:r>
      <w:r w:rsidR="000B71BB" w:rsidRPr="00740A02">
        <w:rPr>
          <w:szCs w:val="28"/>
        </w:rPr>
        <w:t>個界別分組的委員產生</w:t>
      </w:r>
      <w:r w:rsidR="000B71BB" w:rsidRPr="002E445E">
        <w:rPr>
          <w:spacing w:val="-2"/>
          <w:szCs w:val="28"/>
        </w:rPr>
        <w:t>辦法</w:t>
      </w:r>
      <w:r w:rsidR="000B71BB" w:rsidRPr="002E445E">
        <w:rPr>
          <w:rFonts w:hint="eastAsia"/>
          <w:spacing w:val="-2"/>
          <w:szCs w:val="28"/>
        </w:rPr>
        <w:t>及</w:t>
      </w:r>
      <w:r w:rsidR="000B71BB" w:rsidRPr="002E445E">
        <w:rPr>
          <w:spacing w:val="-2"/>
          <w:szCs w:val="28"/>
        </w:rPr>
        <w:t>選民基礎維持不變</w:t>
      </w:r>
      <w:r w:rsidR="000B71BB" w:rsidRPr="002E445E">
        <w:rPr>
          <w:rFonts w:hint="eastAsia"/>
          <w:spacing w:val="-2"/>
          <w:szCs w:val="28"/>
        </w:rPr>
        <w:t>；</w:t>
      </w:r>
    </w:p>
    <w:p w:rsidR="000B71BB" w:rsidRPr="00684CB7" w:rsidRDefault="000B71BB" w:rsidP="000B71BB">
      <w:pPr>
        <w:tabs>
          <w:tab w:val="left" w:pos="1440"/>
        </w:tabs>
        <w:adjustRightInd w:val="0"/>
        <w:snapToGrid w:val="0"/>
        <w:spacing w:line="400" w:lineRule="atLeast"/>
        <w:jc w:val="both"/>
        <w:rPr>
          <w:szCs w:val="28"/>
        </w:rPr>
      </w:pPr>
    </w:p>
    <w:p w:rsidR="000B71BB" w:rsidRPr="00684CB7" w:rsidRDefault="00406C4D" w:rsidP="00406C4D">
      <w:pPr>
        <w:tabs>
          <w:tab w:val="left" w:pos="720"/>
          <w:tab w:val="left" w:pos="1440"/>
        </w:tabs>
        <w:adjustRightInd w:val="0"/>
        <w:snapToGrid w:val="0"/>
        <w:spacing w:line="400" w:lineRule="atLeast"/>
        <w:ind w:left="1436" w:hanging="1436"/>
        <w:jc w:val="both"/>
        <w:rPr>
          <w:szCs w:val="28"/>
        </w:rPr>
      </w:pPr>
      <w:r>
        <w:rPr>
          <w:szCs w:val="28"/>
        </w:rPr>
        <w:tab/>
      </w:r>
      <w:r>
        <w:rPr>
          <w:rFonts w:hint="eastAsia"/>
          <w:szCs w:val="28"/>
        </w:rPr>
        <w:t>(b)</w:t>
      </w:r>
      <w:r>
        <w:rPr>
          <w:szCs w:val="28"/>
        </w:rPr>
        <w:tab/>
      </w:r>
      <w:r w:rsidR="000B71BB" w:rsidRPr="00684CB7">
        <w:rPr>
          <w:szCs w:val="28"/>
        </w:rPr>
        <w:t>提名程序分為「委員推薦」和「委員會提名」兩個階段</w:t>
      </w:r>
      <w:r w:rsidR="000B71BB" w:rsidRPr="00684CB7">
        <w:rPr>
          <w:rFonts w:hint="eastAsia"/>
          <w:szCs w:val="28"/>
        </w:rPr>
        <w:t>。</w:t>
      </w:r>
      <w:r w:rsidR="000B71BB" w:rsidRPr="00684CB7">
        <w:rPr>
          <w:szCs w:val="28"/>
        </w:rPr>
        <w:t>獲得</w:t>
      </w:r>
      <w:r w:rsidR="000B71BB" w:rsidRPr="00684CB7">
        <w:rPr>
          <w:szCs w:val="28"/>
        </w:rPr>
        <w:t>120</w:t>
      </w:r>
      <w:r w:rsidR="000B71BB" w:rsidRPr="00684CB7">
        <w:rPr>
          <w:szCs w:val="28"/>
        </w:rPr>
        <w:t>名提名委員會委員以個人身分記名聯合推薦即可成為行政長官參選</w:t>
      </w:r>
      <w:r w:rsidR="000B71BB" w:rsidRPr="00684CB7">
        <w:rPr>
          <w:rFonts w:hint="eastAsia"/>
          <w:szCs w:val="28"/>
        </w:rPr>
        <w:t>人；</w:t>
      </w:r>
      <w:r w:rsidR="000B71BB" w:rsidRPr="00684CB7">
        <w:rPr>
          <w:szCs w:val="28"/>
        </w:rPr>
        <w:t>每名委員只可推薦一名參選人</w:t>
      </w:r>
      <w:r w:rsidR="000B71BB" w:rsidRPr="00684CB7">
        <w:rPr>
          <w:rFonts w:hint="eastAsia"/>
          <w:szCs w:val="28"/>
        </w:rPr>
        <w:t>；</w:t>
      </w:r>
      <w:r w:rsidR="000B71BB" w:rsidRPr="00684CB7">
        <w:rPr>
          <w:szCs w:val="28"/>
        </w:rPr>
        <w:t>每名參選人可獲得的委員推薦數目上限為</w:t>
      </w:r>
      <w:r w:rsidR="000B71BB" w:rsidRPr="00684CB7">
        <w:rPr>
          <w:szCs w:val="28"/>
        </w:rPr>
        <w:t>240</w:t>
      </w:r>
      <w:r w:rsidR="000B71BB" w:rsidRPr="00684CB7">
        <w:rPr>
          <w:rFonts w:hint="eastAsia"/>
          <w:szCs w:val="28"/>
        </w:rPr>
        <w:t>名；</w:t>
      </w:r>
    </w:p>
    <w:p w:rsidR="000B71BB" w:rsidRDefault="000B71BB" w:rsidP="000B71BB">
      <w:pPr>
        <w:tabs>
          <w:tab w:val="left" w:pos="1440"/>
        </w:tabs>
        <w:adjustRightInd w:val="0"/>
        <w:snapToGrid w:val="0"/>
        <w:spacing w:line="400" w:lineRule="atLeast"/>
        <w:jc w:val="both"/>
        <w:rPr>
          <w:szCs w:val="28"/>
        </w:rPr>
      </w:pPr>
    </w:p>
    <w:p w:rsidR="000B71BB" w:rsidRPr="00684CB7" w:rsidRDefault="000B71BB" w:rsidP="000B71BB">
      <w:pPr>
        <w:tabs>
          <w:tab w:val="left" w:pos="1440"/>
        </w:tabs>
        <w:adjustRightInd w:val="0"/>
        <w:snapToGrid w:val="0"/>
        <w:spacing w:line="400" w:lineRule="atLeast"/>
        <w:jc w:val="both"/>
        <w:rPr>
          <w:szCs w:val="28"/>
        </w:rPr>
      </w:pPr>
    </w:p>
    <w:p w:rsidR="000B71BB" w:rsidRPr="002E445E" w:rsidRDefault="00406C4D" w:rsidP="00406C4D">
      <w:pPr>
        <w:tabs>
          <w:tab w:val="left" w:pos="720"/>
          <w:tab w:val="left" w:pos="1440"/>
        </w:tabs>
        <w:adjustRightInd w:val="0"/>
        <w:snapToGrid w:val="0"/>
        <w:spacing w:line="400" w:lineRule="atLeast"/>
        <w:ind w:left="1440" w:hanging="1436"/>
        <w:jc w:val="both"/>
        <w:rPr>
          <w:spacing w:val="-2"/>
          <w:szCs w:val="28"/>
        </w:rPr>
      </w:pPr>
      <w:r>
        <w:rPr>
          <w:spacing w:val="-2"/>
          <w:szCs w:val="28"/>
        </w:rPr>
        <w:lastRenderedPageBreak/>
        <w:tab/>
        <w:t>(c)</w:t>
      </w:r>
      <w:r>
        <w:rPr>
          <w:spacing w:val="-2"/>
          <w:szCs w:val="28"/>
        </w:rPr>
        <w:tab/>
      </w:r>
      <w:r w:rsidR="000B71BB" w:rsidRPr="002E445E">
        <w:rPr>
          <w:spacing w:val="-2"/>
          <w:szCs w:val="28"/>
        </w:rPr>
        <w:t>在「委員會提名」階段，提名委員會採用無記名投票方式</w:t>
      </w:r>
      <w:r w:rsidR="000B71BB" w:rsidRPr="002E445E">
        <w:rPr>
          <w:spacing w:val="-4"/>
          <w:szCs w:val="28"/>
        </w:rPr>
        <w:t>提名產生二至三名行政長官候選人。每名委員</w:t>
      </w:r>
      <w:r w:rsidR="000B71BB" w:rsidRPr="002E445E">
        <w:rPr>
          <w:rFonts w:hint="eastAsia"/>
          <w:spacing w:val="-4"/>
          <w:szCs w:val="28"/>
        </w:rPr>
        <w:t>可</w:t>
      </w:r>
      <w:r w:rsidR="000B71BB" w:rsidRPr="002E445E">
        <w:rPr>
          <w:spacing w:val="-4"/>
          <w:szCs w:val="28"/>
        </w:rPr>
        <w:t>投票支</w:t>
      </w:r>
      <w:r w:rsidR="000B71BB" w:rsidRPr="002E445E">
        <w:rPr>
          <w:spacing w:val="-2"/>
          <w:szCs w:val="28"/>
        </w:rPr>
        <w:t>持</w:t>
      </w:r>
      <w:r w:rsidR="000B71BB" w:rsidRPr="002E445E">
        <w:rPr>
          <w:rFonts w:hint="eastAsia"/>
          <w:spacing w:val="-4"/>
          <w:szCs w:val="28"/>
        </w:rPr>
        <w:t>兩名至</w:t>
      </w:r>
      <w:r w:rsidR="000B71BB" w:rsidRPr="002E445E">
        <w:rPr>
          <w:spacing w:val="-4"/>
          <w:szCs w:val="28"/>
        </w:rPr>
        <w:t>所有參選人</w:t>
      </w:r>
      <w:r w:rsidR="000B71BB" w:rsidRPr="002E445E">
        <w:rPr>
          <w:rFonts w:hint="eastAsia"/>
          <w:spacing w:val="-4"/>
          <w:szCs w:val="28"/>
        </w:rPr>
        <w:t>。</w:t>
      </w:r>
      <w:r w:rsidR="000B71BB" w:rsidRPr="002E445E">
        <w:rPr>
          <w:spacing w:val="-4"/>
          <w:szCs w:val="28"/>
        </w:rPr>
        <w:t>獲得提名委員會全體委員過半數支</w:t>
      </w:r>
      <w:r w:rsidR="000B71BB" w:rsidRPr="002E445E">
        <w:rPr>
          <w:spacing w:val="-2"/>
          <w:szCs w:val="28"/>
        </w:rPr>
        <w:t>持並獲得最高票的</w:t>
      </w:r>
      <w:r w:rsidR="000B71BB" w:rsidRPr="002E445E">
        <w:rPr>
          <w:rFonts w:hint="eastAsia"/>
          <w:spacing w:val="-2"/>
          <w:szCs w:val="28"/>
        </w:rPr>
        <w:t>二至</w:t>
      </w:r>
      <w:r w:rsidR="000B71BB" w:rsidRPr="002E445E">
        <w:rPr>
          <w:spacing w:val="-2"/>
          <w:szCs w:val="28"/>
        </w:rPr>
        <w:t>三名參選人成為候選人</w:t>
      </w:r>
      <w:r w:rsidR="000B71BB" w:rsidRPr="002E445E">
        <w:rPr>
          <w:rFonts w:hint="eastAsia"/>
          <w:spacing w:val="-2"/>
          <w:szCs w:val="28"/>
        </w:rPr>
        <w:t>；以及</w:t>
      </w:r>
    </w:p>
    <w:p w:rsidR="000B71BB" w:rsidRDefault="000B71BB" w:rsidP="000B71BB">
      <w:pPr>
        <w:tabs>
          <w:tab w:val="left" w:pos="1440"/>
        </w:tabs>
        <w:adjustRightInd w:val="0"/>
        <w:snapToGrid w:val="0"/>
        <w:spacing w:line="400" w:lineRule="atLeast"/>
        <w:jc w:val="both"/>
        <w:rPr>
          <w:szCs w:val="28"/>
        </w:rPr>
      </w:pPr>
    </w:p>
    <w:p w:rsidR="000B71BB" w:rsidRPr="002E445E" w:rsidRDefault="00406C4D" w:rsidP="00406C4D">
      <w:pPr>
        <w:tabs>
          <w:tab w:val="left" w:pos="720"/>
          <w:tab w:val="left" w:pos="1440"/>
        </w:tabs>
        <w:adjustRightInd w:val="0"/>
        <w:snapToGrid w:val="0"/>
        <w:spacing w:line="400" w:lineRule="atLeast"/>
        <w:ind w:left="1436" w:hanging="1436"/>
        <w:jc w:val="both"/>
        <w:rPr>
          <w:spacing w:val="-4"/>
          <w:szCs w:val="28"/>
        </w:rPr>
      </w:pPr>
      <w:r>
        <w:rPr>
          <w:spacing w:val="-4"/>
          <w:szCs w:val="28"/>
        </w:rPr>
        <w:tab/>
      </w:r>
      <w:r>
        <w:rPr>
          <w:rFonts w:hint="eastAsia"/>
          <w:spacing w:val="-4"/>
          <w:szCs w:val="28"/>
        </w:rPr>
        <w:t>(d)</w:t>
      </w:r>
      <w:r>
        <w:rPr>
          <w:spacing w:val="-4"/>
          <w:szCs w:val="28"/>
        </w:rPr>
        <w:tab/>
      </w:r>
      <w:r w:rsidR="000B71BB" w:rsidRPr="002E445E">
        <w:rPr>
          <w:spacing w:val="-4"/>
          <w:szCs w:val="28"/>
        </w:rPr>
        <w:t>在行政長官的普選階段</w:t>
      </w:r>
      <w:r w:rsidR="000B71BB" w:rsidRPr="002E445E">
        <w:rPr>
          <w:rFonts w:hint="eastAsia"/>
          <w:spacing w:val="-4"/>
          <w:szCs w:val="28"/>
        </w:rPr>
        <w:t>，</w:t>
      </w:r>
      <w:r w:rsidR="000B71BB" w:rsidRPr="002E445E">
        <w:rPr>
          <w:spacing w:val="-4"/>
          <w:szCs w:val="28"/>
        </w:rPr>
        <w:t>全港合資格選民從提名委員會提</w:t>
      </w:r>
      <w:r w:rsidR="000B71BB" w:rsidRPr="00D36FD6">
        <w:rPr>
          <w:szCs w:val="28"/>
        </w:rPr>
        <w:t>名的二至三名候選人</w:t>
      </w:r>
      <w:r w:rsidR="000B71BB" w:rsidRPr="00D36FD6">
        <w:rPr>
          <w:rFonts w:hint="eastAsia"/>
          <w:szCs w:val="28"/>
        </w:rPr>
        <w:t>中</w:t>
      </w:r>
      <w:r w:rsidR="000B71BB" w:rsidRPr="00D36FD6">
        <w:rPr>
          <w:szCs w:val="28"/>
        </w:rPr>
        <w:t>，以「得票最多者當選」的方式選出</w:t>
      </w:r>
      <w:r w:rsidR="000B71BB" w:rsidRPr="002E445E">
        <w:rPr>
          <w:spacing w:val="-4"/>
          <w:szCs w:val="28"/>
        </w:rPr>
        <w:t>行政長官人</w:t>
      </w:r>
      <w:r w:rsidR="000B71BB" w:rsidRPr="002E445E">
        <w:rPr>
          <w:rFonts w:hint="eastAsia"/>
          <w:spacing w:val="-4"/>
          <w:szCs w:val="28"/>
        </w:rPr>
        <w:t>選。</w:t>
      </w:r>
    </w:p>
    <w:p w:rsidR="000B71BB" w:rsidRPr="00676324" w:rsidRDefault="000B71BB" w:rsidP="000B71BB">
      <w:pPr>
        <w:tabs>
          <w:tab w:val="left" w:pos="1440"/>
        </w:tabs>
        <w:adjustRightInd w:val="0"/>
        <w:snapToGrid w:val="0"/>
        <w:spacing w:line="400" w:lineRule="atLeast"/>
        <w:contextualSpacing/>
        <w:jc w:val="both"/>
        <w:rPr>
          <w:rFonts w:cs="Times New Roman"/>
          <w:szCs w:val="28"/>
        </w:rPr>
      </w:pPr>
    </w:p>
    <w:p w:rsidR="000B71BB" w:rsidRDefault="000B71BB" w:rsidP="000B71BB">
      <w:pPr>
        <w:snapToGrid w:val="0"/>
        <w:spacing w:line="400" w:lineRule="atLeast"/>
        <w:jc w:val="both"/>
        <w:rPr>
          <w:rFonts w:cs="Times New Roman"/>
          <w:szCs w:val="28"/>
        </w:rPr>
      </w:pPr>
      <w:r>
        <w:rPr>
          <w:rFonts w:cs="Times New Roman"/>
          <w:szCs w:val="28"/>
        </w:rPr>
        <w:t>8</w:t>
      </w:r>
      <w:r>
        <w:rPr>
          <w:rFonts w:cs="Times New Roman" w:hint="eastAsia"/>
          <w:szCs w:val="28"/>
        </w:rPr>
        <w:t>.</w:t>
      </w:r>
      <w:r>
        <w:rPr>
          <w:rFonts w:cs="Times New Roman"/>
          <w:szCs w:val="28"/>
        </w:rPr>
        <w:tab/>
      </w:r>
      <w:r>
        <w:rPr>
          <w:rFonts w:cs="Times New Roman"/>
          <w:szCs w:val="28"/>
        </w:rPr>
        <w:tab/>
      </w:r>
      <w:r>
        <w:rPr>
          <w:rFonts w:cs="Times New Roman"/>
          <w:szCs w:val="28"/>
        </w:rPr>
        <w:tab/>
      </w:r>
      <w:r w:rsidRPr="00676324">
        <w:rPr>
          <w:rFonts w:cs="Times New Roman" w:hint="eastAsia"/>
          <w:szCs w:val="28"/>
        </w:rPr>
        <w:t>不同機構所進行的民意調查均顯示，較多市民支持而非反對政府建議的方案。儘管如此，特區政府提出的方案在</w:t>
      </w:r>
      <w:r w:rsidRPr="00676324">
        <w:rPr>
          <w:rFonts w:cs="Times New Roman" w:hint="eastAsia"/>
          <w:szCs w:val="28"/>
        </w:rPr>
        <w:t>2015</w:t>
      </w:r>
      <w:r w:rsidRPr="00676324">
        <w:rPr>
          <w:rFonts w:cs="Times New Roman" w:hint="eastAsia"/>
          <w:szCs w:val="28"/>
        </w:rPr>
        <w:t>年</w:t>
      </w:r>
      <w:r w:rsidRPr="00676324">
        <w:rPr>
          <w:rFonts w:cs="Times New Roman" w:hint="eastAsia"/>
          <w:szCs w:val="28"/>
        </w:rPr>
        <w:t>6</w:t>
      </w:r>
      <w:r w:rsidRPr="00676324">
        <w:rPr>
          <w:rFonts w:cs="Times New Roman" w:hint="eastAsia"/>
          <w:szCs w:val="28"/>
        </w:rPr>
        <w:t>月</w:t>
      </w:r>
      <w:r w:rsidRPr="00676324">
        <w:rPr>
          <w:rFonts w:cs="Times New Roman" w:hint="eastAsia"/>
          <w:szCs w:val="28"/>
        </w:rPr>
        <w:t>18</w:t>
      </w:r>
      <w:r w:rsidRPr="00676324">
        <w:rPr>
          <w:rFonts w:cs="Times New Roman" w:hint="eastAsia"/>
          <w:szCs w:val="28"/>
        </w:rPr>
        <w:t>日的立法會會議上未能按《基本法》附件一的規定獲立法會全體議員三分二多數通過。因此，根據全國人大常委會「</w:t>
      </w:r>
      <w:r w:rsidRPr="00676324">
        <w:rPr>
          <w:rFonts w:cs="Times New Roman" w:hint="eastAsia"/>
          <w:szCs w:val="28"/>
        </w:rPr>
        <w:t>8.31</w:t>
      </w:r>
      <w:r w:rsidRPr="00676324">
        <w:rPr>
          <w:rFonts w:cs="Times New Roman" w:hint="eastAsia"/>
          <w:szCs w:val="28"/>
        </w:rPr>
        <w:t>決定」，</w:t>
      </w:r>
      <w:r w:rsidRPr="00676324">
        <w:rPr>
          <w:rFonts w:cs="Times New Roman" w:hint="eastAsia"/>
          <w:szCs w:val="28"/>
        </w:rPr>
        <w:t>2017</w:t>
      </w:r>
      <w:r w:rsidRPr="00676324">
        <w:rPr>
          <w:rFonts w:cs="Times New Roman" w:hint="eastAsia"/>
          <w:szCs w:val="28"/>
        </w:rPr>
        <w:t>年的第五任行政長官繼續沿用</w:t>
      </w:r>
      <w:r w:rsidRPr="00676324">
        <w:rPr>
          <w:rFonts w:cs="Times New Roman" w:hint="eastAsia"/>
          <w:szCs w:val="28"/>
        </w:rPr>
        <w:t>2012</w:t>
      </w:r>
      <w:r w:rsidRPr="00676324">
        <w:rPr>
          <w:rFonts w:cs="Times New Roman" w:hint="eastAsia"/>
          <w:szCs w:val="28"/>
        </w:rPr>
        <w:t>年第四任行政長官的產生辦法，即繼續由</w:t>
      </w:r>
      <w:r w:rsidRPr="00676324">
        <w:rPr>
          <w:rFonts w:cs="Times New Roman" w:hint="eastAsia"/>
          <w:szCs w:val="28"/>
        </w:rPr>
        <w:t>1</w:t>
      </w:r>
      <w:r w:rsidR="004D4FE3">
        <w:rPr>
          <w:rFonts w:cs="Times New Roman"/>
          <w:szCs w:val="28"/>
        </w:rPr>
        <w:t> </w:t>
      </w:r>
      <w:r w:rsidRPr="00676324">
        <w:rPr>
          <w:rFonts w:cs="Times New Roman" w:hint="eastAsia"/>
          <w:szCs w:val="28"/>
        </w:rPr>
        <w:t>200</w:t>
      </w:r>
      <w:r w:rsidRPr="00676324">
        <w:rPr>
          <w:rFonts w:cs="Times New Roman" w:hint="eastAsia"/>
          <w:szCs w:val="28"/>
        </w:rPr>
        <w:t>人的選舉委員會選出。</w:t>
      </w:r>
    </w:p>
    <w:p w:rsidR="000B71BB" w:rsidRDefault="000B71BB" w:rsidP="000B71BB">
      <w:pPr>
        <w:snapToGrid w:val="0"/>
        <w:spacing w:line="400" w:lineRule="atLeast"/>
        <w:jc w:val="both"/>
        <w:rPr>
          <w:rFonts w:cs="Times New Roman"/>
          <w:szCs w:val="28"/>
        </w:rPr>
      </w:pPr>
    </w:p>
    <w:p w:rsidR="000B71BB" w:rsidRPr="00676324" w:rsidRDefault="000B71BB" w:rsidP="000B71BB">
      <w:pPr>
        <w:snapToGrid w:val="0"/>
        <w:spacing w:line="400" w:lineRule="atLeast"/>
        <w:jc w:val="both"/>
        <w:rPr>
          <w:b/>
          <w:szCs w:val="28"/>
        </w:rPr>
      </w:pPr>
      <w:r>
        <w:rPr>
          <w:rFonts w:cs="Times New Roman" w:hint="eastAsia"/>
          <w:szCs w:val="28"/>
        </w:rPr>
        <w:t>9.</w:t>
      </w:r>
      <w:r>
        <w:rPr>
          <w:rFonts w:cs="Times New Roman"/>
          <w:szCs w:val="28"/>
        </w:rPr>
        <w:tab/>
      </w:r>
      <w:r>
        <w:rPr>
          <w:rFonts w:cs="Times New Roman"/>
          <w:szCs w:val="28"/>
        </w:rPr>
        <w:tab/>
      </w:r>
      <w:r>
        <w:rPr>
          <w:rFonts w:cs="Times New Roman"/>
          <w:szCs w:val="28"/>
        </w:rPr>
        <w:tab/>
      </w:r>
      <w:r w:rsidRPr="00676324">
        <w:rPr>
          <w:rFonts w:cs="Times New Roman" w:hint="eastAsia"/>
          <w:szCs w:val="28"/>
        </w:rPr>
        <w:t>政府明白市民對普選的訴求，並會繼續努力營造有利推動政制發展的社會氛圍。</w:t>
      </w:r>
    </w:p>
    <w:p w:rsidR="002E445E" w:rsidRDefault="002E445E" w:rsidP="008375BB">
      <w:pPr>
        <w:jc w:val="both"/>
        <w:sectPr w:rsidR="002E445E" w:rsidSect="000B71BB">
          <w:footerReference w:type="default" r:id="rId14"/>
          <w:pgSz w:w="11906" w:h="16838"/>
          <w:pgMar w:top="1440" w:right="1800" w:bottom="1440" w:left="1800" w:header="720" w:footer="720" w:gutter="0"/>
          <w:pgNumType w:start="1"/>
          <w:cols w:space="425"/>
          <w:docGrid w:type="lines" w:linePitch="381"/>
        </w:sectPr>
      </w:pPr>
    </w:p>
    <w:p w:rsidR="002E445E" w:rsidRPr="004210E9" w:rsidRDefault="002E445E" w:rsidP="002E445E">
      <w:pPr>
        <w:jc w:val="right"/>
        <w:rPr>
          <w:b/>
        </w:rPr>
      </w:pPr>
      <w:r w:rsidRPr="004210E9">
        <w:rPr>
          <w:rFonts w:ascii="標楷體" w:hAnsi="標楷體" w:hint="eastAsia"/>
          <w:b/>
          <w:lang w:eastAsia="zh-HK"/>
        </w:rPr>
        <w:lastRenderedPageBreak/>
        <w:t>附件</w:t>
      </w:r>
      <w:r w:rsidRPr="004210E9">
        <w:rPr>
          <w:rFonts w:ascii="標楷體" w:hAnsi="標楷體"/>
          <w:b/>
        </w:rPr>
        <w:t xml:space="preserve"> </w:t>
      </w:r>
      <w:r w:rsidRPr="004210E9">
        <w:rPr>
          <w:b/>
        </w:rPr>
        <w:t>2A</w:t>
      </w:r>
    </w:p>
    <w:p w:rsidR="002E445E" w:rsidRPr="004210E9" w:rsidRDefault="002E445E" w:rsidP="002E445E">
      <w:pPr>
        <w:jc w:val="right"/>
        <w:rPr>
          <w:rFonts w:ascii="標楷體" w:hAnsi="標楷體"/>
          <w:b/>
        </w:rPr>
      </w:pPr>
    </w:p>
    <w:p w:rsidR="002E445E" w:rsidRPr="004210E9" w:rsidRDefault="002E445E" w:rsidP="002E445E">
      <w:pPr>
        <w:snapToGrid w:val="0"/>
        <w:jc w:val="center"/>
        <w:rPr>
          <w:b/>
        </w:rPr>
      </w:pPr>
      <w:r w:rsidRPr="004210E9">
        <w:rPr>
          <w:b/>
          <w:lang w:eastAsia="zh-HK"/>
        </w:rPr>
        <w:t>在香</w:t>
      </w:r>
      <w:r w:rsidRPr="004210E9">
        <w:rPr>
          <w:b/>
        </w:rPr>
        <w:t>港</w:t>
      </w:r>
      <w:r w:rsidRPr="004210E9">
        <w:rPr>
          <w:b/>
          <w:lang w:eastAsia="zh-HK"/>
        </w:rPr>
        <w:t>特區實</w:t>
      </w:r>
      <w:r w:rsidRPr="004210E9">
        <w:rPr>
          <w:b/>
        </w:rPr>
        <w:t>施</w:t>
      </w:r>
    </w:p>
    <w:p w:rsidR="002E445E" w:rsidRPr="004210E9" w:rsidRDefault="002E445E" w:rsidP="002E445E">
      <w:pPr>
        <w:snapToGrid w:val="0"/>
        <w:jc w:val="center"/>
        <w:rPr>
          <w:b/>
          <w:lang w:eastAsia="zh-HK"/>
        </w:rPr>
      </w:pPr>
      <w:r w:rsidRPr="004210E9">
        <w:rPr>
          <w:b/>
          <w:lang w:eastAsia="zh-HK"/>
        </w:rPr>
        <w:t>《經</w:t>
      </w:r>
      <w:r w:rsidRPr="004210E9">
        <w:rPr>
          <w:b/>
        </w:rPr>
        <w:t>濟</w:t>
      </w:r>
      <w:r w:rsidRPr="004210E9">
        <w:rPr>
          <w:b/>
          <w:lang w:eastAsia="zh-HK"/>
        </w:rPr>
        <w:t>、社會</w:t>
      </w:r>
      <w:r w:rsidRPr="004210E9">
        <w:rPr>
          <w:rFonts w:hint="eastAsia"/>
          <w:b/>
          <w:lang w:eastAsia="zh-HK"/>
        </w:rPr>
        <w:t>及</w:t>
      </w:r>
      <w:r w:rsidRPr="004210E9">
        <w:rPr>
          <w:b/>
          <w:lang w:eastAsia="zh-HK"/>
        </w:rPr>
        <w:t>文化權利國</w:t>
      </w:r>
      <w:r w:rsidRPr="004210E9">
        <w:rPr>
          <w:b/>
        </w:rPr>
        <w:t>際</w:t>
      </w:r>
      <w:r w:rsidRPr="004210E9">
        <w:rPr>
          <w:b/>
          <w:lang w:eastAsia="zh-HK"/>
        </w:rPr>
        <w:t>公約》的</w:t>
      </w:r>
    </w:p>
    <w:p w:rsidR="002E445E" w:rsidRPr="004210E9" w:rsidRDefault="002E445E" w:rsidP="002E445E">
      <w:pPr>
        <w:snapToGrid w:val="0"/>
        <w:jc w:val="center"/>
        <w:rPr>
          <w:b/>
        </w:rPr>
      </w:pPr>
      <w:r w:rsidRPr="004210E9">
        <w:rPr>
          <w:b/>
          <w:lang w:eastAsia="zh-HK"/>
        </w:rPr>
        <w:t>憲制保</w:t>
      </w:r>
      <w:r w:rsidRPr="004210E9">
        <w:rPr>
          <w:b/>
        </w:rPr>
        <w:t>障</w:t>
      </w:r>
      <w:r w:rsidRPr="004210E9">
        <w:rPr>
          <w:b/>
          <w:lang w:eastAsia="zh-HK"/>
        </w:rPr>
        <w:t>及立法措</w:t>
      </w:r>
      <w:r w:rsidRPr="004210E9">
        <w:rPr>
          <w:b/>
        </w:rPr>
        <w:t>施</w:t>
      </w:r>
    </w:p>
    <w:p w:rsidR="002E445E" w:rsidRPr="004210E9" w:rsidRDefault="002E445E" w:rsidP="002E445E">
      <w:pPr>
        <w:snapToGrid w:val="0"/>
        <w:jc w:val="center"/>
        <w:rPr>
          <w:b/>
          <w:sz w:val="26"/>
          <w:lang w:eastAsia="zh-HK"/>
        </w:rPr>
      </w:pPr>
    </w:p>
    <w:tbl>
      <w:tblPr>
        <w:tblW w:w="8794" w:type="dxa"/>
        <w:tblLayout w:type="fixed"/>
        <w:tblCellMar>
          <w:left w:w="28" w:type="dxa"/>
          <w:right w:w="28" w:type="dxa"/>
        </w:tblCellMar>
        <w:tblLook w:val="0000" w:firstRow="0" w:lastRow="0" w:firstColumn="0" w:lastColumn="0" w:noHBand="0" w:noVBand="0"/>
      </w:tblPr>
      <w:tblGrid>
        <w:gridCol w:w="2638"/>
        <w:gridCol w:w="540"/>
        <w:gridCol w:w="5616"/>
      </w:tblGrid>
      <w:tr w:rsidR="002E445E" w:rsidRPr="004210E9" w:rsidTr="00A71DE2">
        <w:trPr>
          <w:cantSplit/>
          <w:trHeight w:val="1215"/>
        </w:trPr>
        <w:tc>
          <w:tcPr>
            <w:tcW w:w="8794" w:type="dxa"/>
            <w:gridSpan w:val="3"/>
          </w:tcPr>
          <w:p w:rsidR="002E445E" w:rsidRPr="004210E9" w:rsidRDefault="002E445E" w:rsidP="005C4451">
            <w:pPr>
              <w:spacing w:after="150"/>
              <w:rPr>
                <w:b/>
                <w:u w:val="single"/>
              </w:rPr>
            </w:pPr>
            <w:r w:rsidRPr="004210E9">
              <w:rPr>
                <w:b/>
                <w:u w:val="single"/>
                <w:lang w:eastAsia="zh-HK"/>
              </w:rPr>
              <w:t>第二條</w:t>
            </w:r>
          </w:p>
          <w:p w:rsidR="002E445E" w:rsidRPr="004210E9" w:rsidRDefault="002E445E" w:rsidP="005C4451">
            <w:pPr>
              <w:tabs>
                <w:tab w:val="left" w:pos="115"/>
              </w:tabs>
              <w:spacing w:after="150"/>
              <w:ind w:right="144"/>
              <w:jc w:val="both"/>
            </w:pPr>
            <w:r w:rsidRPr="004210E9">
              <w:rPr>
                <w:b/>
              </w:rPr>
              <w:t>逐</w:t>
            </w:r>
            <w:r w:rsidRPr="004210E9">
              <w:rPr>
                <w:b/>
                <w:lang w:eastAsia="zh-HK"/>
              </w:rPr>
              <w:t>步實</w:t>
            </w:r>
            <w:r w:rsidRPr="004210E9">
              <w:rPr>
                <w:b/>
              </w:rPr>
              <w:t>現</w:t>
            </w:r>
            <w:r w:rsidRPr="004210E9">
              <w:rPr>
                <w:b/>
                <w:lang w:eastAsia="zh-HK"/>
              </w:rPr>
              <w:t>公約所</w:t>
            </w:r>
            <w:r w:rsidRPr="004210E9">
              <w:rPr>
                <w:b/>
              </w:rPr>
              <w:t>承</w:t>
            </w:r>
            <w:r w:rsidRPr="004210E9">
              <w:rPr>
                <w:b/>
                <w:lang w:eastAsia="zh-HK"/>
              </w:rPr>
              <w:t>認的權利及行使有關權利時不會受到歧</w:t>
            </w:r>
            <w:r w:rsidRPr="004210E9">
              <w:rPr>
                <w:b/>
              </w:rPr>
              <w:t>視</w:t>
            </w:r>
          </w:p>
        </w:tc>
      </w:tr>
      <w:tr w:rsidR="002E445E" w:rsidRPr="004210E9" w:rsidTr="00A71DE2">
        <w:trPr>
          <w:cantSplit/>
          <w:trHeight w:val="20"/>
        </w:trPr>
        <w:tc>
          <w:tcPr>
            <w:tcW w:w="2638" w:type="dxa"/>
          </w:tcPr>
          <w:p w:rsidR="002E445E" w:rsidRPr="004210E9" w:rsidRDefault="002E445E" w:rsidP="005C4451">
            <w:pPr>
              <w:spacing w:after="150"/>
            </w:pPr>
            <w:r w:rsidRPr="004210E9">
              <w:t>憲制保障</w:t>
            </w:r>
          </w:p>
        </w:tc>
        <w:tc>
          <w:tcPr>
            <w:tcW w:w="540" w:type="dxa"/>
          </w:tcPr>
          <w:p w:rsidR="002E445E" w:rsidRPr="007F224C" w:rsidRDefault="007F224C" w:rsidP="002E445E">
            <w:pPr>
              <w:adjustRightInd w:val="0"/>
              <w:spacing w:after="150"/>
              <w:ind w:right="144"/>
              <w:jc w:val="both"/>
              <w:textAlignment w:val="baseline"/>
              <w:rPr>
                <w:sz w:val="32"/>
                <w:lang w:val="en-GB"/>
              </w:rPr>
            </w:pPr>
            <w:r>
              <w:rPr>
                <w:rFonts w:ascii="標楷體" w:hAnsi="標楷體" w:hint="eastAsia"/>
                <w:sz w:val="32"/>
                <w:lang w:val="en-GB"/>
              </w:rPr>
              <w:t>－</w:t>
            </w:r>
          </w:p>
        </w:tc>
        <w:tc>
          <w:tcPr>
            <w:tcW w:w="5616" w:type="dxa"/>
          </w:tcPr>
          <w:p w:rsidR="002E445E" w:rsidRPr="004210E9" w:rsidRDefault="002E445E" w:rsidP="00342147">
            <w:pPr>
              <w:tabs>
                <w:tab w:val="left" w:pos="150"/>
              </w:tabs>
              <w:spacing w:after="150"/>
              <w:ind w:right="285"/>
              <w:jc w:val="both"/>
            </w:pPr>
            <w:r w:rsidRPr="004210E9">
              <w:rPr>
                <w:lang w:eastAsia="zh-HK"/>
              </w:rPr>
              <w:t>《基本法》第</w:t>
            </w:r>
            <w:r w:rsidRPr="004210E9">
              <w:rPr>
                <w:rFonts w:hint="eastAsia"/>
                <w:lang w:eastAsia="zh-HK"/>
              </w:rPr>
              <w:t>三十九</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pPr>
            <w:r w:rsidRPr="004210E9">
              <w:t>立法措施</w:t>
            </w: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t>《高等法院規則》</w:t>
            </w:r>
            <w:r w:rsidRPr="004210E9">
              <w:rPr>
                <w:lang w:eastAsia="zh-HK"/>
              </w:rPr>
              <w:t>（第</w:t>
            </w:r>
            <w:r w:rsidRPr="004210E9">
              <w:t>4</w:t>
            </w:r>
            <w:r w:rsidRPr="004210E9">
              <w:rPr>
                <w:lang w:eastAsia="zh-HK"/>
              </w:rPr>
              <w:t>章附</w:t>
            </w:r>
            <w:r w:rsidRPr="004210E9">
              <w:rPr>
                <w:rFonts w:hint="eastAsia"/>
                <w:lang w:eastAsia="zh-HK"/>
              </w:rPr>
              <w:t>屬法</w:t>
            </w:r>
            <w:r w:rsidRPr="004210E9">
              <w:rPr>
                <w:lang w:eastAsia="zh-HK"/>
              </w:rPr>
              <w:t>例</w:t>
            </w:r>
            <w:r w:rsidRPr="004210E9">
              <w:t>A</w:t>
            </w:r>
            <w:r w:rsidRPr="004210E9">
              <w:rPr>
                <w:lang w:eastAsia="zh-HK"/>
              </w:rPr>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rPr>
                <w:lang w:eastAsia="zh-HK"/>
              </w:rPr>
              <w:t>《僱傭條例》</w:t>
            </w:r>
            <w:r w:rsidRPr="004210E9">
              <w:t>（</w:t>
            </w:r>
            <w:r w:rsidRPr="004210E9">
              <w:rPr>
                <w:lang w:eastAsia="zh-HK"/>
              </w:rPr>
              <w:t>第</w:t>
            </w:r>
            <w:r w:rsidRPr="004210E9">
              <w:t>57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t>《精神健康條例》（</w:t>
            </w:r>
            <w:r w:rsidRPr="004210E9">
              <w:rPr>
                <w:lang w:eastAsia="zh-HK"/>
              </w:rPr>
              <w:t>第</w:t>
            </w:r>
            <w:r w:rsidRPr="004210E9">
              <w:t>136</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t>《刑事罪行條例》（</w:t>
            </w:r>
            <w:r w:rsidRPr="004210E9">
              <w:rPr>
                <w:lang w:eastAsia="zh-HK"/>
              </w:rPr>
              <w:t>第</w:t>
            </w:r>
            <w:r w:rsidRPr="004210E9">
              <w:t>200</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rPr>
                <w:bCs/>
              </w:rPr>
              <w:t>《刑事訴訟程序條例》</w:t>
            </w:r>
            <w:r w:rsidRPr="004210E9">
              <w:t>（</w:t>
            </w:r>
            <w:r w:rsidRPr="004210E9">
              <w:rPr>
                <w:lang w:eastAsia="zh-HK"/>
              </w:rPr>
              <w:t>第</w:t>
            </w:r>
            <w:r w:rsidRPr="004210E9">
              <w:t>221</w:t>
            </w:r>
            <w:r w:rsidRPr="004210E9">
              <w:rPr>
                <w:lang w:eastAsia="zh-HK"/>
              </w:rPr>
              <w:t>章</w:t>
            </w:r>
            <w:r w:rsidRPr="004210E9">
              <w:t>）</w:t>
            </w:r>
            <w:r w:rsidRPr="004210E9">
              <w:t xml:space="preserve"> </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t>《香港人權法案條例》（</w:t>
            </w:r>
            <w:r w:rsidRPr="004210E9">
              <w:rPr>
                <w:lang w:eastAsia="zh-HK"/>
              </w:rPr>
              <w:t>第</w:t>
            </w:r>
            <w:r w:rsidRPr="004210E9">
              <w:t>383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rPr>
                <w:lang w:eastAsia="zh-HK"/>
              </w:rPr>
              <w:t>《性別歧</w:t>
            </w:r>
            <w:r w:rsidRPr="004210E9">
              <w:t>視</w:t>
            </w:r>
            <w:r w:rsidRPr="004210E9">
              <w:rPr>
                <w:lang w:eastAsia="zh-HK"/>
              </w:rPr>
              <w:t>條例》</w:t>
            </w:r>
            <w:r w:rsidRPr="004210E9">
              <w:t>（</w:t>
            </w:r>
            <w:r w:rsidRPr="004210E9">
              <w:rPr>
                <w:lang w:eastAsia="zh-HK"/>
              </w:rPr>
              <w:t>第</w:t>
            </w:r>
            <w:r w:rsidRPr="004210E9">
              <w:t>480</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rPr>
                <w:lang w:eastAsia="zh-HK"/>
              </w:rPr>
              <w:t>《殘</w:t>
            </w:r>
            <w:r w:rsidRPr="004210E9">
              <w:t>疾</w:t>
            </w:r>
            <w:r w:rsidRPr="004210E9">
              <w:rPr>
                <w:lang w:eastAsia="zh-HK"/>
              </w:rPr>
              <w:t>歧</w:t>
            </w:r>
            <w:r w:rsidRPr="004210E9">
              <w:t>視</w:t>
            </w:r>
            <w:r w:rsidRPr="004210E9">
              <w:rPr>
                <w:lang w:eastAsia="zh-HK"/>
              </w:rPr>
              <w:t>條例》</w:t>
            </w:r>
            <w:r w:rsidRPr="004210E9">
              <w:t>（</w:t>
            </w:r>
            <w:r w:rsidRPr="004210E9">
              <w:rPr>
                <w:lang w:eastAsia="zh-HK"/>
              </w:rPr>
              <w:t>第</w:t>
            </w:r>
            <w:r w:rsidRPr="004210E9">
              <w:t>487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rPr>
                <w:lang w:eastAsia="zh-HK"/>
              </w:rPr>
              <w:t>《家</w:t>
            </w:r>
            <w:r w:rsidRPr="004210E9">
              <w:t>庭</w:t>
            </w:r>
            <w:r w:rsidRPr="004210E9">
              <w:rPr>
                <w:lang w:eastAsia="zh-HK"/>
              </w:rPr>
              <w:t>崗位歧</w:t>
            </w:r>
            <w:r w:rsidRPr="004210E9">
              <w:t>視</w:t>
            </w:r>
            <w:r w:rsidRPr="004210E9">
              <w:rPr>
                <w:lang w:eastAsia="zh-HK"/>
              </w:rPr>
              <w:t>條例》</w:t>
            </w:r>
            <w:r w:rsidRPr="004210E9">
              <w:t>（</w:t>
            </w:r>
            <w:r w:rsidRPr="004210E9">
              <w:rPr>
                <w:lang w:eastAsia="zh-HK"/>
              </w:rPr>
              <w:t>第</w:t>
            </w:r>
            <w:r w:rsidRPr="004210E9">
              <w:t>527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01788C">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jc w:val="both"/>
            </w:pPr>
            <w:r w:rsidRPr="004210E9">
              <w:rPr>
                <w:lang w:eastAsia="zh-HK"/>
              </w:rPr>
              <w:t>《種</w:t>
            </w:r>
            <w:r w:rsidRPr="004210E9">
              <w:t>族</w:t>
            </w:r>
            <w:r w:rsidRPr="004210E9">
              <w:rPr>
                <w:lang w:eastAsia="zh-HK"/>
              </w:rPr>
              <w:t>歧</w:t>
            </w:r>
            <w:r w:rsidRPr="004210E9">
              <w:t>視</w:t>
            </w:r>
            <w:r w:rsidRPr="004210E9">
              <w:rPr>
                <w:lang w:eastAsia="zh-HK"/>
              </w:rPr>
              <w:t>條例》</w:t>
            </w:r>
            <w:r w:rsidRPr="004210E9">
              <w:t>（</w:t>
            </w:r>
            <w:r w:rsidRPr="004210E9">
              <w:rPr>
                <w:lang w:eastAsia="zh-HK"/>
              </w:rPr>
              <w:t>第</w:t>
            </w:r>
            <w:r w:rsidRPr="004210E9">
              <w:t>602</w:t>
            </w:r>
            <w:r w:rsidRPr="004210E9">
              <w:rPr>
                <w:lang w:eastAsia="zh-HK"/>
              </w:rPr>
              <w:t>章</w:t>
            </w:r>
            <w:r w:rsidRPr="004210E9">
              <w:t>）</w:t>
            </w:r>
          </w:p>
          <w:p w:rsidR="007F224C" w:rsidRPr="004210E9" w:rsidRDefault="007F224C" w:rsidP="007F224C">
            <w:pPr>
              <w:tabs>
                <w:tab w:val="left" w:pos="150"/>
              </w:tabs>
              <w:spacing w:after="150"/>
              <w:ind w:right="285"/>
              <w:jc w:val="both"/>
            </w:pPr>
          </w:p>
        </w:tc>
      </w:tr>
      <w:tr w:rsidR="002E445E" w:rsidRPr="004210E9" w:rsidTr="00A71DE2">
        <w:trPr>
          <w:cantSplit/>
          <w:trHeight w:val="20"/>
        </w:trPr>
        <w:tc>
          <w:tcPr>
            <w:tcW w:w="8794" w:type="dxa"/>
            <w:gridSpan w:val="3"/>
          </w:tcPr>
          <w:p w:rsidR="002E445E" w:rsidRPr="004210E9" w:rsidRDefault="002E445E" w:rsidP="00342147">
            <w:pPr>
              <w:tabs>
                <w:tab w:val="left" w:pos="86"/>
              </w:tabs>
              <w:spacing w:after="150"/>
              <w:ind w:right="285"/>
              <w:jc w:val="both"/>
              <w:rPr>
                <w:b/>
                <w:u w:val="single"/>
              </w:rPr>
            </w:pPr>
            <w:r w:rsidRPr="004210E9">
              <w:rPr>
                <w:b/>
                <w:u w:val="single"/>
                <w:lang w:eastAsia="zh-HK"/>
              </w:rPr>
              <w:t>第三條</w:t>
            </w:r>
          </w:p>
          <w:p w:rsidR="002E445E" w:rsidRPr="004210E9" w:rsidRDefault="002E445E" w:rsidP="00342147">
            <w:pPr>
              <w:tabs>
                <w:tab w:val="left" w:pos="86"/>
              </w:tabs>
              <w:spacing w:after="150"/>
              <w:ind w:right="285"/>
              <w:jc w:val="both"/>
            </w:pPr>
            <w:r w:rsidRPr="004210E9">
              <w:rPr>
                <w:b/>
                <w:lang w:eastAsia="zh-HK"/>
              </w:rPr>
              <w:t>男女享有平等權利</w:t>
            </w:r>
          </w:p>
        </w:tc>
      </w:tr>
      <w:tr w:rsidR="00A71DE2" w:rsidRPr="004210E9" w:rsidTr="00A71DE2">
        <w:trPr>
          <w:cantSplit/>
          <w:trHeight w:val="20"/>
        </w:trPr>
        <w:tc>
          <w:tcPr>
            <w:tcW w:w="2638" w:type="dxa"/>
          </w:tcPr>
          <w:p w:rsidR="00A71DE2" w:rsidRPr="004210E9" w:rsidRDefault="00A71DE2" w:rsidP="00A71DE2">
            <w:pPr>
              <w:spacing w:after="150"/>
            </w:pPr>
            <w:r w:rsidRPr="004210E9">
              <w:t>憲制保障</w:t>
            </w: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《基本法》第</w:t>
            </w:r>
            <w:r w:rsidRPr="004210E9">
              <w:rPr>
                <w:rFonts w:hint="eastAsia"/>
                <w:lang w:eastAsia="zh-HK"/>
              </w:rPr>
              <w:t>二十五</w:t>
            </w:r>
            <w:r w:rsidRPr="004210E9">
              <w:t>條</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《香港人權法案條例》（第</w:t>
            </w:r>
            <w:r w:rsidRPr="004210E9">
              <w:t>383</w:t>
            </w:r>
            <w:r w:rsidRPr="004210E9">
              <w:t>章）第</w:t>
            </w:r>
            <w:r w:rsidRPr="004210E9">
              <w:t>1</w:t>
            </w:r>
            <w:r w:rsidRPr="004210E9">
              <w:t>條及第</w:t>
            </w:r>
            <w:r w:rsidRPr="004210E9">
              <w:t>22</w:t>
            </w:r>
            <w:r w:rsidRPr="004210E9">
              <w:t>條</w:t>
            </w:r>
          </w:p>
        </w:tc>
      </w:tr>
      <w:tr w:rsidR="00A71DE2" w:rsidRPr="004210E9" w:rsidTr="00A71DE2">
        <w:trPr>
          <w:cantSplit/>
          <w:trHeight w:val="20"/>
        </w:trPr>
        <w:tc>
          <w:tcPr>
            <w:tcW w:w="2638" w:type="dxa"/>
          </w:tcPr>
          <w:p w:rsidR="00A71DE2" w:rsidRPr="004210E9" w:rsidRDefault="00A71DE2" w:rsidP="00A71DE2">
            <w:pPr>
              <w:spacing w:after="150"/>
            </w:pPr>
            <w:r w:rsidRPr="004210E9">
              <w:t>立法措施</w:t>
            </w: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《性別歧視條例》（第</w:t>
            </w:r>
            <w:r w:rsidRPr="004210E9">
              <w:t>480</w:t>
            </w:r>
            <w:r w:rsidRPr="004210E9">
              <w:t>章）</w:t>
            </w:r>
          </w:p>
          <w:p w:rsidR="00A71DE2" w:rsidRPr="004210E9" w:rsidRDefault="00A71DE2" w:rsidP="00A71DE2">
            <w:pPr>
              <w:tabs>
                <w:tab w:val="left" w:pos="150"/>
              </w:tabs>
              <w:spacing w:after="150"/>
              <w:ind w:right="285"/>
              <w:jc w:val="both"/>
            </w:pPr>
          </w:p>
          <w:p w:rsidR="00A71DE2" w:rsidRPr="004210E9" w:rsidRDefault="00A71DE2" w:rsidP="00A71DE2">
            <w:pPr>
              <w:tabs>
                <w:tab w:val="left" w:pos="150"/>
              </w:tabs>
              <w:spacing w:after="150"/>
              <w:ind w:right="285"/>
              <w:jc w:val="both"/>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u w:val="single"/>
              </w:rPr>
            </w:pPr>
            <w:r w:rsidRPr="004210E9">
              <w:rPr>
                <w:b/>
                <w:u w:val="single"/>
                <w:lang w:eastAsia="zh-HK"/>
              </w:rPr>
              <w:lastRenderedPageBreak/>
              <w:t>第六條</w:t>
            </w:r>
          </w:p>
          <w:p w:rsidR="002E445E" w:rsidRPr="004210E9" w:rsidRDefault="002E445E" w:rsidP="005C4451">
            <w:pPr>
              <w:tabs>
                <w:tab w:val="left" w:pos="86"/>
              </w:tabs>
              <w:spacing w:after="150"/>
              <w:ind w:right="285"/>
            </w:pPr>
            <w:r w:rsidRPr="004210E9">
              <w:rPr>
                <w:b/>
                <w:lang w:eastAsia="zh-HK"/>
              </w:rPr>
              <w:t>選</w:t>
            </w:r>
            <w:r w:rsidRPr="004210E9">
              <w:rPr>
                <w:b/>
              </w:rPr>
              <w:t>擇</w:t>
            </w:r>
            <w:r w:rsidRPr="004210E9">
              <w:rPr>
                <w:b/>
                <w:lang w:eastAsia="zh-HK"/>
              </w:rPr>
              <w:t>職</w:t>
            </w:r>
            <w:r w:rsidRPr="004210E9">
              <w:rPr>
                <w:b/>
              </w:rPr>
              <w:t>業</w:t>
            </w:r>
            <w:r w:rsidRPr="004210E9">
              <w:rPr>
                <w:b/>
                <w:lang w:eastAsia="zh-HK"/>
              </w:rPr>
              <w:t>和勞工權利</w:t>
            </w:r>
          </w:p>
        </w:tc>
      </w:tr>
      <w:tr w:rsidR="00A71DE2" w:rsidRPr="004210E9" w:rsidTr="00A71DE2">
        <w:trPr>
          <w:cantSplit/>
          <w:trHeight w:val="20"/>
        </w:trPr>
        <w:tc>
          <w:tcPr>
            <w:tcW w:w="2638" w:type="dxa"/>
          </w:tcPr>
          <w:p w:rsidR="00A71DE2" w:rsidRPr="004210E9" w:rsidRDefault="00A71DE2" w:rsidP="00A71DE2">
            <w:pPr>
              <w:spacing w:after="150"/>
            </w:pPr>
            <w:r w:rsidRPr="004210E9">
              <w:t>憲制保障</w:t>
            </w: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86"/>
              </w:tabs>
              <w:spacing w:after="150"/>
              <w:ind w:right="285"/>
              <w:jc w:val="both"/>
            </w:pPr>
            <w:r w:rsidRPr="004210E9">
              <w:rPr>
                <w:lang w:eastAsia="zh-HK"/>
              </w:rPr>
              <w:t>《基本法》第</w:t>
            </w:r>
            <w:r w:rsidRPr="004210E9">
              <w:rPr>
                <w:rFonts w:hint="eastAsia"/>
                <w:lang w:eastAsia="zh-HK"/>
              </w:rPr>
              <w:t>三十三</w:t>
            </w:r>
            <w:r w:rsidRPr="004210E9">
              <w:rPr>
                <w:lang w:eastAsia="zh-HK"/>
              </w:rPr>
              <w:t>條及第</w:t>
            </w:r>
            <w:r w:rsidRPr="004210E9">
              <w:rPr>
                <w:rFonts w:hint="eastAsia"/>
                <w:lang w:eastAsia="zh-HK"/>
              </w:rPr>
              <w:t>一百四十七</w:t>
            </w:r>
            <w:r w:rsidRPr="004210E9">
              <w:rPr>
                <w:lang w:eastAsia="zh-HK"/>
              </w:rPr>
              <w:t>條</w:t>
            </w:r>
          </w:p>
        </w:tc>
      </w:tr>
      <w:tr w:rsidR="00A71DE2" w:rsidRPr="004210E9" w:rsidTr="00A71DE2">
        <w:trPr>
          <w:cantSplit/>
          <w:trHeight w:val="20"/>
        </w:trPr>
        <w:tc>
          <w:tcPr>
            <w:tcW w:w="2638" w:type="dxa"/>
          </w:tcPr>
          <w:p w:rsidR="00A71DE2" w:rsidRPr="004210E9" w:rsidRDefault="00A71DE2" w:rsidP="00A71DE2">
            <w:pPr>
              <w:spacing w:after="150"/>
            </w:pPr>
            <w:r w:rsidRPr="004210E9">
              <w:t>立法措施</w:t>
            </w: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《學徒制度條例》（第</w:t>
            </w:r>
            <w:r w:rsidRPr="004210E9">
              <w:t>47</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342147" w:rsidRDefault="00A71DE2" w:rsidP="00A71DE2">
            <w:pPr>
              <w:tabs>
                <w:tab w:val="left" w:pos="150"/>
              </w:tabs>
              <w:spacing w:after="150"/>
              <w:ind w:right="285"/>
              <w:jc w:val="both"/>
              <w:rPr>
                <w:spacing w:val="6"/>
              </w:rPr>
            </w:pPr>
            <w:r w:rsidRPr="00342147">
              <w:rPr>
                <w:spacing w:val="6"/>
              </w:rPr>
              <w:t>《僱傭條例》（第</w:t>
            </w:r>
            <w:r w:rsidRPr="00342147">
              <w:rPr>
                <w:spacing w:val="6"/>
              </w:rPr>
              <w:t>57</w:t>
            </w:r>
            <w:r w:rsidRPr="00342147">
              <w:rPr>
                <w:spacing w:val="6"/>
              </w:rPr>
              <w:t>章）下的《僱用兒童規例》（第</w:t>
            </w:r>
            <w:r w:rsidRPr="00342147">
              <w:rPr>
                <w:spacing w:val="6"/>
              </w:rPr>
              <w:t>57</w:t>
            </w:r>
            <w:r w:rsidRPr="00342147">
              <w:rPr>
                <w:spacing w:val="6"/>
              </w:rPr>
              <w:t>章附</w:t>
            </w:r>
            <w:r w:rsidRPr="00342147">
              <w:rPr>
                <w:rFonts w:hint="eastAsia"/>
                <w:spacing w:val="6"/>
                <w:lang w:eastAsia="zh-HK"/>
              </w:rPr>
              <w:t>屬法</w:t>
            </w:r>
            <w:r w:rsidRPr="00342147">
              <w:rPr>
                <w:spacing w:val="6"/>
              </w:rPr>
              <w:t>例</w:t>
            </w:r>
            <w:r w:rsidRPr="00342147">
              <w:rPr>
                <w:spacing w:val="6"/>
              </w:rPr>
              <w:t>B</w:t>
            </w:r>
            <w:r w:rsidRPr="00342147">
              <w:rPr>
                <w:spacing w:val="6"/>
              </w:rPr>
              <w:t>）</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《入境條例》（第</w:t>
            </w:r>
            <w:r w:rsidRPr="004210E9">
              <w:t>115</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《僱員再培訓條例》（第</w:t>
            </w:r>
            <w:r w:rsidRPr="004210E9">
              <w:t>423</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《性別歧視條例》（第</w:t>
            </w:r>
            <w:r w:rsidRPr="004210E9">
              <w:t>480</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《殘疾歧視條例》（第</w:t>
            </w:r>
            <w:r w:rsidRPr="004210E9">
              <w:t>487</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《家庭崗位歧視條例》（第</w:t>
            </w:r>
            <w:r w:rsidRPr="004210E9">
              <w:t>527</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《建造業工人註冊條例》（第</w:t>
            </w:r>
            <w:r w:rsidRPr="004210E9">
              <w:t>583</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jc w:val="both"/>
            </w:pPr>
            <w:r w:rsidRPr="004210E9">
              <w:t>《種族歧視條例》（第</w:t>
            </w:r>
            <w:r w:rsidRPr="004210E9">
              <w:t>602</w:t>
            </w:r>
            <w:r w:rsidRPr="004210E9">
              <w:t>章）</w:t>
            </w:r>
          </w:p>
          <w:p w:rsidR="00A71DE2" w:rsidRPr="004210E9" w:rsidRDefault="00A71DE2" w:rsidP="00A71DE2">
            <w:pPr>
              <w:tabs>
                <w:tab w:val="left" w:pos="150"/>
              </w:tabs>
              <w:spacing w:after="150"/>
              <w:ind w:right="285"/>
              <w:jc w:val="both"/>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80"/>
              <w:ind w:right="285"/>
              <w:rPr>
                <w:b/>
                <w:u w:val="single"/>
              </w:rPr>
            </w:pPr>
            <w:r w:rsidRPr="004210E9">
              <w:rPr>
                <w:b/>
                <w:u w:val="single"/>
                <w:lang w:eastAsia="zh-HK"/>
              </w:rPr>
              <w:t>第七條</w:t>
            </w:r>
          </w:p>
          <w:p w:rsidR="002E445E" w:rsidRPr="004210E9" w:rsidRDefault="002E445E" w:rsidP="005C4451">
            <w:pPr>
              <w:tabs>
                <w:tab w:val="left" w:pos="86"/>
              </w:tabs>
              <w:spacing w:after="150"/>
              <w:ind w:right="285"/>
              <w:rPr>
                <w:lang w:eastAsia="zh-HK"/>
              </w:rPr>
            </w:pPr>
            <w:r w:rsidRPr="004210E9">
              <w:rPr>
                <w:b/>
                <w:lang w:eastAsia="zh-HK"/>
              </w:rPr>
              <w:t>享</w:t>
            </w:r>
            <w:r w:rsidRPr="004210E9">
              <w:rPr>
                <w:b/>
              </w:rPr>
              <w:t>受</w:t>
            </w:r>
            <w:r w:rsidRPr="004210E9">
              <w:rPr>
                <w:b/>
                <w:lang w:eastAsia="zh-HK"/>
              </w:rPr>
              <w:t>公平與良好工</w:t>
            </w:r>
            <w:r w:rsidRPr="004210E9">
              <w:rPr>
                <w:b/>
              </w:rPr>
              <w:t>作</w:t>
            </w:r>
            <w:r w:rsidRPr="004210E9">
              <w:rPr>
                <w:b/>
                <w:lang w:eastAsia="zh-HK"/>
              </w:rPr>
              <w:t>條件的權利</w:t>
            </w:r>
          </w:p>
        </w:tc>
      </w:tr>
      <w:tr w:rsidR="002E445E" w:rsidRPr="004210E9" w:rsidTr="00A71DE2">
        <w:trPr>
          <w:cantSplit/>
          <w:trHeight w:val="20"/>
        </w:trPr>
        <w:tc>
          <w:tcPr>
            <w:tcW w:w="2638" w:type="dxa"/>
          </w:tcPr>
          <w:p w:rsidR="002E445E" w:rsidRPr="004210E9" w:rsidRDefault="002E445E" w:rsidP="005C4451">
            <w:pPr>
              <w:spacing w:after="150"/>
            </w:pPr>
            <w:r w:rsidRPr="004210E9">
              <w:rPr>
                <w:lang w:eastAsia="zh-HK"/>
              </w:rPr>
              <w:t>立法措</w:t>
            </w:r>
            <w:r w:rsidRPr="004210E9">
              <w:t>施</w:t>
            </w:r>
          </w:p>
        </w:tc>
        <w:tc>
          <w:tcPr>
            <w:tcW w:w="540" w:type="dxa"/>
          </w:tcPr>
          <w:p w:rsidR="002E445E" w:rsidRPr="004210E9" w:rsidRDefault="007F224C" w:rsidP="002E445E">
            <w:pPr>
              <w:adjustRightInd w:val="0"/>
              <w:spacing w:after="150"/>
              <w:ind w:right="144"/>
              <w:jc w:val="both"/>
              <w:textAlignment w:val="baseline"/>
              <w:rPr>
                <w:lang w:eastAsia="zh-HK"/>
              </w:rPr>
            </w:pPr>
            <w:r>
              <w:rPr>
                <w:rFonts w:ascii="標楷體" w:hAnsi="標楷體" w:hint="eastAsia"/>
                <w:sz w:val="32"/>
                <w:lang w:val="en-GB"/>
              </w:rPr>
              <w:t>－</w:t>
            </w:r>
          </w:p>
        </w:tc>
        <w:tc>
          <w:tcPr>
            <w:tcW w:w="5616" w:type="dxa"/>
          </w:tcPr>
          <w:p w:rsidR="002E445E" w:rsidRPr="004210E9" w:rsidRDefault="002E445E" w:rsidP="005C4451">
            <w:pPr>
              <w:tabs>
                <w:tab w:val="left" w:pos="86"/>
              </w:tabs>
              <w:spacing w:after="160"/>
              <w:ind w:right="285"/>
            </w:pPr>
            <w:r w:rsidRPr="004210E9">
              <w:t>《勞資審裁處條例》（</w:t>
            </w:r>
            <w:r w:rsidRPr="004210E9">
              <w:rPr>
                <w:lang w:eastAsia="zh-HK"/>
              </w:rPr>
              <w:t>第</w:t>
            </w:r>
            <w:r w:rsidRPr="004210E9">
              <w:t>25</w:t>
            </w:r>
            <w:r w:rsidRPr="004210E9">
              <w:rPr>
                <w:lang w:eastAsia="zh-HK"/>
              </w:rPr>
              <w:t>章</w:t>
            </w:r>
            <w:r w:rsidRPr="004210E9">
              <w:t>）</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《鍋爐及壓力容器條例》（第</w:t>
            </w:r>
            <w:r w:rsidRPr="004210E9">
              <w:t>56</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《僱傭條例》（第</w:t>
            </w:r>
            <w:r w:rsidRPr="004210E9">
              <w:t>57</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《僱傭條例》（第</w:t>
            </w:r>
            <w:r w:rsidRPr="004210E9">
              <w:t>57</w:t>
            </w:r>
            <w:r w:rsidRPr="004210E9">
              <w:t>章）下的《僱用青年（工業）規例》（第</w:t>
            </w:r>
            <w:r w:rsidRPr="004210E9">
              <w:t>57</w:t>
            </w:r>
            <w:r w:rsidRPr="004210E9">
              <w:t>章附</w:t>
            </w:r>
            <w:r w:rsidRPr="004210E9">
              <w:rPr>
                <w:rFonts w:hint="eastAsia"/>
                <w:lang w:eastAsia="zh-HK"/>
              </w:rPr>
              <w:t>屬法</w:t>
            </w:r>
            <w:r w:rsidRPr="004210E9">
              <w:t>例</w:t>
            </w:r>
            <w:r w:rsidRPr="004210E9">
              <w:t>C</w:t>
            </w:r>
            <w:r w:rsidRPr="004210E9">
              <w:t>）</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《工廠及工業經營條例》（第</w:t>
            </w:r>
            <w:r w:rsidRPr="004210E9">
              <w:t>59</w:t>
            </w:r>
            <w:r w:rsidRPr="004210E9">
              <w:t>章）及其附</w:t>
            </w:r>
            <w:r w:rsidRPr="004210E9">
              <w:rPr>
                <w:rFonts w:hint="eastAsia"/>
                <w:lang w:eastAsia="zh-HK"/>
              </w:rPr>
              <w:t>屬法</w:t>
            </w:r>
            <w:r w:rsidRPr="004210E9">
              <w:t>例</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《刑事罪行條例》（第</w:t>
            </w:r>
            <w:r w:rsidRPr="004210E9">
              <w:t>200</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《侵害人身罪條例》（第</w:t>
            </w:r>
            <w:r w:rsidRPr="004210E9">
              <w:t>212</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Pr="004210E9" w:rsidRDefault="00A71DE2" w:rsidP="00A71DE2">
            <w:pPr>
              <w:tabs>
                <w:tab w:val="left" w:pos="150"/>
              </w:tabs>
              <w:spacing w:after="150"/>
              <w:ind w:right="285"/>
            </w:pPr>
            <w:r w:rsidRPr="004210E9">
              <w:t>《僱員補償條例》（第</w:t>
            </w:r>
            <w:r w:rsidRPr="004210E9">
              <w:t>282</w:t>
            </w:r>
            <w:r w:rsidRPr="004210E9">
              <w:t>章）</w:t>
            </w:r>
          </w:p>
        </w:tc>
      </w:tr>
      <w:tr w:rsidR="00A71DE2" w:rsidRPr="004210E9" w:rsidTr="00A71DE2">
        <w:trPr>
          <w:cantSplit/>
          <w:trHeight w:val="20"/>
        </w:trPr>
        <w:tc>
          <w:tcPr>
            <w:tcW w:w="2638" w:type="dxa"/>
          </w:tcPr>
          <w:p w:rsidR="00A71DE2" w:rsidRPr="004210E9" w:rsidRDefault="00A71DE2" w:rsidP="00A71DE2">
            <w:pPr>
              <w:spacing w:after="150"/>
            </w:pPr>
          </w:p>
        </w:tc>
        <w:tc>
          <w:tcPr>
            <w:tcW w:w="540" w:type="dxa"/>
          </w:tcPr>
          <w:p w:rsidR="00A71DE2" w:rsidRDefault="007F224C" w:rsidP="00A71DE2">
            <w:r>
              <w:rPr>
                <w:rFonts w:ascii="標楷體" w:hAnsi="標楷體" w:hint="eastAsia"/>
                <w:sz w:val="32"/>
                <w:lang w:val="en-GB"/>
              </w:rPr>
              <w:t>－</w:t>
            </w:r>
          </w:p>
        </w:tc>
        <w:tc>
          <w:tcPr>
            <w:tcW w:w="5616" w:type="dxa"/>
          </w:tcPr>
          <w:p w:rsidR="00A71DE2" w:rsidRDefault="00A71DE2" w:rsidP="00A71DE2">
            <w:pPr>
              <w:tabs>
                <w:tab w:val="left" w:pos="150"/>
              </w:tabs>
              <w:spacing w:after="150"/>
              <w:ind w:right="285"/>
            </w:pPr>
            <w:r w:rsidRPr="004210E9">
              <w:t>《礦務條例》（第</w:t>
            </w:r>
            <w:r w:rsidRPr="004210E9">
              <w:t>285</w:t>
            </w:r>
            <w:r w:rsidRPr="004210E9">
              <w:t>章）</w:t>
            </w:r>
          </w:p>
          <w:p w:rsidR="00A71DE2" w:rsidRPr="004210E9" w:rsidRDefault="00A71DE2" w:rsidP="00A71DE2">
            <w:pPr>
              <w:tabs>
                <w:tab w:val="left" w:pos="150"/>
              </w:tabs>
              <w:spacing w:after="150"/>
              <w:ind w:right="285"/>
            </w:pP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《危險品條例》（第</w:t>
            </w:r>
            <w:r w:rsidRPr="004210E9">
              <w:t>295</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《輻射條例》（第</w:t>
            </w:r>
            <w:r w:rsidRPr="004210E9">
              <w:t>303</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《肺塵埃沉着病及間皮瘤（補償）條例》（第</w:t>
            </w:r>
            <w:r w:rsidRPr="004210E9">
              <w:t>360</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《破產欠薪保障條例》（第</w:t>
            </w:r>
            <w:r w:rsidRPr="004210E9">
              <w:t>380</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《小額薪酬索償仲裁處條例》（第</w:t>
            </w:r>
            <w:r w:rsidRPr="004210E9">
              <w:t>453</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《職業性失聰（補償）條例》（第</w:t>
            </w:r>
            <w:r w:rsidRPr="004210E9">
              <w:t>469</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120"/>
            </w:pPr>
            <w:r w:rsidRPr="004210E9">
              <w:t>《建築工地升降機及塔式工作平台（安全）條例》（第</w:t>
            </w:r>
            <w:r w:rsidRPr="004210E9">
              <w:t>470</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《性別歧視條例》（第</w:t>
            </w:r>
            <w:r w:rsidRPr="004210E9">
              <w:t>480</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《殘疾歧視條例》（第</w:t>
            </w:r>
            <w:r w:rsidRPr="004210E9">
              <w:t>487</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《職業安全及健康條例》（第</w:t>
            </w:r>
            <w:r w:rsidRPr="004210E9">
              <w:t>509</w:t>
            </w:r>
            <w:r w:rsidRPr="004210E9">
              <w:t>章）及其附</w:t>
            </w:r>
            <w:r w:rsidRPr="004210E9">
              <w:rPr>
                <w:rFonts w:hint="eastAsia"/>
                <w:lang w:eastAsia="zh-HK"/>
              </w:rPr>
              <w:t>屬法</w:t>
            </w:r>
            <w:r w:rsidRPr="004210E9">
              <w:t>例</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《家庭崗位歧視氣例》（第</w:t>
            </w:r>
            <w:r w:rsidRPr="004210E9">
              <w:t>527</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《種族歧視條例》（第</w:t>
            </w:r>
            <w:r w:rsidRPr="004210E9">
              <w:t>602</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7F6EE2">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《最低工資條例》（第</w:t>
            </w:r>
            <w:r w:rsidRPr="004210E9">
              <w:t>608</w:t>
            </w:r>
            <w:r w:rsidRPr="004210E9">
              <w:t>章）</w:t>
            </w: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80"/>
              <w:ind w:right="285"/>
              <w:rPr>
                <w:b/>
                <w:u w:val="single"/>
                <w:lang w:eastAsia="zh-HK"/>
              </w:rPr>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u w:val="single"/>
              </w:rPr>
            </w:pPr>
            <w:r w:rsidRPr="004210E9">
              <w:rPr>
                <w:b/>
                <w:u w:val="single"/>
                <w:lang w:eastAsia="zh-HK"/>
              </w:rPr>
              <w:t>第八條</w:t>
            </w:r>
          </w:p>
          <w:p w:rsidR="002E445E" w:rsidRPr="004210E9" w:rsidRDefault="002E445E" w:rsidP="005C4451">
            <w:pPr>
              <w:tabs>
                <w:tab w:val="left" w:pos="86"/>
              </w:tabs>
              <w:spacing w:after="150"/>
              <w:ind w:right="285"/>
            </w:pPr>
            <w:r w:rsidRPr="004210E9">
              <w:rPr>
                <w:b/>
                <w:lang w:eastAsia="zh-HK"/>
              </w:rPr>
              <w:t>成為職工會會員的權利</w:t>
            </w:r>
          </w:p>
        </w:tc>
      </w:tr>
      <w:tr w:rsidR="007F224C" w:rsidRPr="004210E9" w:rsidTr="00A71DE2">
        <w:trPr>
          <w:cantSplit/>
          <w:trHeight w:val="20"/>
        </w:trPr>
        <w:tc>
          <w:tcPr>
            <w:tcW w:w="2638" w:type="dxa"/>
          </w:tcPr>
          <w:p w:rsidR="007F224C" w:rsidRPr="004210E9" w:rsidRDefault="007F224C" w:rsidP="007F224C">
            <w:pPr>
              <w:spacing w:after="150"/>
            </w:pPr>
            <w:r w:rsidRPr="004210E9">
              <w:rPr>
                <w:lang w:eastAsia="zh-HK"/>
              </w:rPr>
              <w:t>憲制保</w:t>
            </w:r>
            <w:r w:rsidRPr="004210E9">
              <w:t>障</w:t>
            </w:r>
          </w:p>
        </w:tc>
        <w:tc>
          <w:tcPr>
            <w:tcW w:w="540" w:type="dxa"/>
          </w:tcPr>
          <w:p w:rsidR="007F224C" w:rsidRDefault="007F224C" w:rsidP="007F224C">
            <w:r w:rsidRPr="009A706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lang w:eastAsia="zh-HK"/>
              </w:rPr>
              <w:t>《基本法》第</w:t>
            </w:r>
            <w:r w:rsidRPr="004210E9">
              <w:rPr>
                <w:rFonts w:hint="eastAsia"/>
                <w:lang w:eastAsia="zh-HK"/>
              </w:rPr>
              <w:t>二十七</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pPr>
            <w:r w:rsidRPr="004210E9">
              <w:rPr>
                <w:lang w:eastAsia="zh-HK"/>
              </w:rPr>
              <w:t>立法措</w:t>
            </w:r>
            <w:r w:rsidRPr="004210E9">
              <w:t>施</w:t>
            </w:r>
          </w:p>
        </w:tc>
        <w:tc>
          <w:tcPr>
            <w:tcW w:w="540" w:type="dxa"/>
          </w:tcPr>
          <w:p w:rsidR="007F224C" w:rsidRDefault="007F224C" w:rsidP="007F224C">
            <w:r w:rsidRPr="009A706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《勞資關係條例》（第</w:t>
            </w:r>
            <w:r w:rsidRPr="004210E9">
              <w:t>55</w:t>
            </w:r>
            <w:r w:rsidRPr="004210E9">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9A706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lang w:eastAsia="zh-HK"/>
              </w:rPr>
              <w:t>《僱傭條例》</w:t>
            </w:r>
            <w:r w:rsidRPr="004210E9">
              <w:t>（</w:t>
            </w:r>
            <w:r w:rsidRPr="004210E9">
              <w:rPr>
                <w:lang w:eastAsia="zh-HK"/>
              </w:rPr>
              <w:t>第</w:t>
            </w:r>
            <w:r w:rsidRPr="004210E9">
              <w:t>57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9A706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lang w:eastAsia="zh-HK"/>
              </w:rPr>
              <w:t>《職工會條例》</w:t>
            </w:r>
            <w:r w:rsidRPr="004210E9">
              <w:t>（</w:t>
            </w:r>
            <w:r w:rsidRPr="004210E9">
              <w:rPr>
                <w:lang w:eastAsia="zh-HK"/>
              </w:rPr>
              <w:t>第</w:t>
            </w:r>
            <w:r w:rsidRPr="004210E9">
              <w:t>332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9A706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《香港人權法案條例》（第</w:t>
            </w:r>
            <w:r w:rsidRPr="004210E9">
              <w:t>383</w:t>
            </w:r>
            <w:r w:rsidRPr="004210E9">
              <w:t>章）第</w:t>
            </w:r>
            <w:r w:rsidRPr="004210E9">
              <w:t>18</w:t>
            </w:r>
            <w:r w:rsidRPr="004210E9">
              <w:t>條</w:t>
            </w:r>
          </w:p>
          <w:p w:rsidR="007F224C" w:rsidRPr="004210E9" w:rsidRDefault="007F224C" w:rsidP="007F224C">
            <w:pPr>
              <w:tabs>
                <w:tab w:val="left" w:pos="86"/>
              </w:tabs>
              <w:spacing w:after="150"/>
              <w:ind w:right="285"/>
            </w:pPr>
          </w:p>
          <w:p w:rsidR="007F224C" w:rsidRPr="004210E9" w:rsidRDefault="007F224C" w:rsidP="007F224C">
            <w:pPr>
              <w:tabs>
                <w:tab w:val="left" w:pos="86"/>
              </w:tabs>
              <w:spacing w:after="150"/>
              <w:ind w:right="285"/>
            </w:pP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u w:val="single"/>
              </w:rPr>
            </w:pPr>
            <w:r w:rsidRPr="004210E9">
              <w:rPr>
                <w:b/>
                <w:u w:val="single"/>
                <w:lang w:eastAsia="zh-HK"/>
              </w:rPr>
              <w:lastRenderedPageBreak/>
              <w:t>第九條</w:t>
            </w:r>
          </w:p>
          <w:p w:rsidR="002E445E" w:rsidRPr="004210E9" w:rsidRDefault="002E445E" w:rsidP="005C4451">
            <w:pPr>
              <w:tabs>
                <w:tab w:val="left" w:pos="86"/>
              </w:tabs>
              <w:spacing w:after="150"/>
              <w:ind w:right="285"/>
            </w:pPr>
            <w:r w:rsidRPr="004210E9">
              <w:rPr>
                <w:b/>
                <w:lang w:eastAsia="zh-HK"/>
              </w:rPr>
              <w:t>享有社會保</w:t>
            </w:r>
            <w:r w:rsidRPr="004210E9">
              <w:rPr>
                <w:b/>
              </w:rPr>
              <w:t>障</w:t>
            </w:r>
            <w:r w:rsidRPr="004210E9">
              <w:rPr>
                <w:b/>
                <w:lang w:eastAsia="zh-HK"/>
              </w:rPr>
              <w:t>的權利</w:t>
            </w:r>
          </w:p>
        </w:tc>
      </w:tr>
      <w:tr w:rsidR="007F224C" w:rsidRPr="004210E9" w:rsidTr="00A71DE2">
        <w:trPr>
          <w:cantSplit/>
          <w:trHeight w:val="20"/>
        </w:trPr>
        <w:tc>
          <w:tcPr>
            <w:tcW w:w="2638" w:type="dxa"/>
          </w:tcPr>
          <w:p w:rsidR="007F224C" w:rsidRPr="004210E9" w:rsidRDefault="007F224C" w:rsidP="007F224C">
            <w:pPr>
              <w:spacing w:after="150"/>
            </w:pPr>
            <w:r w:rsidRPr="004210E9">
              <w:t>憲制保障</w:t>
            </w: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《基本法》第</w:t>
            </w:r>
            <w:r w:rsidRPr="004210E9">
              <w:rPr>
                <w:rFonts w:hint="eastAsia"/>
                <w:lang w:eastAsia="zh-HK"/>
              </w:rPr>
              <w:t>三十六</w:t>
            </w:r>
            <w:r w:rsidRPr="004210E9">
              <w:t>條及第</w:t>
            </w:r>
            <w:r w:rsidRPr="004210E9">
              <w:rPr>
                <w:rFonts w:hint="eastAsia"/>
                <w:lang w:eastAsia="zh-HK"/>
              </w:rPr>
              <w:t>一百四十五</w:t>
            </w:r>
            <w:r w:rsidRPr="004210E9">
              <w:t>條</w:t>
            </w:r>
          </w:p>
        </w:tc>
      </w:tr>
      <w:tr w:rsidR="007F224C" w:rsidRPr="004210E9" w:rsidTr="00A71DE2">
        <w:trPr>
          <w:cantSplit/>
          <w:trHeight w:val="20"/>
        </w:trPr>
        <w:tc>
          <w:tcPr>
            <w:tcW w:w="2638" w:type="dxa"/>
          </w:tcPr>
          <w:p w:rsidR="007F224C" w:rsidRPr="004210E9" w:rsidRDefault="007F224C" w:rsidP="007F224C">
            <w:pPr>
              <w:spacing w:after="150"/>
            </w:pPr>
            <w:r w:rsidRPr="004210E9">
              <w:t>立法措施</w:t>
            </w: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《僱傭條例》（第</w:t>
            </w:r>
            <w:r w:rsidRPr="004210E9">
              <w:t>57</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《退休金條例》（第</w:t>
            </w:r>
            <w:r w:rsidRPr="004210E9">
              <w:t>89</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《退休金利益條例》（第</w:t>
            </w:r>
            <w:r w:rsidRPr="004210E9">
              <w:t>99</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《僱員補償條例》（第</w:t>
            </w:r>
            <w:r w:rsidRPr="004210E9">
              <w:t>282</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60"/>
            </w:pPr>
            <w:r w:rsidRPr="004210E9">
              <w:t>《肺塵埃沉着病及間皮瘤（補償）條例》（第</w:t>
            </w:r>
            <w:r w:rsidRPr="004210E9">
              <w:t>360</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《僱員補償援助條例》（第</w:t>
            </w:r>
            <w:r w:rsidRPr="004210E9">
              <w:t>365</w:t>
            </w:r>
            <w:r w:rsidRPr="004210E9">
              <w:t>章）</w:t>
            </w:r>
            <w:r w:rsidRPr="004210E9">
              <w:t xml:space="preserve"> </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150"/>
              </w:tabs>
              <w:spacing w:after="150"/>
              <w:ind w:right="285"/>
            </w:pPr>
            <w:r w:rsidRPr="004210E9">
              <w:t>《職業退休計劃條例》（第</w:t>
            </w:r>
            <w:r w:rsidRPr="004210E9">
              <w:t>426</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《職業性失聰（補償）條例》（</w:t>
            </w:r>
            <w:r w:rsidRPr="004210E9">
              <w:rPr>
                <w:lang w:eastAsia="zh-HK"/>
              </w:rPr>
              <w:t>第</w:t>
            </w:r>
            <w:r w:rsidRPr="004210E9">
              <w:t>469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E45C18">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《強制性公積金計劃條例》（</w:t>
            </w:r>
            <w:r w:rsidRPr="004210E9">
              <w:rPr>
                <w:lang w:eastAsia="zh-HK"/>
              </w:rPr>
              <w:t>第</w:t>
            </w:r>
            <w:r w:rsidRPr="004210E9">
              <w:t>485</w:t>
            </w:r>
            <w:r w:rsidRPr="004210E9">
              <w:rPr>
                <w:lang w:eastAsia="zh-HK"/>
              </w:rPr>
              <w:t>章</w:t>
            </w:r>
            <w:r w:rsidRPr="004210E9">
              <w:t>）</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u w:val="single"/>
                <w:lang w:eastAsia="zh-HK"/>
              </w:rPr>
              <w:t>第十條</w:t>
            </w:r>
          </w:p>
        </w:tc>
      </w:tr>
      <w:tr w:rsidR="002E445E" w:rsidRPr="004210E9" w:rsidTr="00A71DE2">
        <w:trPr>
          <w:cantSplit/>
          <w:trHeight w:val="20"/>
        </w:trPr>
        <w:tc>
          <w:tcPr>
            <w:tcW w:w="2638" w:type="dxa"/>
          </w:tcPr>
          <w:p w:rsidR="002E445E" w:rsidRPr="004210E9" w:rsidRDefault="002E445E" w:rsidP="005C4451">
            <w:pPr>
              <w:spacing w:after="150"/>
            </w:pPr>
            <w:r w:rsidRPr="004210E9">
              <w:t>憲制保障</w:t>
            </w:r>
          </w:p>
        </w:tc>
        <w:tc>
          <w:tcPr>
            <w:tcW w:w="540" w:type="dxa"/>
          </w:tcPr>
          <w:p w:rsidR="002E445E" w:rsidRPr="004210E9" w:rsidRDefault="007F224C" w:rsidP="002E445E">
            <w:pPr>
              <w:adjustRightInd w:val="0"/>
              <w:spacing w:after="150"/>
              <w:ind w:right="144"/>
              <w:jc w:val="both"/>
              <w:textAlignment w:val="baseline"/>
              <w:rPr>
                <w:lang w:eastAsia="zh-HK"/>
              </w:rPr>
            </w:pPr>
            <w:r>
              <w:rPr>
                <w:rFonts w:ascii="標楷體" w:hAnsi="標楷體" w:hint="eastAsia"/>
                <w:sz w:val="32"/>
                <w:lang w:val="en-GB"/>
              </w:rPr>
              <w:t>－</w:t>
            </w:r>
          </w:p>
        </w:tc>
        <w:tc>
          <w:tcPr>
            <w:tcW w:w="5616" w:type="dxa"/>
          </w:tcPr>
          <w:p w:rsidR="002E445E" w:rsidRPr="004210E9" w:rsidRDefault="002E445E" w:rsidP="005C4451">
            <w:pPr>
              <w:tabs>
                <w:tab w:val="left" w:pos="86"/>
              </w:tabs>
              <w:spacing w:after="150"/>
              <w:ind w:right="285"/>
            </w:pPr>
            <w:r w:rsidRPr="004210E9">
              <w:rPr>
                <w:lang w:eastAsia="zh-HK"/>
              </w:rPr>
              <w:t>《基本法》第</w:t>
            </w:r>
            <w:r w:rsidRPr="004210E9">
              <w:t>37</w:t>
            </w:r>
            <w:r w:rsidRPr="004210E9">
              <w:rPr>
                <w:lang w:eastAsia="zh-HK"/>
              </w:rPr>
              <w:t>條</w:t>
            </w: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對家</w:t>
            </w:r>
            <w:r w:rsidRPr="004210E9">
              <w:rPr>
                <w:b/>
              </w:rPr>
              <w:t>庭</w:t>
            </w:r>
            <w:r w:rsidRPr="004210E9">
              <w:rPr>
                <w:b/>
                <w:lang w:eastAsia="zh-HK"/>
              </w:rPr>
              <w:t>的保</w:t>
            </w:r>
            <w:r w:rsidRPr="004210E9">
              <w:rPr>
                <w:b/>
              </w:rPr>
              <w:t>護</w:t>
            </w:r>
          </w:p>
        </w:tc>
      </w:tr>
      <w:tr w:rsidR="007F224C" w:rsidRPr="004210E9" w:rsidTr="00A71DE2">
        <w:trPr>
          <w:cantSplit/>
          <w:trHeight w:val="20"/>
        </w:trPr>
        <w:tc>
          <w:tcPr>
            <w:tcW w:w="2638" w:type="dxa"/>
          </w:tcPr>
          <w:p w:rsidR="007F224C" w:rsidRPr="004210E9" w:rsidRDefault="007F224C" w:rsidP="007F224C">
            <w:pPr>
              <w:spacing w:after="150"/>
            </w:pPr>
            <w:r w:rsidRPr="004210E9">
              <w:t>立法措施</w:t>
            </w: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《僱傭條例》（第</w:t>
            </w:r>
            <w:r w:rsidRPr="004210E9">
              <w:t>57</w:t>
            </w:r>
            <w:r w:rsidRPr="004210E9">
              <w:t>章）</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《家庭及同居關係暴力條例》（</w:t>
            </w:r>
            <w:r w:rsidRPr="004210E9">
              <w:rPr>
                <w:lang w:eastAsia="zh-HK"/>
              </w:rPr>
              <w:t>第</w:t>
            </w:r>
            <w:r w:rsidRPr="004210E9">
              <w:t>189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《領養條例》（</w:t>
            </w:r>
            <w:r w:rsidRPr="004210E9">
              <w:rPr>
                <w:lang w:eastAsia="zh-HK"/>
              </w:rPr>
              <w:t>第</w:t>
            </w:r>
            <w:r w:rsidRPr="004210E9">
              <w:t>290</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30"/>
              <w:rPr>
                <w:lang w:eastAsia="zh-HK"/>
              </w:rPr>
            </w:pPr>
            <w:r w:rsidRPr="004210E9">
              <w:t>《香港人權法案條例》（第</w:t>
            </w:r>
            <w:r w:rsidRPr="004210E9">
              <w:t>383</w:t>
            </w:r>
            <w:r w:rsidRPr="004210E9">
              <w:t>章）</w:t>
            </w:r>
            <w:r w:rsidRPr="004210E9">
              <w:rPr>
                <w:lang w:eastAsia="zh-HK"/>
              </w:rPr>
              <w:t>第</w:t>
            </w:r>
            <w:r w:rsidRPr="004210E9">
              <w:t>19(1)</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《安老院條例》（</w:t>
            </w:r>
            <w:r w:rsidRPr="004210E9">
              <w:rPr>
                <w:lang w:eastAsia="zh-HK"/>
              </w:rPr>
              <w:t>第</w:t>
            </w:r>
            <w:r w:rsidRPr="004210E9">
              <w:t>459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lang w:eastAsia="zh-HK"/>
              </w:rPr>
              <w:t>《家</w:t>
            </w:r>
            <w:r w:rsidRPr="004210E9">
              <w:t>庭</w:t>
            </w:r>
            <w:r w:rsidRPr="004210E9">
              <w:rPr>
                <w:lang w:eastAsia="zh-HK"/>
              </w:rPr>
              <w:t>崗位歧</w:t>
            </w:r>
            <w:r w:rsidRPr="004210E9">
              <w:t>視</w:t>
            </w:r>
            <w:r w:rsidRPr="004210E9">
              <w:rPr>
                <w:lang w:eastAsia="zh-HK"/>
              </w:rPr>
              <w:t>條例》</w:t>
            </w:r>
            <w:r w:rsidRPr="004210E9">
              <w:t>（</w:t>
            </w:r>
            <w:r w:rsidRPr="004210E9">
              <w:rPr>
                <w:lang w:eastAsia="zh-HK"/>
              </w:rPr>
              <w:t>第</w:t>
            </w:r>
            <w:r w:rsidRPr="004210E9">
              <w:t>527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pPr>
          </w:p>
        </w:tc>
        <w:tc>
          <w:tcPr>
            <w:tcW w:w="540" w:type="dxa"/>
          </w:tcPr>
          <w:p w:rsidR="007F224C" w:rsidRDefault="007F224C" w:rsidP="007F224C">
            <w:r w:rsidRPr="00FA683A">
              <w:rPr>
                <w:rFonts w:ascii="標楷體" w:hAnsi="標楷體" w:hint="eastAsia"/>
                <w:sz w:val="32"/>
                <w:lang w:val="en-GB"/>
              </w:rPr>
              <w:t>－</w:t>
            </w:r>
          </w:p>
        </w:tc>
        <w:tc>
          <w:tcPr>
            <w:tcW w:w="5616" w:type="dxa"/>
          </w:tcPr>
          <w:p w:rsidR="007F224C" w:rsidRPr="004210E9" w:rsidRDefault="007F224C" w:rsidP="007F224C">
            <w:pPr>
              <w:tabs>
                <w:tab w:val="left" w:pos="86"/>
              </w:tabs>
              <w:snapToGrid w:val="0"/>
              <w:spacing w:after="150"/>
              <w:ind w:right="285"/>
            </w:pPr>
            <w:r w:rsidRPr="004210E9">
              <w:t>《殘疾人士院舍條例》（</w:t>
            </w:r>
            <w:r w:rsidRPr="004210E9">
              <w:rPr>
                <w:lang w:eastAsia="zh-HK"/>
              </w:rPr>
              <w:t>第</w:t>
            </w:r>
            <w:r w:rsidRPr="004210E9">
              <w:t>613</w:t>
            </w:r>
            <w:r w:rsidRPr="004210E9">
              <w:rPr>
                <w:lang w:eastAsia="zh-HK"/>
              </w:rPr>
              <w:t>章</w:t>
            </w:r>
            <w:r w:rsidRPr="004210E9">
              <w:t>）</w:t>
            </w:r>
          </w:p>
          <w:p w:rsidR="007F224C" w:rsidRPr="004210E9" w:rsidRDefault="007F224C" w:rsidP="007F224C">
            <w:pPr>
              <w:tabs>
                <w:tab w:val="left" w:pos="86"/>
              </w:tabs>
              <w:snapToGrid w:val="0"/>
              <w:spacing w:after="150"/>
              <w:ind w:right="285"/>
            </w:pPr>
          </w:p>
          <w:p w:rsidR="007F224C" w:rsidRPr="004210E9" w:rsidRDefault="007F224C" w:rsidP="007F224C">
            <w:pPr>
              <w:tabs>
                <w:tab w:val="left" w:pos="86"/>
              </w:tabs>
              <w:snapToGrid w:val="0"/>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70"/>
              <w:ind w:right="285"/>
              <w:rPr>
                <w:b/>
              </w:rPr>
            </w:pPr>
            <w:r w:rsidRPr="004210E9">
              <w:rPr>
                <w:b/>
                <w:lang w:eastAsia="zh-HK"/>
              </w:rPr>
              <w:lastRenderedPageBreak/>
              <w:t>與婚</w:t>
            </w:r>
            <w:r w:rsidRPr="004210E9">
              <w:rPr>
                <w:b/>
              </w:rPr>
              <w:t>姻</w:t>
            </w:r>
            <w:r w:rsidRPr="004210E9">
              <w:rPr>
                <w:b/>
                <w:lang w:eastAsia="zh-HK"/>
              </w:rPr>
              <w:t>有關的權利</w:t>
            </w:r>
          </w:p>
        </w:tc>
      </w:tr>
      <w:tr w:rsidR="007F224C" w:rsidRPr="004210E9" w:rsidTr="00A71DE2">
        <w:trPr>
          <w:cantSplit/>
          <w:trHeight w:val="20"/>
        </w:trPr>
        <w:tc>
          <w:tcPr>
            <w:tcW w:w="2638" w:type="dxa"/>
          </w:tcPr>
          <w:p w:rsidR="007F224C" w:rsidRPr="004210E9" w:rsidRDefault="007F224C" w:rsidP="007F224C">
            <w:pPr>
              <w:spacing w:after="170"/>
            </w:pPr>
            <w:r w:rsidRPr="004210E9">
              <w:t>立法措施</w:t>
            </w:r>
          </w:p>
        </w:tc>
        <w:tc>
          <w:tcPr>
            <w:tcW w:w="540" w:type="dxa"/>
          </w:tcPr>
          <w:p w:rsidR="007F224C" w:rsidRDefault="007F224C" w:rsidP="007F224C">
            <w:r w:rsidRPr="00D339C2">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《婚姻制度改革條例》（</w:t>
            </w:r>
            <w:r w:rsidRPr="004210E9">
              <w:rPr>
                <w:lang w:eastAsia="zh-HK"/>
              </w:rPr>
              <w:t>第</w:t>
            </w:r>
            <w:r w:rsidRPr="004210E9">
              <w:t>178</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D339C2">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rPr>
                <w:lang w:eastAsia="zh-HK"/>
              </w:rPr>
              <w:t>《婚</w:t>
            </w:r>
            <w:r w:rsidRPr="004210E9">
              <w:t>姻</w:t>
            </w:r>
            <w:r w:rsidRPr="004210E9">
              <w:rPr>
                <w:lang w:eastAsia="zh-HK"/>
              </w:rPr>
              <w:t>條例》</w:t>
            </w:r>
            <w:r w:rsidRPr="004210E9">
              <w:t>（</w:t>
            </w:r>
            <w:r w:rsidRPr="004210E9">
              <w:rPr>
                <w:lang w:eastAsia="zh-HK"/>
              </w:rPr>
              <w:t>第</w:t>
            </w:r>
            <w:r w:rsidRPr="004210E9">
              <w:t>181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D339C2">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60"/>
            </w:pPr>
            <w:r w:rsidRPr="004210E9">
              <w:t>《香港人權法案條例》（第</w:t>
            </w:r>
            <w:r w:rsidRPr="004210E9">
              <w:t>383</w:t>
            </w:r>
            <w:r w:rsidRPr="004210E9">
              <w:t>章）</w:t>
            </w:r>
            <w:r w:rsidRPr="004210E9">
              <w:rPr>
                <w:lang w:eastAsia="zh-HK"/>
              </w:rPr>
              <w:t>第</w:t>
            </w:r>
            <w:r w:rsidRPr="004210E9">
              <w:t>19(2)</w:t>
            </w:r>
            <w:r w:rsidRPr="004210E9">
              <w:rPr>
                <w:lang w:eastAsia="zh-HK"/>
              </w:rPr>
              <w:t>、</w:t>
            </w:r>
            <w:r w:rsidRPr="004210E9">
              <w:t>(3)</w:t>
            </w:r>
            <w:r w:rsidRPr="004210E9">
              <w:rPr>
                <w:lang w:eastAsia="zh-HK"/>
              </w:rPr>
              <w:t>及</w:t>
            </w:r>
            <w:r w:rsidRPr="004210E9">
              <w:t>(4)</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D339C2">
              <w:rPr>
                <w:rFonts w:ascii="標楷體" w:hAnsi="標楷體" w:hint="eastAsia"/>
                <w:sz w:val="32"/>
                <w:lang w:val="en-GB"/>
              </w:rPr>
              <w:t>－</w:t>
            </w:r>
          </w:p>
        </w:tc>
        <w:tc>
          <w:tcPr>
            <w:tcW w:w="5616" w:type="dxa"/>
          </w:tcPr>
          <w:p w:rsidR="007F224C" w:rsidRPr="004210E9" w:rsidRDefault="007F224C" w:rsidP="007F224C">
            <w:pPr>
              <w:tabs>
                <w:tab w:val="left" w:pos="86"/>
              </w:tabs>
              <w:spacing w:after="170"/>
            </w:pPr>
            <w:r w:rsidRPr="004210E9">
              <w:t>《成年歲數（有關條文）條例》（</w:t>
            </w:r>
            <w:r w:rsidRPr="004210E9">
              <w:rPr>
                <w:lang w:eastAsia="zh-HK"/>
              </w:rPr>
              <w:t>第</w:t>
            </w:r>
            <w:r w:rsidRPr="004210E9">
              <w:t>410</w:t>
            </w:r>
            <w:r w:rsidRPr="004210E9">
              <w:rPr>
                <w:lang w:eastAsia="zh-HK"/>
              </w:rPr>
              <w:t>章</w:t>
            </w:r>
            <w:r w:rsidRPr="004210E9">
              <w:t>）</w:t>
            </w:r>
          </w:p>
          <w:p w:rsidR="007F224C" w:rsidRPr="004210E9" w:rsidRDefault="007F224C" w:rsidP="007F224C">
            <w:pPr>
              <w:tabs>
                <w:tab w:val="left" w:pos="86"/>
              </w:tabs>
              <w:spacing w:after="17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70"/>
              <w:ind w:right="285"/>
              <w:rPr>
                <w:b/>
              </w:rPr>
            </w:pPr>
            <w:r w:rsidRPr="004210E9">
              <w:rPr>
                <w:b/>
                <w:lang w:eastAsia="zh-HK"/>
              </w:rPr>
              <w:t>分娩保</w:t>
            </w:r>
            <w:r w:rsidRPr="004210E9">
              <w:rPr>
                <w:b/>
              </w:rPr>
              <w:t>障</w:t>
            </w:r>
          </w:p>
        </w:tc>
      </w:tr>
      <w:tr w:rsidR="007F224C" w:rsidRPr="004210E9" w:rsidTr="00A71DE2">
        <w:trPr>
          <w:cantSplit/>
          <w:trHeight w:val="20"/>
        </w:trPr>
        <w:tc>
          <w:tcPr>
            <w:tcW w:w="2638" w:type="dxa"/>
          </w:tcPr>
          <w:p w:rsidR="007F224C" w:rsidRPr="004210E9" w:rsidRDefault="007F224C" w:rsidP="007F224C">
            <w:pPr>
              <w:spacing w:after="170"/>
            </w:pPr>
            <w:r w:rsidRPr="004210E9">
              <w:t>立法措施</w:t>
            </w:r>
          </w:p>
        </w:tc>
        <w:tc>
          <w:tcPr>
            <w:tcW w:w="540" w:type="dxa"/>
          </w:tcPr>
          <w:p w:rsidR="007F224C" w:rsidRDefault="007F224C" w:rsidP="007F224C">
            <w:r w:rsidRPr="00B509DE">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rPr>
                <w:lang w:eastAsia="zh-HK"/>
              </w:rPr>
              <w:t>《僱傭條例》</w:t>
            </w:r>
            <w:r w:rsidRPr="004210E9">
              <w:t>（</w:t>
            </w:r>
            <w:r w:rsidRPr="004210E9">
              <w:rPr>
                <w:lang w:eastAsia="zh-HK"/>
              </w:rPr>
              <w:t>第</w:t>
            </w:r>
            <w:r w:rsidRPr="004210E9">
              <w:t>57</w:t>
            </w:r>
            <w:r w:rsidRPr="004210E9">
              <w:rPr>
                <w:lang w:eastAsia="zh-HK"/>
              </w:rPr>
              <w:t>章</w:t>
            </w:r>
            <w:r w:rsidRPr="004210E9">
              <w:t>）</w:t>
            </w:r>
            <w:r w:rsidRPr="004210E9">
              <w:rPr>
                <w:lang w:eastAsia="zh-HK"/>
              </w:rPr>
              <w:t>第三部</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B509DE">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rPr>
                <w:lang w:eastAsia="zh-HK"/>
              </w:rPr>
            </w:pPr>
            <w:r w:rsidRPr="004210E9">
              <w:rPr>
                <w:lang w:eastAsia="zh-HK"/>
              </w:rPr>
              <w:t>《性別歧</w:t>
            </w:r>
            <w:r w:rsidRPr="004210E9">
              <w:t>視</w:t>
            </w:r>
            <w:r w:rsidRPr="004210E9">
              <w:rPr>
                <w:lang w:eastAsia="zh-HK"/>
              </w:rPr>
              <w:t>條例》</w:t>
            </w:r>
            <w:r w:rsidRPr="004210E9">
              <w:t>（</w:t>
            </w:r>
            <w:r w:rsidRPr="004210E9">
              <w:rPr>
                <w:lang w:eastAsia="zh-HK"/>
              </w:rPr>
              <w:t>第</w:t>
            </w:r>
            <w:r w:rsidRPr="004210E9">
              <w:t>480</w:t>
            </w:r>
            <w:r w:rsidRPr="004210E9">
              <w:rPr>
                <w:lang w:eastAsia="zh-HK"/>
              </w:rPr>
              <w:t>章</w:t>
            </w:r>
            <w:r w:rsidRPr="004210E9">
              <w:t>）</w:t>
            </w:r>
          </w:p>
          <w:p w:rsidR="007F224C" w:rsidRPr="004210E9" w:rsidRDefault="007F224C" w:rsidP="007F224C">
            <w:pPr>
              <w:tabs>
                <w:tab w:val="left" w:pos="86"/>
              </w:tabs>
              <w:spacing w:after="170"/>
              <w:ind w:right="285"/>
              <w:rPr>
                <w:lang w:eastAsia="zh-HK"/>
              </w:rPr>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70"/>
              <w:ind w:right="285"/>
              <w:rPr>
                <w:lang w:eastAsia="zh-HK"/>
              </w:rPr>
            </w:pPr>
            <w:r w:rsidRPr="004210E9">
              <w:rPr>
                <w:b/>
                <w:lang w:eastAsia="zh-HK"/>
              </w:rPr>
              <w:t>對兒童及</w:t>
            </w:r>
            <w:r w:rsidRPr="004210E9">
              <w:rPr>
                <w:b/>
              </w:rPr>
              <w:t>少年</w:t>
            </w:r>
            <w:r w:rsidRPr="004210E9">
              <w:rPr>
                <w:b/>
                <w:lang w:eastAsia="zh-HK"/>
              </w:rPr>
              <w:t>的保</w:t>
            </w:r>
            <w:r w:rsidRPr="004210E9">
              <w:rPr>
                <w:b/>
              </w:rPr>
              <w:t>護</w:t>
            </w:r>
          </w:p>
        </w:tc>
      </w:tr>
      <w:tr w:rsidR="007F224C" w:rsidRPr="004210E9" w:rsidTr="00A71DE2">
        <w:trPr>
          <w:cantSplit/>
          <w:trHeight w:val="20"/>
        </w:trPr>
        <w:tc>
          <w:tcPr>
            <w:tcW w:w="2638" w:type="dxa"/>
          </w:tcPr>
          <w:p w:rsidR="007F224C" w:rsidRPr="004210E9" w:rsidRDefault="007F224C" w:rsidP="007F224C">
            <w:pPr>
              <w:spacing w:after="170"/>
            </w:pPr>
            <w:r w:rsidRPr="004210E9">
              <w:t>立法措施</w:t>
            </w: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《未成年人監護條例》（</w:t>
            </w:r>
            <w:r w:rsidRPr="004210E9">
              <w:rPr>
                <w:lang w:eastAsia="zh-HK"/>
              </w:rPr>
              <w:t>第</w:t>
            </w:r>
            <w:r w:rsidRPr="004210E9">
              <w:t>13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《分居令及贍養令條例</w:t>
            </w:r>
            <w:r w:rsidRPr="004210E9">
              <w:rPr>
                <w:lang w:eastAsia="zh-HK"/>
              </w:rPr>
              <w:t>》</w:t>
            </w:r>
            <w:r w:rsidRPr="004210E9">
              <w:t>（</w:t>
            </w:r>
            <w:r w:rsidRPr="004210E9">
              <w:rPr>
                <w:lang w:eastAsia="zh-HK"/>
              </w:rPr>
              <w:t>第</w:t>
            </w:r>
            <w:r w:rsidRPr="004210E9">
              <w:t>16</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ind w:right="285"/>
            </w:pPr>
            <w:r w:rsidRPr="004210E9">
              <w:t>《學徒制度條例》（第</w:t>
            </w:r>
            <w:r w:rsidRPr="004210E9">
              <w:t>47</w:t>
            </w:r>
            <w:r w:rsidRPr="004210E9">
              <w:t>章）</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《僱傭條例》（第</w:t>
            </w:r>
            <w:r w:rsidRPr="004210E9">
              <w:t>57</w:t>
            </w:r>
            <w:r w:rsidRPr="004210E9">
              <w:t>章）下的《僱用兒童規例》（第</w:t>
            </w:r>
            <w:r w:rsidRPr="004210E9">
              <w:t>57</w:t>
            </w:r>
            <w:r w:rsidRPr="004210E9">
              <w:t>章附</w:t>
            </w:r>
            <w:r w:rsidRPr="004210E9">
              <w:rPr>
                <w:rFonts w:hint="eastAsia"/>
                <w:lang w:eastAsia="zh-HK"/>
              </w:rPr>
              <w:t>屬法</w:t>
            </w:r>
            <w:r w:rsidRPr="004210E9">
              <w:t>例</w:t>
            </w:r>
            <w:r w:rsidRPr="004210E9">
              <w:t>B</w:t>
            </w:r>
            <w:r w:rsidRPr="004210E9">
              <w:t>）</w:t>
            </w:r>
            <w:r w:rsidRPr="004210E9">
              <w:rPr>
                <w:rFonts w:hint="eastAsia"/>
                <w:lang w:eastAsia="zh-HK"/>
              </w:rPr>
              <w:t>與</w:t>
            </w:r>
            <w:r w:rsidRPr="004210E9">
              <w:t>《僱用青年（工業）規例》（第</w:t>
            </w:r>
            <w:r w:rsidRPr="004210E9">
              <w:t>57</w:t>
            </w:r>
            <w:r w:rsidRPr="004210E9">
              <w:t>章附</w:t>
            </w:r>
            <w:r w:rsidRPr="004210E9">
              <w:rPr>
                <w:rFonts w:hint="eastAsia"/>
                <w:lang w:eastAsia="zh-HK"/>
              </w:rPr>
              <w:t>屬法</w:t>
            </w:r>
            <w:r w:rsidRPr="004210E9">
              <w:t>例</w:t>
            </w:r>
            <w:r w:rsidRPr="004210E9">
              <w:t>C</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《青年及兒童海上工作僱傭條例》（</w:t>
            </w:r>
            <w:r w:rsidRPr="004210E9">
              <w:rPr>
                <w:lang w:eastAsia="zh-HK"/>
              </w:rPr>
              <w:t>第</w:t>
            </w:r>
            <w:r w:rsidRPr="004210E9">
              <w:t>58</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390"/>
              <w:jc w:val="both"/>
            </w:pPr>
            <w:r w:rsidRPr="004210E9">
              <w:rPr>
                <w:lang w:eastAsia="zh-HK"/>
              </w:rPr>
              <w:t>《應課稅品條例》</w:t>
            </w:r>
            <w:r w:rsidRPr="004210E9">
              <w:t>（</w:t>
            </w:r>
            <w:r w:rsidRPr="004210E9">
              <w:rPr>
                <w:lang w:eastAsia="zh-HK"/>
              </w:rPr>
              <w:t>第</w:t>
            </w:r>
            <w:r w:rsidRPr="004210E9">
              <w:t>109</w:t>
            </w:r>
            <w:r w:rsidRPr="004210E9">
              <w:rPr>
                <w:lang w:eastAsia="zh-HK"/>
              </w:rPr>
              <w:t>章</w:t>
            </w:r>
            <w:r w:rsidRPr="004210E9">
              <w:t>）</w:t>
            </w:r>
            <w:r w:rsidRPr="004210E9">
              <w:rPr>
                <w:lang w:eastAsia="zh-HK"/>
              </w:rPr>
              <w:t>下的《應課稅品（酒類）規例》</w:t>
            </w:r>
            <w:r w:rsidRPr="004210E9">
              <w:t>（</w:t>
            </w:r>
            <w:r w:rsidRPr="004210E9">
              <w:rPr>
                <w:lang w:eastAsia="zh-HK"/>
              </w:rPr>
              <w:t>第</w:t>
            </w:r>
            <w:r w:rsidRPr="004210E9">
              <w:t>109</w:t>
            </w:r>
            <w:r w:rsidRPr="004210E9">
              <w:rPr>
                <w:lang w:eastAsia="zh-HK"/>
              </w:rPr>
              <w:t>章附</w:t>
            </w:r>
            <w:r w:rsidRPr="004210E9">
              <w:rPr>
                <w:rFonts w:hint="eastAsia"/>
                <w:lang w:eastAsia="zh-HK"/>
              </w:rPr>
              <w:t>屬法</w:t>
            </w:r>
            <w:r w:rsidRPr="004210E9">
              <w:rPr>
                <w:lang w:eastAsia="zh-HK"/>
              </w:rPr>
              <w:t>例</w:t>
            </w:r>
            <w:r w:rsidRPr="004210E9">
              <w:t>B</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《婚姻訴訟條例》（</w:t>
            </w:r>
            <w:r w:rsidRPr="004210E9">
              <w:rPr>
                <w:lang w:eastAsia="zh-HK"/>
              </w:rPr>
              <w:t>第</w:t>
            </w:r>
            <w:r w:rsidRPr="004210E9">
              <w:t>179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《婚姻法律程序與財產條例》（</w:t>
            </w:r>
            <w:r w:rsidRPr="004210E9">
              <w:rPr>
                <w:lang w:eastAsia="zh-HK"/>
              </w:rPr>
              <w:t>第</w:t>
            </w:r>
            <w:r w:rsidRPr="004210E9">
              <w:t>192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《保護兒童及少年條例》（</w:t>
            </w:r>
            <w:r w:rsidRPr="004210E9">
              <w:rPr>
                <w:lang w:eastAsia="zh-HK"/>
              </w:rPr>
              <w:t>第</w:t>
            </w:r>
            <w:r w:rsidRPr="004210E9">
              <w:t>213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《幼兒服務條例》（</w:t>
            </w:r>
            <w:r w:rsidRPr="004210E9">
              <w:rPr>
                <w:lang w:eastAsia="zh-HK"/>
              </w:rPr>
              <w:t>第</w:t>
            </w:r>
            <w:r w:rsidRPr="004210E9">
              <w:t>243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4758EF">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《香港人權法案條例》（第</w:t>
            </w:r>
            <w:r w:rsidRPr="004210E9">
              <w:t>383</w:t>
            </w:r>
            <w:r w:rsidRPr="004210E9">
              <w:t>章）</w:t>
            </w:r>
            <w:r w:rsidRPr="004210E9">
              <w:rPr>
                <w:lang w:eastAsia="zh-HK"/>
              </w:rPr>
              <w:t>第</w:t>
            </w:r>
            <w:r w:rsidRPr="004210E9">
              <w:t>20</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9D582C">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30"/>
            </w:pPr>
            <w:r w:rsidRPr="004210E9">
              <w:t>《成年歲數（有關條文）條例》（第</w:t>
            </w:r>
            <w:r w:rsidRPr="004210E9">
              <w:t>410</w:t>
            </w:r>
            <w:r w:rsidRPr="004210E9">
              <w:t>章）</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9D582C">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《擄拐和管養兒童條例》（</w:t>
            </w:r>
            <w:r w:rsidRPr="004210E9">
              <w:rPr>
                <w:lang w:eastAsia="zh-HK"/>
              </w:rPr>
              <w:t>第</w:t>
            </w:r>
            <w:r w:rsidRPr="004210E9">
              <w:t>512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70"/>
            </w:pPr>
          </w:p>
        </w:tc>
        <w:tc>
          <w:tcPr>
            <w:tcW w:w="540" w:type="dxa"/>
          </w:tcPr>
          <w:p w:rsidR="007F224C" w:rsidRDefault="007F224C" w:rsidP="007F224C">
            <w:r w:rsidRPr="009D582C">
              <w:rPr>
                <w:rFonts w:ascii="標楷體" w:hAnsi="標楷體" w:hint="eastAsia"/>
                <w:sz w:val="32"/>
                <w:lang w:val="en-GB"/>
              </w:rPr>
              <w:t>－</w:t>
            </w:r>
          </w:p>
        </w:tc>
        <w:tc>
          <w:tcPr>
            <w:tcW w:w="5616" w:type="dxa"/>
          </w:tcPr>
          <w:p w:rsidR="007F224C" w:rsidRPr="004210E9" w:rsidRDefault="007F224C" w:rsidP="007F224C">
            <w:pPr>
              <w:tabs>
                <w:tab w:val="left" w:pos="86"/>
              </w:tabs>
              <w:spacing w:after="170"/>
              <w:ind w:right="285"/>
            </w:pPr>
            <w:r w:rsidRPr="004210E9">
              <w:t>《防止兒童色情物品條例》（</w:t>
            </w:r>
            <w:r w:rsidRPr="004210E9">
              <w:rPr>
                <w:lang w:eastAsia="zh-HK"/>
              </w:rPr>
              <w:t>第</w:t>
            </w:r>
            <w:r w:rsidRPr="004210E9">
              <w:t>579</w:t>
            </w:r>
            <w:r w:rsidRPr="004210E9">
              <w:rPr>
                <w:lang w:eastAsia="zh-HK"/>
              </w:rPr>
              <w:t>章</w:t>
            </w:r>
            <w:r w:rsidRPr="004210E9">
              <w:t>）</w:t>
            </w:r>
          </w:p>
          <w:p w:rsidR="007F224C" w:rsidRPr="004210E9" w:rsidRDefault="007F224C" w:rsidP="007F224C">
            <w:pPr>
              <w:tabs>
                <w:tab w:val="left" w:pos="86"/>
              </w:tabs>
              <w:spacing w:after="17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70"/>
              <w:ind w:right="285"/>
              <w:rPr>
                <w:b/>
                <w:u w:val="single"/>
              </w:rPr>
            </w:pPr>
            <w:r w:rsidRPr="004210E9">
              <w:rPr>
                <w:b/>
                <w:u w:val="single"/>
                <w:lang w:eastAsia="zh-HK"/>
              </w:rPr>
              <w:t>第十一條</w:t>
            </w:r>
          </w:p>
          <w:p w:rsidR="002E445E" w:rsidRPr="004210E9" w:rsidRDefault="002E445E" w:rsidP="005C4451">
            <w:pPr>
              <w:tabs>
                <w:tab w:val="left" w:pos="86"/>
              </w:tabs>
              <w:spacing w:after="170"/>
              <w:ind w:right="285"/>
            </w:pPr>
            <w:r w:rsidRPr="004210E9">
              <w:rPr>
                <w:b/>
                <w:lang w:eastAsia="zh-HK"/>
              </w:rPr>
              <w:t>享</w:t>
            </w:r>
            <w:r w:rsidRPr="004210E9">
              <w:rPr>
                <w:b/>
              </w:rPr>
              <w:t>有適</w:t>
            </w:r>
            <w:r w:rsidRPr="004210E9">
              <w:rPr>
                <w:b/>
                <w:lang w:eastAsia="zh-HK"/>
              </w:rPr>
              <w:t>當食物的權利</w:t>
            </w:r>
          </w:p>
        </w:tc>
      </w:tr>
      <w:tr w:rsidR="007F224C" w:rsidRPr="004210E9" w:rsidTr="00A71DE2">
        <w:trPr>
          <w:cantSplit/>
          <w:trHeight w:val="20"/>
        </w:trPr>
        <w:tc>
          <w:tcPr>
            <w:tcW w:w="2638" w:type="dxa"/>
          </w:tcPr>
          <w:p w:rsidR="007F224C" w:rsidRPr="004210E9" w:rsidRDefault="007F224C" w:rsidP="007F224C">
            <w:pPr>
              <w:spacing w:after="150"/>
            </w:pPr>
            <w:r w:rsidRPr="004210E9">
              <w:rPr>
                <w:lang w:eastAsia="zh-HK"/>
              </w:rPr>
              <w:t>立法措</w:t>
            </w:r>
            <w:r w:rsidRPr="004210E9">
              <w:t>施</w:t>
            </w:r>
          </w:p>
        </w:tc>
        <w:tc>
          <w:tcPr>
            <w:tcW w:w="540" w:type="dxa"/>
          </w:tcPr>
          <w:p w:rsidR="007F224C" w:rsidRDefault="007F224C" w:rsidP="007F224C">
            <w:r w:rsidRPr="00003B9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《公眾衞生及市政條例》（</w:t>
            </w:r>
            <w:r w:rsidRPr="004210E9">
              <w:rPr>
                <w:lang w:eastAsia="zh-HK"/>
              </w:rPr>
              <w:t>第</w:t>
            </w:r>
            <w:r w:rsidRPr="004210E9">
              <w:t>132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003B9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《儲備商品條例》（</w:t>
            </w:r>
            <w:r w:rsidRPr="004210E9">
              <w:rPr>
                <w:lang w:eastAsia="zh-HK"/>
              </w:rPr>
              <w:t>第</w:t>
            </w:r>
            <w:r w:rsidRPr="004210E9">
              <w:t>296</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003B9B">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《食物安全條例》（</w:t>
            </w:r>
            <w:r w:rsidRPr="004210E9">
              <w:rPr>
                <w:lang w:eastAsia="zh-HK"/>
              </w:rPr>
              <w:t>第</w:t>
            </w:r>
            <w:r w:rsidRPr="004210E9">
              <w:t>612</w:t>
            </w:r>
            <w:r w:rsidRPr="004210E9">
              <w:rPr>
                <w:lang w:eastAsia="zh-HK"/>
              </w:rPr>
              <w:t>章</w:t>
            </w:r>
            <w:r w:rsidRPr="004210E9">
              <w:t>）</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享有用水的權利</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F205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《水務設施條例》（第</w:t>
            </w:r>
            <w:r w:rsidRPr="004210E9">
              <w:t>102</w:t>
            </w:r>
            <w:r w:rsidRPr="004210E9">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205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《水污染管制條例》（第</w:t>
            </w:r>
            <w:r w:rsidRPr="004210E9">
              <w:t>358</w:t>
            </w:r>
            <w:r w:rsidRPr="004210E9">
              <w:t>章）</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享有</w:t>
            </w:r>
            <w:r w:rsidRPr="004210E9">
              <w:rPr>
                <w:b/>
              </w:rPr>
              <w:t>適</w:t>
            </w:r>
            <w:r w:rsidRPr="004210E9">
              <w:rPr>
                <w:b/>
                <w:lang w:eastAsia="zh-HK"/>
              </w:rPr>
              <w:t>當住屋的權利</w:t>
            </w:r>
          </w:p>
        </w:tc>
      </w:tr>
      <w:tr w:rsidR="007F224C" w:rsidRPr="004210E9" w:rsidTr="00A71DE2">
        <w:trPr>
          <w:cantSplit/>
          <w:trHeight w:val="20"/>
        </w:trPr>
        <w:tc>
          <w:tcPr>
            <w:tcW w:w="2638" w:type="dxa"/>
          </w:tcPr>
          <w:p w:rsidR="007F224C" w:rsidRPr="004210E9" w:rsidRDefault="007F224C" w:rsidP="007F224C">
            <w:pPr>
              <w:spacing w:after="150"/>
            </w:pPr>
            <w:r w:rsidRPr="004210E9">
              <w:t>立法措施</w:t>
            </w: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rFonts w:hint="eastAsia"/>
              </w:rPr>
              <w:t>《</w:t>
            </w:r>
            <w:r w:rsidRPr="004210E9">
              <w:rPr>
                <w:rFonts w:hint="eastAsia"/>
                <w:lang w:eastAsia="zh-HK"/>
              </w:rPr>
              <w:t>業</w:t>
            </w:r>
            <w:r w:rsidRPr="004210E9">
              <w:rPr>
                <w:rFonts w:hint="eastAsia"/>
              </w:rPr>
              <w:t>主</w:t>
            </w:r>
            <w:r w:rsidRPr="004210E9">
              <w:rPr>
                <w:rFonts w:hint="eastAsia"/>
                <w:lang w:eastAsia="zh-HK"/>
              </w:rPr>
              <w:t>與租客</w:t>
            </w:r>
            <w:r w:rsidRPr="004210E9">
              <w:rPr>
                <w:rFonts w:hint="eastAsia"/>
              </w:rPr>
              <w:t>(</w:t>
            </w:r>
            <w:r w:rsidRPr="004210E9">
              <w:rPr>
                <w:rFonts w:hint="eastAsia"/>
                <w:lang w:eastAsia="zh-HK"/>
              </w:rPr>
              <w:t>綜</w:t>
            </w:r>
            <w:r w:rsidRPr="004210E9">
              <w:rPr>
                <w:rFonts w:hint="eastAsia"/>
              </w:rPr>
              <w:t>合</w:t>
            </w:r>
            <w:r w:rsidRPr="004210E9">
              <w:rPr>
                <w:rFonts w:hint="eastAsia"/>
              </w:rPr>
              <w:t>)</w:t>
            </w:r>
            <w:r w:rsidRPr="004210E9">
              <w:rPr>
                <w:rFonts w:hint="eastAsia"/>
              </w:rPr>
              <w:t>條例》（第</w:t>
            </w:r>
            <w:r w:rsidRPr="004210E9">
              <w:rPr>
                <w:rFonts w:hint="eastAsia"/>
              </w:rPr>
              <w:t>7</w:t>
            </w:r>
            <w:r w:rsidRPr="004210E9">
              <w:rPr>
                <w:rFonts w:hint="eastAsia"/>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《新界條例》（</w:t>
            </w:r>
            <w:r w:rsidRPr="004210E9">
              <w:rPr>
                <w:lang w:eastAsia="zh-HK"/>
              </w:rPr>
              <w:t>第</w:t>
            </w:r>
            <w:r w:rsidRPr="004210E9">
              <w:t>97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《差餉條例》（</w:t>
            </w:r>
            <w:r w:rsidRPr="004210E9">
              <w:rPr>
                <w:lang w:eastAsia="zh-HK"/>
              </w:rPr>
              <w:t>第</w:t>
            </w:r>
            <w:r w:rsidRPr="004210E9">
              <w:t>116</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《印花稅條例》（</w:t>
            </w:r>
            <w:r w:rsidRPr="004210E9">
              <w:rPr>
                <w:lang w:eastAsia="zh-HK"/>
              </w:rPr>
              <w:t>第</w:t>
            </w:r>
            <w:r w:rsidRPr="004210E9">
              <w:t>117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《收回土地條例》（</w:t>
            </w:r>
            <w:r w:rsidRPr="004210E9">
              <w:rPr>
                <w:lang w:eastAsia="zh-HK"/>
              </w:rPr>
              <w:t>第</w:t>
            </w:r>
            <w:r w:rsidRPr="004210E9">
              <w:t>124</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《城市規劃條例》（</w:t>
            </w:r>
            <w:r w:rsidRPr="004210E9">
              <w:rPr>
                <w:lang w:eastAsia="zh-HK"/>
              </w:rPr>
              <w:t>第</w:t>
            </w:r>
            <w:r w:rsidRPr="004210E9">
              <w:t>131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《房屋條例》（</w:t>
            </w:r>
            <w:r w:rsidRPr="004210E9">
              <w:rPr>
                <w:lang w:eastAsia="zh-HK"/>
              </w:rPr>
              <w:t>第</w:t>
            </w:r>
            <w:r w:rsidRPr="004210E9">
              <w:t>283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《床位寓所條例》（</w:t>
            </w:r>
            <w:r w:rsidRPr="004210E9">
              <w:rPr>
                <w:lang w:eastAsia="zh-HK"/>
              </w:rPr>
              <w:t>第</w:t>
            </w:r>
            <w:r w:rsidRPr="004210E9">
              <w:t>447</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《新界土地（豁免）條例》（</w:t>
            </w:r>
            <w:r w:rsidRPr="004210E9">
              <w:rPr>
                <w:lang w:eastAsia="zh-HK"/>
              </w:rPr>
              <w:t>第</w:t>
            </w:r>
            <w:r w:rsidRPr="004210E9">
              <w:t>452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《地產代理條例》（</w:t>
            </w:r>
            <w:r w:rsidRPr="004210E9">
              <w:rPr>
                <w:lang w:eastAsia="zh-HK"/>
              </w:rPr>
              <w:t>第</w:t>
            </w:r>
            <w:r w:rsidRPr="004210E9">
              <w:t>511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277BF">
              <w:rPr>
                <w:rFonts w:ascii="標楷體" w:hAnsi="標楷體" w:hint="eastAsia"/>
                <w:sz w:val="32"/>
                <w:lang w:val="en-GB"/>
              </w:rPr>
              <w:t>－</w:t>
            </w:r>
          </w:p>
        </w:tc>
        <w:tc>
          <w:tcPr>
            <w:tcW w:w="5616" w:type="dxa"/>
          </w:tcPr>
          <w:p w:rsidR="007F224C" w:rsidRDefault="007F224C" w:rsidP="007F224C">
            <w:pPr>
              <w:tabs>
                <w:tab w:val="left" w:pos="86"/>
              </w:tabs>
              <w:spacing w:after="150"/>
              <w:ind w:right="285"/>
            </w:pPr>
            <w:r w:rsidRPr="004210E9">
              <w:t>《市區重建局條例》（</w:t>
            </w:r>
            <w:r w:rsidRPr="004210E9">
              <w:rPr>
                <w:lang w:eastAsia="zh-HK"/>
              </w:rPr>
              <w:t>第</w:t>
            </w:r>
            <w:r w:rsidRPr="004210E9">
              <w:t>563</w:t>
            </w:r>
            <w:r w:rsidRPr="004210E9">
              <w:rPr>
                <w:lang w:eastAsia="zh-HK"/>
              </w:rPr>
              <w:t>章</w:t>
            </w:r>
            <w:r w:rsidRPr="004210E9">
              <w:t>）</w:t>
            </w:r>
          </w:p>
          <w:p w:rsidR="007F224C" w:rsidRPr="004210E9" w:rsidRDefault="007F224C" w:rsidP="007F224C">
            <w:pPr>
              <w:tabs>
                <w:tab w:val="left" w:pos="86"/>
              </w:tabs>
              <w:spacing w:after="150"/>
              <w:ind w:right="285"/>
            </w:pP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36729C">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《一手住宅物業銷售條例》（</w:t>
            </w:r>
            <w:r w:rsidRPr="004210E9">
              <w:rPr>
                <w:lang w:eastAsia="zh-HK"/>
              </w:rPr>
              <w:t>第</w:t>
            </w:r>
            <w:r w:rsidRPr="004210E9">
              <w:t>621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36729C">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《物業管理服務條例》（</w:t>
            </w:r>
            <w:r w:rsidRPr="004210E9">
              <w:rPr>
                <w:lang w:eastAsia="zh-HK"/>
              </w:rPr>
              <w:t>第</w:t>
            </w:r>
            <w:r w:rsidRPr="004210E9">
              <w:t>626</w:t>
            </w:r>
            <w:r w:rsidRPr="004210E9">
              <w:rPr>
                <w:lang w:eastAsia="zh-HK"/>
              </w:rPr>
              <w:t>章</w:t>
            </w:r>
            <w:r w:rsidRPr="004210E9">
              <w:t>）</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不</w:t>
            </w:r>
            <w:r w:rsidRPr="004210E9">
              <w:rPr>
                <w:b/>
              </w:rPr>
              <w:t>斷改</w:t>
            </w:r>
            <w:r w:rsidRPr="004210E9">
              <w:rPr>
                <w:b/>
                <w:lang w:eastAsia="zh-HK"/>
              </w:rPr>
              <w:t>善生</w:t>
            </w:r>
            <w:r w:rsidRPr="004210E9">
              <w:rPr>
                <w:b/>
              </w:rPr>
              <w:t>活</w:t>
            </w:r>
            <w:r w:rsidRPr="004210E9">
              <w:rPr>
                <w:b/>
                <w:lang w:eastAsia="zh-HK"/>
              </w:rPr>
              <w:t>條件的權利</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16626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《公眾衞生及市政條例》（第</w:t>
            </w:r>
            <w:r w:rsidRPr="004210E9">
              <w:t>132</w:t>
            </w:r>
            <w:r w:rsidRPr="004210E9">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16626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《安老院條例》（第</w:t>
            </w:r>
            <w:r w:rsidRPr="004210E9">
              <w:t>459</w:t>
            </w:r>
            <w:r w:rsidRPr="004210E9">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16626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《殘疾人士院舍條例》（第</w:t>
            </w:r>
            <w:r w:rsidRPr="004210E9">
              <w:t>613</w:t>
            </w:r>
            <w:r w:rsidRPr="004210E9">
              <w:t>章）</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u w:val="single"/>
                <w:lang w:eastAsia="zh-HK"/>
              </w:rPr>
            </w:pPr>
            <w:r w:rsidRPr="004210E9">
              <w:rPr>
                <w:b/>
                <w:u w:val="single"/>
                <w:lang w:eastAsia="zh-HK"/>
              </w:rPr>
              <w:t>第十二條</w:t>
            </w:r>
          </w:p>
          <w:p w:rsidR="002E445E" w:rsidRPr="004210E9" w:rsidRDefault="002E445E" w:rsidP="005C4451">
            <w:pPr>
              <w:tabs>
                <w:tab w:val="left" w:pos="86"/>
              </w:tabs>
              <w:spacing w:after="150"/>
              <w:ind w:right="285"/>
            </w:pPr>
            <w:r w:rsidRPr="004210E9">
              <w:rPr>
                <w:b/>
                <w:lang w:eastAsia="zh-HK"/>
              </w:rPr>
              <w:t>享有健</w:t>
            </w:r>
            <w:r w:rsidRPr="004210E9">
              <w:rPr>
                <w:b/>
              </w:rPr>
              <w:t>康</w:t>
            </w:r>
            <w:r w:rsidRPr="004210E9">
              <w:rPr>
                <w:b/>
                <w:lang w:eastAsia="zh-HK"/>
              </w:rPr>
              <w:t>的權利</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rPr>
                <w:lang w:eastAsia="zh-HK"/>
              </w:rPr>
              <w:t>憲制保</w:t>
            </w:r>
            <w:r w:rsidRPr="004210E9">
              <w:t>障</w:t>
            </w:r>
          </w:p>
        </w:tc>
        <w:tc>
          <w:tcPr>
            <w:tcW w:w="540" w:type="dxa"/>
          </w:tcPr>
          <w:p w:rsidR="007F224C" w:rsidRDefault="007F224C" w:rsidP="007F224C">
            <w:r w:rsidRPr="001832C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lang w:eastAsia="zh-HK"/>
              </w:rPr>
              <w:t>《基本法》第</w:t>
            </w:r>
            <w:r w:rsidRPr="004210E9">
              <w:rPr>
                <w:rFonts w:hint="eastAsia"/>
                <w:lang w:eastAsia="zh-HK"/>
              </w:rPr>
              <w:t>一百三十八</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1832C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《精神健康條例》（</w:t>
            </w:r>
            <w:r w:rsidRPr="004210E9">
              <w:rPr>
                <w:lang w:eastAsia="zh-HK"/>
              </w:rPr>
              <w:t>第</w:t>
            </w:r>
            <w:r w:rsidRPr="004210E9">
              <w:t>136</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1832C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《吸煙（公眾衞生）條例》（</w:t>
            </w:r>
            <w:r w:rsidRPr="004210E9">
              <w:rPr>
                <w:lang w:eastAsia="zh-HK"/>
              </w:rPr>
              <w:t>第</w:t>
            </w:r>
            <w:r w:rsidRPr="004210E9">
              <w:t>371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1832C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《職業安全及健康條例》（</w:t>
            </w:r>
            <w:r w:rsidRPr="004210E9">
              <w:rPr>
                <w:lang w:eastAsia="zh-HK"/>
              </w:rPr>
              <w:t>第</w:t>
            </w:r>
            <w:r w:rsidRPr="004210E9">
              <w:t>509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1832C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60"/>
            </w:pPr>
            <w:r w:rsidRPr="004210E9">
              <w:t>《電子健康紀錄互通系統條例》（</w:t>
            </w:r>
            <w:r w:rsidRPr="004210E9">
              <w:rPr>
                <w:lang w:eastAsia="zh-HK"/>
              </w:rPr>
              <w:t>第</w:t>
            </w:r>
            <w:r w:rsidRPr="004210E9">
              <w:t>625</w:t>
            </w:r>
            <w:r w:rsidRPr="004210E9">
              <w:rPr>
                <w:lang w:eastAsia="zh-HK"/>
              </w:rPr>
              <w:t>章</w:t>
            </w:r>
            <w:r w:rsidRPr="004210E9">
              <w:t>）</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環</w:t>
            </w:r>
            <w:r w:rsidRPr="004210E9">
              <w:rPr>
                <w:b/>
              </w:rPr>
              <w:t>境</w:t>
            </w:r>
            <w:r w:rsidRPr="004210E9">
              <w:rPr>
                <w:b/>
                <w:lang w:eastAsia="zh-HK"/>
              </w:rPr>
              <w:t>衞生保</w:t>
            </w:r>
            <w:r w:rsidRPr="004210E9">
              <w:rPr>
                <w:b/>
              </w:rPr>
              <w:t>障</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《城市規劃條例》（第</w:t>
            </w:r>
            <w:r w:rsidRPr="004210E9">
              <w:rPr>
                <w:lang w:eastAsia="zh-HK"/>
              </w:rPr>
              <w:t>131</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《公眾衞生及市政條例》（第</w:t>
            </w:r>
            <w:r w:rsidRPr="004210E9">
              <w:rPr>
                <w:lang w:eastAsia="zh-HK"/>
              </w:rPr>
              <w:t>132</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《空氣污染管制條例》（第</w:t>
            </w:r>
            <w:r w:rsidRPr="004210E9">
              <w:rPr>
                <w:lang w:eastAsia="zh-HK"/>
              </w:rPr>
              <w:t>311</w:t>
            </w:r>
            <w:r w:rsidRPr="004210E9">
              <w:rPr>
                <w:lang w:eastAsia="zh-HK"/>
              </w:rPr>
              <w:t>章）及其</w:t>
            </w:r>
            <w:r w:rsidRPr="004210E9">
              <w:rPr>
                <w:rFonts w:hint="eastAsia"/>
                <w:lang w:eastAsia="zh-HK"/>
              </w:rPr>
              <w:t>附屬法</w:t>
            </w:r>
            <w:r w:rsidRPr="004210E9">
              <w:rPr>
                <w:lang w:eastAsia="zh-HK"/>
              </w:rPr>
              <w:t>例</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《廢物處置條例》（第</w:t>
            </w:r>
            <w:r w:rsidRPr="004210E9">
              <w:rPr>
                <w:lang w:eastAsia="zh-HK"/>
              </w:rPr>
              <w:t>354</w:t>
            </w:r>
            <w:r w:rsidRPr="004210E9">
              <w:rPr>
                <w:lang w:eastAsia="zh-HK"/>
              </w:rPr>
              <w:t>章）及其</w:t>
            </w:r>
            <w:r w:rsidRPr="004210E9">
              <w:rPr>
                <w:rFonts w:hint="eastAsia"/>
                <w:lang w:eastAsia="zh-HK"/>
              </w:rPr>
              <w:t>附屬法</w:t>
            </w:r>
            <w:r w:rsidRPr="004210E9">
              <w:rPr>
                <w:lang w:eastAsia="zh-HK"/>
              </w:rPr>
              <w:t>例</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《水污染管制條例》（第</w:t>
            </w:r>
            <w:r w:rsidRPr="004210E9">
              <w:rPr>
                <w:lang w:eastAsia="zh-HK"/>
              </w:rPr>
              <w:t>358</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《吸煙（公眾衞生）條例》（第</w:t>
            </w:r>
            <w:r w:rsidRPr="004210E9">
              <w:rPr>
                <w:lang w:eastAsia="zh-HK"/>
              </w:rPr>
              <w:t>371</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E11C90">
              <w:rPr>
                <w:rFonts w:ascii="標楷體" w:hAnsi="標楷體" w:hint="eastAsia"/>
                <w:sz w:val="32"/>
                <w:lang w:val="en-GB"/>
              </w:rPr>
              <w:t>－</w:t>
            </w:r>
          </w:p>
        </w:tc>
        <w:tc>
          <w:tcPr>
            <w:tcW w:w="5616" w:type="dxa"/>
          </w:tcPr>
          <w:p w:rsidR="007F224C" w:rsidRDefault="007F224C" w:rsidP="007F224C">
            <w:pPr>
              <w:tabs>
                <w:tab w:val="left" w:pos="86"/>
              </w:tabs>
              <w:spacing w:after="150"/>
              <w:ind w:right="285"/>
              <w:rPr>
                <w:lang w:eastAsia="zh-HK"/>
              </w:rPr>
            </w:pPr>
            <w:r w:rsidRPr="004210E9">
              <w:rPr>
                <w:lang w:eastAsia="zh-HK"/>
              </w:rPr>
              <w:t>《道路交通條例》（第</w:t>
            </w:r>
            <w:r w:rsidRPr="004210E9">
              <w:rPr>
                <w:lang w:eastAsia="zh-HK"/>
              </w:rPr>
              <w:t>374</w:t>
            </w:r>
            <w:r w:rsidRPr="004210E9">
              <w:rPr>
                <w:lang w:eastAsia="zh-HK"/>
              </w:rPr>
              <w:t>章）</w:t>
            </w:r>
          </w:p>
          <w:p w:rsidR="007F224C" w:rsidRPr="004210E9" w:rsidRDefault="007F224C" w:rsidP="007F224C">
            <w:pPr>
              <w:tabs>
                <w:tab w:val="left" w:pos="86"/>
              </w:tabs>
              <w:spacing w:after="150"/>
              <w:ind w:right="285"/>
              <w:rPr>
                <w:lang w:eastAsia="zh-HK"/>
              </w:rPr>
            </w:pP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《噪音管制條例》（第</w:t>
            </w:r>
            <w:r w:rsidRPr="004210E9">
              <w:rPr>
                <w:lang w:eastAsia="zh-HK"/>
              </w:rPr>
              <w:t>400</w:t>
            </w:r>
            <w:r w:rsidRPr="004210E9">
              <w:rPr>
                <w:lang w:eastAsia="zh-HK"/>
              </w:rPr>
              <w:t>章）及其</w:t>
            </w:r>
            <w:r w:rsidRPr="004210E9">
              <w:rPr>
                <w:rFonts w:hint="eastAsia"/>
                <w:lang w:eastAsia="zh-HK"/>
              </w:rPr>
              <w:t>附屬法</w:t>
            </w:r>
            <w:r w:rsidRPr="004210E9">
              <w:rPr>
                <w:lang w:eastAsia="zh-HK"/>
              </w:rPr>
              <w:t>例</w:t>
            </w:r>
            <w:r w:rsidRPr="004210E9">
              <w:rPr>
                <w:lang w:eastAsia="zh-HK"/>
              </w:rPr>
              <w:t xml:space="preserve"> </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《保護臭氧層條例》（第</w:t>
            </w:r>
            <w:r w:rsidRPr="004210E9">
              <w:rPr>
                <w:lang w:eastAsia="zh-HK"/>
              </w:rPr>
              <w:t>403</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《商船（防止及控制污染）條例》（第</w:t>
            </w:r>
            <w:r w:rsidRPr="004210E9">
              <w:rPr>
                <w:lang w:eastAsia="zh-HK"/>
              </w:rPr>
              <w:t>413</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60"/>
              <w:rPr>
                <w:lang w:eastAsia="zh-HK"/>
              </w:rPr>
            </w:pPr>
            <w:r w:rsidRPr="004210E9">
              <w:rPr>
                <w:lang w:eastAsia="zh-HK"/>
              </w:rPr>
              <w:t>《商船（油類污染的法律責任及補償）條例》（第</w:t>
            </w:r>
            <w:r w:rsidRPr="004210E9">
              <w:rPr>
                <w:lang w:eastAsia="zh-HK"/>
              </w:rPr>
              <w:t>414</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jc w:val="both"/>
              <w:rPr>
                <w:lang w:eastAsia="zh-HK"/>
              </w:rPr>
            </w:pPr>
            <w:r w:rsidRPr="004210E9">
              <w:rPr>
                <w:lang w:eastAsia="zh-HK"/>
              </w:rPr>
              <w:t>《污水處理服務條例》（第</w:t>
            </w:r>
            <w:r w:rsidRPr="004210E9">
              <w:rPr>
                <w:lang w:eastAsia="zh-HK"/>
              </w:rPr>
              <w:t>463</w:t>
            </w:r>
            <w:r w:rsidRPr="004210E9">
              <w:rPr>
                <w:lang w:eastAsia="zh-HK"/>
              </w:rPr>
              <w:t>章）</w:t>
            </w:r>
            <w:r w:rsidRPr="004210E9">
              <w:rPr>
                <w:rFonts w:hint="eastAsia"/>
                <w:lang w:eastAsia="zh-HK"/>
              </w:rPr>
              <w:t>及該條</w:t>
            </w:r>
            <w:r w:rsidRPr="00DF434A">
              <w:rPr>
                <w:rFonts w:hint="eastAsia"/>
                <w:spacing w:val="2"/>
              </w:rPr>
              <w:t>例</w:t>
            </w:r>
            <w:r w:rsidRPr="00DF434A">
              <w:rPr>
                <w:rFonts w:hint="eastAsia"/>
                <w:spacing w:val="2"/>
                <w:lang w:eastAsia="zh-HK"/>
              </w:rPr>
              <w:t>下的</w:t>
            </w:r>
            <w:r w:rsidRPr="00DF434A">
              <w:rPr>
                <w:spacing w:val="2"/>
                <w:lang w:eastAsia="zh-HK"/>
              </w:rPr>
              <w:t>污水處理服務（排污費）規例》（第</w:t>
            </w:r>
            <w:r w:rsidRPr="00DF434A">
              <w:rPr>
                <w:spacing w:val="2"/>
                <w:lang w:eastAsia="zh-HK"/>
              </w:rPr>
              <w:t>463</w:t>
            </w:r>
            <w:r w:rsidRPr="004210E9">
              <w:rPr>
                <w:lang w:eastAsia="zh-HK"/>
              </w:rPr>
              <w:t>章附</w:t>
            </w:r>
            <w:r w:rsidRPr="004210E9">
              <w:rPr>
                <w:rFonts w:hint="eastAsia"/>
                <w:lang w:eastAsia="zh-HK"/>
              </w:rPr>
              <w:t>屬法</w:t>
            </w:r>
            <w:r w:rsidRPr="004210E9">
              <w:rPr>
                <w:lang w:eastAsia="zh-HK"/>
              </w:rPr>
              <w:t>例</w:t>
            </w:r>
            <w:r w:rsidRPr="004210E9">
              <w:rPr>
                <w:lang w:eastAsia="zh-HK"/>
              </w:rPr>
              <w:t>A</w:t>
            </w:r>
            <w:r w:rsidRPr="004210E9">
              <w:rPr>
                <w:lang w:eastAsia="zh-HK"/>
              </w:rPr>
              <w:t>）及《污水處理服務（工商業污水附加費）規例》（第</w:t>
            </w:r>
            <w:r w:rsidRPr="004210E9">
              <w:rPr>
                <w:lang w:eastAsia="zh-HK"/>
              </w:rPr>
              <w:t>463</w:t>
            </w:r>
            <w:r w:rsidRPr="004210E9">
              <w:rPr>
                <w:lang w:eastAsia="zh-HK"/>
              </w:rPr>
              <w:t>章附</w:t>
            </w:r>
            <w:r w:rsidRPr="004210E9">
              <w:rPr>
                <w:rFonts w:hint="eastAsia"/>
                <w:lang w:eastAsia="zh-HK"/>
              </w:rPr>
              <w:t>屬法</w:t>
            </w:r>
            <w:r w:rsidRPr="004210E9">
              <w:rPr>
                <w:lang w:eastAsia="zh-HK"/>
              </w:rPr>
              <w:t>例</w:t>
            </w:r>
            <w:r w:rsidRPr="004210E9">
              <w:rPr>
                <w:lang w:eastAsia="zh-HK"/>
              </w:rPr>
              <w:t>B</w:t>
            </w:r>
            <w:r w:rsidRPr="004210E9">
              <w:rPr>
                <w:lang w:eastAsia="zh-HK"/>
              </w:rPr>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jc w:val="both"/>
              <w:rPr>
                <w:lang w:eastAsia="zh-HK"/>
              </w:rPr>
            </w:pPr>
            <w:r w:rsidRPr="004210E9">
              <w:rPr>
                <w:lang w:eastAsia="zh-HK"/>
              </w:rPr>
              <w:t>《海上傾倒物料條例》（第</w:t>
            </w:r>
            <w:r w:rsidRPr="004210E9">
              <w:rPr>
                <w:lang w:eastAsia="zh-HK"/>
              </w:rPr>
              <w:t>466</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《環境影響評估條例》（第</w:t>
            </w:r>
            <w:r w:rsidRPr="004210E9">
              <w:rPr>
                <w:lang w:eastAsia="zh-HK"/>
              </w:rPr>
              <w:t>499</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《有毒化學品管制條例》（第</w:t>
            </w:r>
            <w:r w:rsidRPr="004210E9">
              <w:rPr>
                <w:lang w:eastAsia="zh-HK"/>
              </w:rPr>
              <w:t>595</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《產品環保責任條例》（第</w:t>
            </w:r>
            <w:r w:rsidRPr="004210E9">
              <w:rPr>
                <w:lang w:eastAsia="zh-HK"/>
              </w:rPr>
              <w:t>603</w:t>
            </w:r>
            <w:r w:rsidRPr="004210E9">
              <w:rPr>
                <w:lang w:eastAsia="zh-HK"/>
              </w:rPr>
              <w:t>章）</w:t>
            </w:r>
            <w:r w:rsidRPr="004210E9">
              <w:rPr>
                <w:lang w:eastAsia="zh-HK"/>
              </w:rPr>
              <w:t xml:space="preserve"> </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《燃油污染（法律責任及補償）條例》（第</w:t>
            </w:r>
            <w:r w:rsidRPr="004210E9">
              <w:rPr>
                <w:lang w:eastAsia="zh-HK"/>
              </w:rPr>
              <w:t>605</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《建築物能源效益條例》（第</w:t>
            </w:r>
            <w:r w:rsidRPr="004210E9">
              <w:rPr>
                <w:lang w:eastAsia="zh-HK"/>
              </w:rPr>
              <w:t>610</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《汽車引擎空轉（定額罰款）條例》（第</w:t>
            </w:r>
            <w:r w:rsidRPr="004210E9">
              <w:rPr>
                <w:lang w:eastAsia="zh-HK"/>
              </w:rPr>
              <w:t>611</w:t>
            </w:r>
            <w:r w:rsidRPr="004210E9">
              <w:rPr>
                <w:lang w:eastAsia="zh-HK"/>
              </w:rPr>
              <w:t>章）</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FF726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rPr>
                <w:lang w:eastAsia="zh-HK"/>
              </w:rPr>
            </w:pPr>
            <w:r w:rsidRPr="004210E9">
              <w:rPr>
                <w:lang w:eastAsia="zh-HK"/>
              </w:rPr>
              <w:t>《食物安全條例》（第</w:t>
            </w:r>
            <w:r w:rsidRPr="004210E9">
              <w:rPr>
                <w:lang w:eastAsia="zh-HK"/>
              </w:rPr>
              <w:t>612</w:t>
            </w:r>
            <w:r w:rsidRPr="004210E9">
              <w:rPr>
                <w:lang w:eastAsia="zh-HK"/>
              </w:rPr>
              <w:t>章）</w:t>
            </w:r>
          </w:p>
          <w:p w:rsidR="007F224C" w:rsidRPr="004210E9" w:rsidRDefault="007F224C" w:rsidP="007F224C">
            <w:pPr>
              <w:tabs>
                <w:tab w:val="left" w:pos="86"/>
              </w:tabs>
              <w:spacing w:after="150"/>
              <w:ind w:right="285"/>
              <w:rPr>
                <w:lang w:eastAsia="zh-HK"/>
              </w:rPr>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70"/>
              <w:ind w:right="285"/>
            </w:pPr>
            <w:r w:rsidRPr="004210E9">
              <w:rPr>
                <w:b/>
                <w:lang w:eastAsia="zh-HK"/>
              </w:rPr>
              <w:t>工</w:t>
            </w:r>
            <w:r w:rsidRPr="004210E9">
              <w:rPr>
                <w:b/>
              </w:rPr>
              <w:t>業</w:t>
            </w:r>
            <w:r w:rsidRPr="004210E9">
              <w:rPr>
                <w:b/>
                <w:lang w:eastAsia="zh-HK"/>
              </w:rPr>
              <w:t>衞生及預防職</w:t>
            </w:r>
            <w:r w:rsidRPr="004210E9">
              <w:rPr>
                <w:b/>
              </w:rPr>
              <w:t>業</w:t>
            </w:r>
            <w:r w:rsidRPr="004210E9">
              <w:rPr>
                <w:b/>
                <w:lang w:eastAsia="zh-HK"/>
              </w:rPr>
              <w:t>病</w:t>
            </w:r>
          </w:p>
        </w:tc>
      </w:tr>
      <w:tr w:rsidR="002E445E" w:rsidRPr="004210E9" w:rsidTr="00A71DE2">
        <w:trPr>
          <w:cantSplit/>
          <w:trHeight w:val="20"/>
        </w:trPr>
        <w:tc>
          <w:tcPr>
            <w:tcW w:w="2638" w:type="dxa"/>
          </w:tcPr>
          <w:p w:rsidR="002E445E" w:rsidRPr="004210E9" w:rsidRDefault="002E445E" w:rsidP="005C4451">
            <w:pPr>
              <w:spacing w:after="150"/>
              <w:rPr>
                <w:lang w:eastAsia="zh-HK"/>
              </w:rPr>
            </w:pPr>
            <w:r w:rsidRPr="004210E9">
              <w:rPr>
                <w:lang w:eastAsia="zh-HK"/>
              </w:rPr>
              <w:t>立法措施</w:t>
            </w:r>
          </w:p>
        </w:tc>
        <w:tc>
          <w:tcPr>
            <w:tcW w:w="540" w:type="dxa"/>
          </w:tcPr>
          <w:p w:rsidR="002E445E" w:rsidRPr="004210E9" w:rsidRDefault="007F224C" w:rsidP="002E445E">
            <w:pPr>
              <w:adjustRightInd w:val="0"/>
              <w:spacing w:after="170"/>
              <w:jc w:val="both"/>
              <w:textAlignment w:val="baseline"/>
            </w:pPr>
            <w:r>
              <w:rPr>
                <w:rFonts w:ascii="標楷體" w:hAnsi="標楷體" w:hint="eastAsia"/>
                <w:sz w:val="32"/>
                <w:lang w:val="en-GB"/>
              </w:rPr>
              <w:t>－</w:t>
            </w:r>
          </w:p>
        </w:tc>
        <w:tc>
          <w:tcPr>
            <w:tcW w:w="5616" w:type="dxa"/>
          </w:tcPr>
          <w:p w:rsidR="002E445E" w:rsidRPr="00F9032E" w:rsidRDefault="002E445E" w:rsidP="00F9032E">
            <w:pPr>
              <w:tabs>
                <w:tab w:val="left" w:pos="86"/>
              </w:tabs>
              <w:spacing w:after="170"/>
              <w:ind w:right="285"/>
              <w:jc w:val="both"/>
              <w:rPr>
                <w:spacing w:val="2"/>
              </w:rPr>
            </w:pPr>
            <w:r w:rsidRPr="00F9032E">
              <w:rPr>
                <w:spacing w:val="2"/>
              </w:rPr>
              <w:t>《工廠及工業經營條例》（第</w:t>
            </w:r>
            <w:r w:rsidRPr="00F9032E">
              <w:rPr>
                <w:spacing w:val="2"/>
              </w:rPr>
              <w:t>59</w:t>
            </w:r>
            <w:r w:rsidRPr="00F9032E">
              <w:rPr>
                <w:spacing w:val="2"/>
              </w:rPr>
              <w:t>章）下的《工廠及工業經營（職業病呈報）規例》（第</w:t>
            </w:r>
            <w:r w:rsidRPr="00F9032E">
              <w:rPr>
                <w:spacing w:val="2"/>
              </w:rPr>
              <w:t>59</w:t>
            </w:r>
            <w:r w:rsidRPr="00F9032E">
              <w:rPr>
                <w:spacing w:val="2"/>
              </w:rPr>
              <w:t>章附</w:t>
            </w:r>
            <w:r w:rsidRPr="00F9032E">
              <w:rPr>
                <w:rFonts w:hint="eastAsia"/>
                <w:spacing w:val="2"/>
                <w:lang w:eastAsia="zh-HK"/>
              </w:rPr>
              <w:t>屬法</w:t>
            </w:r>
            <w:r w:rsidRPr="00F9032E">
              <w:rPr>
                <w:spacing w:val="2"/>
              </w:rPr>
              <w:t>例</w:t>
            </w:r>
            <w:r w:rsidRPr="00F9032E">
              <w:rPr>
                <w:spacing w:val="2"/>
              </w:rPr>
              <w:t>E</w:t>
            </w:r>
            <w:r w:rsidRPr="00F9032E">
              <w:rPr>
                <w:spacing w:val="2"/>
              </w:rPr>
              <w:t>）</w:t>
            </w:r>
          </w:p>
          <w:p w:rsidR="002E445E" w:rsidRDefault="002E445E" w:rsidP="005C4451">
            <w:pPr>
              <w:tabs>
                <w:tab w:val="left" w:pos="86"/>
              </w:tabs>
              <w:spacing w:after="170"/>
              <w:ind w:right="285"/>
            </w:pPr>
          </w:p>
          <w:p w:rsidR="00F9032E" w:rsidRPr="004210E9" w:rsidRDefault="00F9032E" w:rsidP="005C4451">
            <w:pPr>
              <w:tabs>
                <w:tab w:val="left" w:pos="86"/>
              </w:tabs>
              <w:spacing w:after="170"/>
              <w:ind w:right="285"/>
            </w:pPr>
          </w:p>
          <w:p w:rsidR="002E445E" w:rsidRPr="004210E9" w:rsidRDefault="002E445E" w:rsidP="005C4451">
            <w:pPr>
              <w:tabs>
                <w:tab w:val="left" w:pos="86"/>
              </w:tabs>
              <w:spacing w:after="17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70"/>
              <w:ind w:right="285"/>
            </w:pPr>
            <w:r w:rsidRPr="004210E9">
              <w:rPr>
                <w:b/>
                <w:lang w:eastAsia="zh-HK"/>
              </w:rPr>
              <w:lastRenderedPageBreak/>
              <w:t>傳染病</w:t>
            </w:r>
            <w:r w:rsidRPr="004210E9">
              <w:rPr>
                <w:rFonts w:hint="eastAsia"/>
                <w:b/>
                <w:lang w:eastAsia="zh-HK"/>
              </w:rPr>
              <w:t>的</w:t>
            </w:r>
            <w:r w:rsidRPr="004210E9">
              <w:rPr>
                <w:b/>
                <w:lang w:eastAsia="zh-HK"/>
              </w:rPr>
              <w:t>控</w:t>
            </w:r>
            <w:r w:rsidRPr="004210E9">
              <w:rPr>
                <w:b/>
              </w:rPr>
              <w:t>制</w:t>
            </w:r>
          </w:p>
        </w:tc>
      </w:tr>
      <w:tr w:rsidR="002E445E" w:rsidRPr="004210E9" w:rsidTr="00A71DE2">
        <w:trPr>
          <w:cantSplit/>
          <w:trHeight w:val="20"/>
        </w:trPr>
        <w:tc>
          <w:tcPr>
            <w:tcW w:w="2638" w:type="dxa"/>
          </w:tcPr>
          <w:p w:rsidR="002E445E" w:rsidRPr="004210E9" w:rsidRDefault="002E445E" w:rsidP="005C4451">
            <w:pPr>
              <w:spacing w:after="150"/>
              <w:rPr>
                <w:lang w:eastAsia="zh-HK"/>
              </w:rPr>
            </w:pPr>
            <w:r w:rsidRPr="004210E9">
              <w:t>立法措施</w:t>
            </w:r>
          </w:p>
        </w:tc>
        <w:tc>
          <w:tcPr>
            <w:tcW w:w="540" w:type="dxa"/>
          </w:tcPr>
          <w:p w:rsidR="002E445E" w:rsidRPr="004210E9" w:rsidRDefault="007F224C" w:rsidP="002E445E">
            <w:pPr>
              <w:adjustRightInd w:val="0"/>
              <w:spacing w:after="170"/>
              <w:jc w:val="both"/>
              <w:textAlignment w:val="baseline"/>
            </w:pPr>
            <w:r>
              <w:rPr>
                <w:rFonts w:ascii="標楷體" w:hAnsi="標楷體" w:hint="eastAsia"/>
                <w:sz w:val="32"/>
                <w:lang w:val="en-GB"/>
              </w:rPr>
              <w:t>－</w:t>
            </w:r>
          </w:p>
        </w:tc>
        <w:tc>
          <w:tcPr>
            <w:tcW w:w="5616" w:type="dxa"/>
          </w:tcPr>
          <w:p w:rsidR="002E445E" w:rsidRPr="004210E9" w:rsidRDefault="002E445E" w:rsidP="005C4451">
            <w:pPr>
              <w:tabs>
                <w:tab w:val="left" w:pos="86"/>
              </w:tabs>
              <w:spacing w:after="170"/>
              <w:ind w:right="285"/>
            </w:pPr>
            <w:r w:rsidRPr="004210E9">
              <w:t>《預防及控制疾病條例》（第</w:t>
            </w:r>
            <w:r w:rsidRPr="004210E9">
              <w:t>599</w:t>
            </w:r>
            <w:r w:rsidRPr="004210E9">
              <w:t>章）</w:t>
            </w:r>
          </w:p>
          <w:p w:rsidR="002E445E" w:rsidRPr="004210E9" w:rsidRDefault="002E445E" w:rsidP="005C4451">
            <w:pPr>
              <w:tabs>
                <w:tab w:val="left" w:pos="86"/>
              </w:tabs>
              <w:spacing w:after="17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rFonts w:hint="eastAsia"/>
                <w:b/>
                <w:lang w:eastAsia="zh-HK"/>
              </w:rPr>
              <w:t>為全港市民提供</w:t>
            </w:r>
            <w:r w:rsidRPr="004210E9">
              <w:rPr>
                <w:b/>
                <w:lang w:eastAsia="zh-HK"/>
              </w:rPr>
              <w:t>醫</w:t>
            </w:r>
            <w:r w:rsidRPr="004210E9">
              <w:rPr>
                <w:b/>
              </w:rPr>
              <w:t>療</w:t>
            </w:r>
            <w:r w:rsidRPr="004210E9">
              <w:rPr>
                <w:b/>
                <w:lang w:eastAsia="zh-HK"/>
              </w:rPr>
              <w:t>服</w:t>
            </w:r>
            <w:r w:rsidRPr="004210E9">
              <w:rPr>
                <w:b/>
              </w:rPr>
              <w:t>務</w:t>
            </w:r>
            <w:r w:rsidRPr="004210E9">
              <w:rPr>
                <w:rFonts w:hint="eastAsia"/>
                <w:b/>
                <w:lang w:eastAsia="zh-HK"/>
              </w:rPr>
              <w:t>及照</w:t>
            </w:r>
            <w:r w:rsidRPr="004210E9">
              <w:rPr>
                <w:rFonts w:hint="eastAsia"/>
                <w:b/>
              </w:rPr>
              <w:t>顧</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《醫院管理局條例》（</w:t>
            </w:r>
            <w:r w:rsidRPr="004210E9">
              <w:rPr>
                <w:lang w:eastAsia="zh-HK"/>
              </w:rPr>
              <w:t>第</w:t>
            </w:r>
            <w:r w:rsidRPr="004210E9">
              <w:t>113</w:t>
            </w:r>
            <w:r w:rsidRPr="004210E9">
              <w:rPr>
                <w:lang w:eastAsia="zh-HK"/>
              </w:rPr>
              <w:t>章</w:t>
            </w:r>
            <w:r w:rsidRPr="004210E9">
              <w:t>）</w:t>
            </w:r>
            <w:r w:rsidRPr="004210E9">
              <w:t xml:space="preserve"> </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《牙醫註冊條例》（</w:t>
            </w:r>
            <w:r w:rsidRPr="004210E9">
              <w:rPr>
                <w:lang w:eastAsia="zh-HK"/>
              </w:rPr>
              <w:t>第</w:t>
            </w:r>
            <w:r w:rsidRPr="004210E9">
              <w:t>156</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《醫生註冊條例》（</w:t>
            </w:r>
            <w:r w:rsidRPr="004210E9">
              <w:rPr>
                <w:lang w:eastAsia="zh-HK"/>
              </w:rPr>
              <w:t>第</w:t>
            </w:r>
            <w:r w:rsidRPr="004210E9">
              <w:t>161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《助產士註冊條例》（</w:t>
            </w:r>
            <w:r w:rsidRPr="004210E9">
              <w:rPr>
                <w:lang w:eastAsia="zh-HK"/>
              </w:rPr>
              <w:t>第</w:t>
            </w:r>
            <w:r w:rsidRPr="004210E9">
              <w:t>162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《護士註冊條例》（</w:t>
            </w:r>
            <w:r w:rsidRPr="004210E9">
              <w:rPr>
                <w:lang w:eastAsia="zh-HK"/>
              </w:rPr>
              <w:t>第</w:t>
            </w:r>
            <w:r w:rsidRPr="004210E9">
              <w:t>164</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《醫院、護養院及留產院註冊條例》（</w:t>
            </w:r>
            <w:r w:rsidRPr="004210E9">
              <w:rPr>
                <w:lang w:eastAsia="zh-HK"/>
              </w:rPr>
              <w:t>第</w:t>
            </w:r>
            <w:r w:rsidRPr="004210E9">
              <w:t>165</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《診療所條例》（</w:t>
            </w:r>
            <w:r w:rsidRPr="004210E9">
              <w:rPr>
                <w:lang w:eastAsia="zh-HK"/>
              </w:rPr>
              <w:t>第</w:t>
            </w:r>
            <w:r w:rsidRPr="004210E9">
              <w:t>343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《輔助醫療業條例</w:t>
            </w:r>
            <w:r w:rsidRPr="004210E9">
              <w:rPr>
                <w:lang w:eastAsia="zh-HK"/>
              </w:rPr>
              <w:t>》</w:t>
            </w:r>
            <w:r w:rsidRPr="004210E9">
              <w:t>（</w:t>
            </w:r>
            <w:r w:rsidRPr="004210E9">
              <w:rPr>
                <w:lang w:eastAsia="zh-HK"/>
              </w:rPr>
              <w:t>第</w:t>
            </w:r>
            <w:r w:rsidRPr="004210E9">
              <w:t>359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rPr>
                <w:color w:val="000000"/>
              </w:rPr>
              <w:t>《中醫藥條例》（</w:t>
            </w:r>
            <w:r w:rsidRPr="004210E9">
              <w:rPr>
                <w:color w:val="000000"/>
                <w:lang w:eastAsia="zh-HK"/>
              </w:rPr>
              <w:t>第</w:t>
            </w:r>
            <w:r w:rsidRPr="004210E9">
              <w:rPr>
                <w:color w:val="000000"/>
              </w:rPr>
              <w:t>549</w:t>
            </w:r>
            <w:r w:rsidRPr="004210E9">
              <w:rPr>
                <w:color w:val="000000"/>
                <w:lang w:eastAsia="zh-HK"/>
              </w:rPr>
              <w:t>章</w:t>
            </w:r>
            <w:r w:rsidRPr="004210E9">
              <w:rPr>
                <w:color w:val="000000"/>
              </w:rPr>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412C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《私營醫療機構條例》（</w:t>
            </w:r>
            <w:r w:rsidRPr="004210E9">
              <w:rPr>
                <w:lang w:eastAsia="zh-HK"/>
              </w:rPr>
              <w:t>第</w:t>
            </w:r>
            <w:r w:rsidRPr="004210E9">
              <w:t>633</w:t>
            </w:r>
            <w:r w:rsidRPr="004210E9">
              <w:rPr>
                <w:lang w:eastAsia="zh-HK"/>
              </w:rPr>
              <w:t>章</w:t>
            </w:r>
            <w:r w:rsidRPr="004210E9">
              <w:t>）</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減少酒精的禍害</w:t>
            </w:r>
          </w:p>
        </w:tc>
      </w:tr>
      <w:tr w:rsidR="002E445E" w:rsidRPr="004210E9" w:rsidTr="00A71DE2">
        <w:trPr>
          <w:cantSplit/>
          <w:trHeight w:val="20"/>
        </w:trPr>
        <w:tc>
          <w:tcPr>
            <w:tcW w:w="2638" w:type="dxa"/>
          </w:tcPr>
          <w:p w:rsidR="002E445E" w:rsidRPr="004210E9" w:rsidRDefault="002E445E" w:rsidP="005C4451">
            <w:pPr>
              <w:spacing w:after="150"/>
              <w:rPr>
                <w:lang w:eastAsia="zh-HK"/>
              </w:rPr>
            </w:pPr>
            <w:r w:rsidRPr="004210E9">
              <w:rPr>
                <w:lang w:eastAsia="zh-HK"/>
              </w:rPr>
              <w:t>立法措施</w:t>
            </w:r>
          </w:p>
        </w:tc>
        <w:tc>
          <w:tcPr>
            <w:tcW w:w="540" w:type="dxa"/>
          </w:tcPr>
          <w:p w:rsidR="002E445E" w:rsidRPr="004210E9" w:rsidRDefault="007F224C" w:rsidP="002E445E">
            <w:pPr>
              <w:adjustRightInd w:val="0"/>
              <w:spacing w:after="170"/>
              <w:jc w:val="both"/>
              <w:textAlignment w:val="baseline"/>
            </w:pPr>
            <w:r>
              <w:rPr>
                <w:rFonts w:ascii="標楷體" w:hAnsi="標楷體" w:hint="eastAsia"/>
                <w:sz w:val="32"/>
                <w:lang w:val="en-GB"/>
              </w:rPr>
              <w:t>－</w:t>
            </w:r>
          </w:p>
        </w:tc>
        <w:tc>
          <w:tcPr>
            <w:tcW w:w="5616" w:type="dxa"/>
          </w:tcPr>
          <w:p w:rsidR="002E445E" w:rsidRPr="00F9032E" w:rsidRDefault="002E445E" w:rsidP="00F9032E">
            <w:pPr>
              <w:tabs>
                <w:tab w:val="left" w:pos="86"/>
              </w:tabs>
              <w:spacing w:after="150"/>
              <w:ind w:right="285"/>
              <w:jc w:val="both"/>
              <w:rPr>
                <w:spacing w:val="2"/>
              </w:rPr>
            </w:pPr>
            <w:r w:rsidRPr="00F9032E">
              <w:rPr>
                <w:spacing w:val="2"/>
              </w:rPr>
              <w:t>《應課稅品條例》（第</w:t>
            </w:r>
            <w:r w:rsidRPr="00F9032E">
              <w:rPr>
                <w:spacing w:val="2"/>
              </w:rPr>
              <w:t>109</w:t>
            </w:r>
            <w:r w:rsidRPr="00F9032E">
              <w:rPr>
                <w:spacing w:val="2"/>
              </w:rPr>
              <w:t>章）下的《應課稅品（酒類）規例》（第</w:t>
            </w:r>
            <w:r w:rsidRPr="00F9032E">
              <w:rPr>
                <w:spacing w:val="2"/>
              </w:rPr>
              <w:t>109</w:t>
            </w:r>
            <w:r w:rsidRPr="00F9032E">
              <w:rPr>
                <w:spacing w:val="2"/>
              </w:rPr>
              <w:t>章附</w:t>
            </w:r>
            <w:r w:rsidRPr="00F9032E">
              <w:rPr>
                <w:rFonts w:hint="eastAsia"/>
                <w:spacing w:val="2"/>
                <w:lang w:eastAsia="zh-HK"/>
              </w:rPr>
              <w:t>屬法</w:t>
            </w:r>
            <w:r w:rsidRPr="00F9032E">
              <w:rPr>
                <w:spacing w:val="2"/>
              </w:rPr>
              <w:t>例</w:t>
            </w:r>
            <w:r w:rsidRPr="00F9032E">
              <w:rPr>
                <w:spacing w:val="2"/>
              </w:rPr>
              <w:t>B</w:t>
            </w:r>
            <w:r w:rsidRPr="00F9032E">
              <w:rPr>
                <w:spacing w:val="2"/>
              </w:rPr>
              <w:t>）</w:t>
            </w:r>
          </w:p>
          <w:p w:rsidR="002E445E" w:rsidRPr="00F9032E" w:rsidRDefault="002E445E" w:rsidP="00F9032E">
            <w:pPr>
              <w:tabs>
                <w:tab w:val="left" w:pos="86"/>
              </w:tabs>
              <w:spacing w:after="150"/>
              <w:ind w:right="285"/>
              <w:jc w:val="both"/>
              <w:rPr>
                <w:spacing w:val="2"/>
              </w:rPr>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u w:val="single"/>
                <w:lang w:eastAsia="zh-HK"/>
              </w:rPr>
            </w:pPr>
            <w:r w:rsidRPr="004210E9">
              <w:rPr>
                <w:b/>
                <w:u w:val="single"/>
                <w:lang w:eastAsia="zh-HK"/>
              </w:rPr>
              <w:t>第十三及十四條</w:t>
            </w:r>
          </w:p>
          <w:p w:rsidR="002E445E" w:rsidRPr="004210E9" w:rsidRDefault="002E445E" w:rsidP="005C4451">
            <w:pPr>
              <w:tabs>
                <w:tab w:val="left" w:pos="86"/>
              </w:tabs>
              <w:spacing w:after="150"/>
              <w:ind w:right="285"/>
            </w:pPr>
            <w:r w:rsidRPr="004210E9">
              <w:rPr>
                <w:b/>
                <w:lang w:eastAsia="zh-HK"/>
              </w:rPr>
              <w:t>接</w:t>
            </w:r>
            <w:r w:rsidRPr="004210E9">
              <w:rPr>
                <w:b/>
              </w:rPr>
              <w:t>受</w:t>
            </w:r>
            <w:r w:rsidRPr="004210E9">
              <w:rPr>
                <w:b/>
                <w:lang w:eastAsia="zh-HK"/>
              </w:rPr>
              <w:t>教</w:t>
            </w:r>
            <w:r w:rsidRPr="004210E9">
              <w:rPr>
                <w:b/>
              </w:rPr>
              <w:t>育</w:t>
            </w:r>
            <w:r w:rsidRPr="004210E9">
              <w:rPr>
                <w:b/>
                <w:lang w:eastAsia="zh-HK"/>
              </w:rPr>
              <w:t>的權利</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憲制保障</w:t>
            </w:r>
          </w:p>
        </w:tc>
        <w:tc>
          <w:tcPr>
            <w:tcW w:w="540" w:type="dxa"/>
          </w:tcPr>
          <w:p w:rsidR="007F224C" w:rsidRDefault="007F224C" w:rsidP="007F224C">
            <w:r w:rsidRPr="00356DA8">
              <w:rPr>
                <w:rFonts w:ascii="標楷體" w:hAnsi="標楷體" w:hint="eastAsia"/>
                <w:sz w:val="32"/>
                <w:lang w:val="en-GB"/>
              </w:rPr>
              <w:t>－</w:t>
            </w:r>
          </w:p>
        </w:tc>
        <w:tc>
          <w:tcPr>
            <w:tcW w:w="5616" w:type="dxa"/>
          </w:tcPr>
          <w:p w:rsidR="007F224C" w:rsidRPr="00F9032E" w:rsidRDefault="007F224C" w:rsidP="007F224C">
            <w:pPr>
              <w:tabs>
                <w:tab w:val="left" w:pos="86"/>
              </w:tabs>
              <w:spacing w:after="150"/>
              <w:ind w:right="285"/>
              <w:rPr>
                <w:spacing w:val="-2"/>
              </w:rPr>
            </w:pPr>
            <w:r w:rsidRPr="00F9032E">
              <w:rPr>
                <w:spacing w:val="-2"/>
                <w:lang w:eastAsia="zh-HK"/>
              </w:rPr>
              <w:t>《基本法》第</w:t>
            </w:r>
            <w:r w:rsidRPr="00F9032E">
              <w:rPr>
                <w:rFonts w:hint="eastAsia"/>
                <w:spacing w:val="-2"/>
                <w:lang w:eastAsia="zh-HK"/>
              </w:rPr>
              <w:t>一百三十六</w:t>
            </w:r>
            <w:r w:rsidRPr="00F9032E">
              <w:rPr>
                <w:spacing w:val="-2"/>
                <w:lang w:eastAsia="zh-HK"/>
              </w:rPr>
              <w:t>、</w:t>
            </w:r>
            <w:r w:rsidRPr="00F9032E">
              <w:rPr>
                <w:spacing w:val="-2"/>
              </w:rPr>
              <w:t>一百三十</w:t>
            </w:r>
            <w:r w:rsidRPr="00F9032E">
              <w:rPr>
                <w:rFonts w:hint="eastAsia"/>
                <w:spacing w:val="-2"/>
                <w:lang w:eastAsia="zh-HK"/>
              </w:rPr>
              <w:t>七</w:t>
            </w:r>
            <w:r w:rsidRPr="00F9032E">
              <w:rPr>
                <w:spacing w:val="-2"/>
                <w:lang w:eastAsia="zh-HK"/>
              </w:rPr>
              <w:t>及</w:t>
            </w:r>
            <w:r w:rsidRPr="00F9032E">
              <w:rPr>
                <w:rFonts w:hint="eastAsia"/>
                <w:spacing w:val="-2"/>
                <w:lang w:eastAsia="zh-HK"/>
              </w:rPr>
              <w:t>一百四十四</w:t>
            </w:r>
            <w:r w:rsidRPr="00F9032E">
              <w:rPr>
                <w:spacing w:val="-2"/>
                <w:lang w:eastAsia="zh-HK"/>
              </w:rPr>
              <w:t>條</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356DA8">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《敎育條例》（</w:t>
            </w:r>
            <w:r w:rsidRPr="004210E9">
              <w:rPr>
                <w:lang w:eastAsia="zh-HK"/>
              </w:rPr>
              <w:t>第</w:t>
            </w:r>
            <w:r w:rsidRPr="004210E9">
              <w:t>279</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356DA8">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《專上學院條例》（</w:t>
            </w:r>
            <w:r w:rsidRPr="004210E9">
              <w:rPr>
                <w:lang w:eastAsia="zh-HK"/>
              </w:rPr>
              <w:t>第</w:t>
            </w:r>
            <w:r w:rsidRPr="004210E9">
              <w:t>320</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356DA8">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jc w:val="both"/>
            </w:pPr>
            <w:r w:rsidRPr="004210E9">
              <w:t>《香港人權法案條例》（第</w:t>
            </w:r>
            <w:r w:rsidRPr="004210E9">
              <w:t>383</w:t>
            </w:r>
            <w:r w:rsidRPr="004210E9">
              <w:t>章）</w:t>
            </w:r>
            <w:r w:rsidRPr="004210E9">
              <w:rPr>
                <w:lang w:eastAsia="zh-HK"/>
              </w:rPr>
              <w:t>第</w:t>
            </w:r>
            <w:r w:rsidRPr="004210E9">
              <w:t>15</w:t>
            </w:r>
            <w:r w:rsidRPr="004210E9">
              <w:rPr>
                <w:rFonts w:hint="eastAsia"/>
              </w:rPr>
              <w:t>(</w:t>
            </w:r>
            <w:r w:rsidRPr="004210E9">
              <w:t>4</w:t>
            </w:r>
            <w:r w:rsidRPr="004210E9">
              <w:rPr>
                <w:rFonts w:hint="eastAsia"/>
              </w:rPr>
              <w:t>)</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9105D">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《學術及職業資歷評審條例》（</w:t>
            </w:r>
            <w:r w:rsidRPr="004210E9">
              <w:rPr>
                <w:lang w:eastAsia="zh-HK"/>
              </w:rPr>
              <w:t>第</w:t>
            </w:r>
            <w:r w:rsidRPr="004210E9">
              <w:t>592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49105D">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《香港學術及職業資歷評審局條例》（</w:t>
            </w:r>
            <w:r w:rsidRPr="004210E9">
              <w:rPr>
                <w:lang w:eastAsia="zh-HK"/>
              </w:rPr>
              <w:t>第</w:t>
            </w:r>
            <w:r w:rsidRPr="004210E9">
              <w:t>1150</w:t>
            </w:r>
            <w:r w:rsidRPr="004210E9">
              <w:rPr>
                <w:lang w:eastAsia="zh-HK"/>
              </w:rPr>
              <w:t>章</w:t>
            </w:r>
            <w:r w:rsidRPr="004210E9">
              <w:t>）</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u w:val="single"/>
                <w:lang w:eastAsia="zh-HK"/>
              </w:rPr>
            </w:pPr>
            <w:r w:rsidRPr="004210E9">
              <w:rPr>
                <w:b/>
                <w:u w:val="single"/>
                <w:lang w:eastAsia="zh-HK"/>
              </w:rPr>
              <w:t>第十五條</w:t>
            </w:r>
          </w:p>
          <w:p w:rsidR="002E445E" w:rsidRPr="004210E9" w:rsidRDefault="002E445E" w:rsidP="005C4451">
            <w:pPr>
              <w:tabs>
                <w:tab w:val="left" w:pos="86"/>
              </w:tabs>
              <w:spacing w:after="150"/>
              <w:ind w:right="285"/>
            </w:pPr>
            <w:r w:rsidRPr="004210E9">
              <w:rPr>
                <w:b/>
                <w:lang w:eastAsia="zh-HK"/>
              </w:rPr>
              <w:t>參</w:t>
            </w:r>
            <w:r w:rsidRPr="004210E9">
              <w:rPr>
                <w:b/>
              </w:rPr>
              <w:t>與</w:t>
            </w:r>
            <w:r w:rsidRPr="004210E9">
              <w:rPr>
                <w:b/>
                <w:lang w:eastAsia="zh-HK"/>
              </w:rPr>
              <w:t>文化生</w:t>
            </w:r>
            <w:r w:rsidRPr="004210E9">
              <w:rPr>
                <w:b/>
              </w:rPr>
              <w:t>活</w:t>
            </w:r>
            <w:r w:rsidRPr="004210E9">
              <w:rPr>
                <w:b/>
                <w:lang w:eastAsia="zh-HK"/>
              </w:rPr>
              <w:t>、享</w:t>
            </w:r>
            <w:r w:rsidRPr="004210E9">
              <w:rPr>
                <w:b/>
              </w:rPr>
              <w:t>受</w:t>
            </w:r>
            <w:r w:rsidRPr="004210E9">
              <w:rPr>
                <w:b/>
                <w:lang w:eastAsia="zh-HK"/>
              </w:rPr>
              <w:t>科學進</w:t>
            </w:r>
            <w:r w:rsidRPr="004210E9">
              <w:rPr>
                <w:b/>
              </w:rPr>
              <w:t>步</w:t>
            </w:r>
            <w:r w:rsidRPr="004210E9">
              <w:rPr>
                <w:b/>
                <w:lang w:eastAsia="zh-HK"/>
              </w:rPr>
              <w:t>及其應用之惠的權利</w:t>
            </w:r>
          </w:p>
        </w:tc>
      </w:tr>
      <w:tr w:rsidR="002E445E" w:rsidRPr="004210E9" w:rsidTr="00A71DE2">
        <w:trPr>
          <w:cantSplit/>
          <w:trHeight w:val="20"/>
        </w:trPr>
        <w:tc>
          <w:tcPr>
            <w:tcW w:w="2638" w:type="dxa"/>
          </w:tcPr>
          <w:p w:rsidR="002E445E" w:rsidRPr="004210E9" w:rsidRDefault="002E445E" w:rsidP="005C4451">
            <w:pPr>
              <w:spacing w:after="150"/>
              <w:rPr>
                <w:lang w:eastAsia="zh-HK"/>
              </w:rPr>
            </w:pPr>
            <w:r w:rsidRPr="004210E9">
              <w:t>憲制保障</w:t>
            </w:r>
          </w:p>
        </w:tc>
        <w:tc>
          <w:tcPr>
            <w:tcW w:w="540" w:type="dxa"/>
          </w:tcPr>
          <w:p w:rsidR="002E445E" w:rsidRPr="004210E9" w:rsidRDefault="007F224C" w:rsidP="002E445E">
            <w:pPr>
              <w:adjustRightInd w:val="0"/>
              <w:spacing w:after="170"/>
              <w:jc w:val="both"/>
              <w:textAlignment w:val="baseline"/>
            </w:pPr>
            <w:r>
              <w:rPr>
                <w:rFonts w:ascii="標楷體" w:hAnsi="標楷體" w:hint="eastAsia"/>
                <w:sz w:val="32"/>
                <w:lang w:val="en-GB"/>
              </w:rPr>
              <w:t>－</w:t>
            </w:r>
          </w:p>
        </w:tc>
        <w:tc>
          <w:tcPr>
            <w:tcW w:w="5616" w:type="dxa"/>
          </w:tcPr>
          <w:p w:rsidR="002E445E" w:rsidRPr="00AE74EF" w:rsidRDefault="002E445E" w:rsidP="00AE74EF">
            <w:pPr>
              <w:spacing w:after="150"/>
              <w:ind w:right="-60"/>
            </w:pPr>
            <w:r w:rsidRPr="00AE74EF">
              <w:t>《基本法》第</w:t>
            </w:r>
            <w:r w:rsidRPr="00AE74EF">
              <w:rPr>
                <w:rFonts w:hint="eastAsia"/>
                <w:lang w:eastAsia="zh-HK"/>
              </w:rPr>
              <w:t>二十七</w:t>
            </w:r>
            <w:r w:rsidRPr="00AE74EF">
              <w:rPr>
                <w:lang w:eastAsia="zh-HK"/>
              </w:rPr>
              <w:t>、</w:t>
            </w:r>
            <w:r w:rsidRPr="00AE74EF">
              <w:rPr>
                <w:rFonts w:hint="eastAsia"/>
                <w:lang w:eastAsia="zh-HK"/>
              </w:rPr>
              <w:t>三十四</w:t>
            </w:r>
            <w:r w:rsidRPr="00AE74EF">
              <w:rPr>
                <w:lang w:eastAsia="zh-HK"/>
              </w:rPr>
              <w:t>、</w:t>
            </w:r>
            <w:r w:rsidRPr="00AE74EF">
              <w:rPr>
                <w:rFonts w:hint="eastAsia"/>
                <w:lang w:eastAsia="zh-HK"/>
              </w:rPr>
              <w:t>一百三十九</w:t>
            </w:r>
            <w:r w:rsidRPr="00AE74EF">
              <w:rPr>
                <w:lang w:eastAsia="zh-HK"/>
              </w:rPr>
              <w:t>、</w:t>
            </w:r>
            <w:r w:rsidRPr="00AE74EF">
              <w:rPr>
                <w:rFonts w:hint="eastAsia"/>
                <w:lang w:eastAsia="zh-HK"/>
              </w:rPr>
              <w:t>一百四十</w:t>
            </w:r>
            <w:r w:rsidRPr="00AE74EF">
              <w:t>及</w:t>
            </w:r>
            <w:r w:rsidRPr="00AE74EF">
              <w:rPr>
                <w:rFonts w:hint="eastAsia"/>
                <w:lang w:eastAsia="zh-HK"/>
              </w:rPr>
              <w:t>一百四十四</w:t>
            </w:r>
            <w:r w:rsidRPr="00AE74EF">
              <w:t>條</w:t>
            </w:r>
          </w:p>
          <w:p w:rsidR="002E445E" w:rsidRPr="004210E9" w:rsidRDefault="002E445E" w:rsidP="005C4451">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lang w:eastAsia="zh-HK"/>
              </w:rPr>
              <w:t>參與文化生活的權利</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t>《古物及古蹟條例》（</w:t>
            </w:r>
            <w:r w:rsidRPr="004210E9">
              <w:rPr>
                <w:lang w:eastAsia="zh-HK"/>
              </w:rPr>
              <w:t>第</w:t>
            </w:r>
            <w:r w:rsidRPr="004210E9">
              <w:t>53</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t>《香港藝術中心條例》（</w:t>
            </w:r>
            <w:r w:rsidRPr="004210E9">
              <w:rPr>
                <w:lang w:eastAsia="zh-HK"/>
              </w:rPr>
              <w:t>第</w:t>
            </w:r>
            <w:r w:rsidRPr="004210E9">
              <w:t>304</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rPr>
                <w:lang w:eastAsia="zh-HK"/>
              </w:rPr>
              <w:t>《</w:t>
            </w:r>
            <w:r w:rsidRPr="004210E9">
              <w:t>香港人權法案條例》（第</w:t>
            </w:r>
            <w:r w:rsidRPr="004210E9">
              <w:t>383</w:t>
            </w:r>
            <w:r w:rsidRPr="004210E9">
              <w:t>章）</w:t>
            </w:r>
            <w:r w:rsidRPr="004210E9">
              <w:rPr>
                <w:lang w:eastAsia="zh-HK"/>
              </w:rPr>
              <w:t>第</w:t>
            </w:r>
            <w:r w:rsidRPr="004210E9">
              <w:t>16</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t>《衞奕信勳爵文物信託條例》（</w:t>
            </w:r>
            <w:r w:rsidRPr="004210E9">
              <w:rPr>
                <w:lang w:eastAsia="zh-HK"/>
              </w:rPr>
              <w:t>第</w:t>
            </w:r>
            <w:r w:rsidRPr="004210E9">
              <w:t>425</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t>《香港藝術發展局條例》（</w:t>
            </w:r>
            <w:r w:rsidRPr="004210E9">
              <w:rPr>
                <w:lang w:eastAsia="zh-HK"/>
              </w:rPr>
              <w:t>第</w:t>
            </w:r>
            <w:r w:rsidRPr="004210E9">
              <w:t>472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t>《西九文化區管理局條例》（</w:t>
            </w:r>
            <w:r w:rsidRPr="004210E9">
              <w:rPr>
                <w:lang w:eastAsia="zh-HK"/>
              </w:rPr>
              <w:t>第</w:t>
            </w:r>
            <w:r w:rsidRPr="004210E9">
              <w:t>601</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8270B">
              <w:rPr>
                <w:rFonts w:ascii="標楷體" w:hAnsi="標楷體" w:hint="eastAsia"/>
                <w:sz w:val="32"/>
                <w:lang w:val="en-GB"/>
              </w:rPr>
              <w:t>－</w:t>
            </w:r>
          </w:p>
        </w:tc>
        <w:tc>
          <w:tcPr>
            <w:tcW w:w="5616" w:type="dxa"/>
          </w:tcPr>
          <w:p w:rsidR="007F224C" w:rsidRPr="004210E9" w:rsidRDefault="007F224C" w:rsidP="007F224C">
            <w:pPr>
              <w:tabs>
                <w:tab w:val="left" w:pos="86"/>
              </w:tabs>
              <w:spacing w:after="160"/>
              <w:ind w:right="285"/>
            </w:pPr>
            <w:r w:rsidRPr="004210E9">
              <w:t>《香港演藝學院條例》（</w:t>
            </w:r>
            <w:r w:rsidRPr="004210E9">
              <w:rPr>
                <w:lang w:eastAsia="zh-HK"/>
              </w:rPr>
              <w:t>第</w:t>
            </w:r>
            <w:r w:rsidRPr="004210E9">
              <w:t>1135</w:t>
            </w:r>
            <w:r w:rsidRPr="004210E9">
              <w:rPr>
                <w:lang w:eastAsia="zh-HK"/>
              </w:rPr>
              <w:t>章</w:t>
            </w:r>
            <w:r w:rsidRPr="004210E9">
              <w:t>）</w:t>
            </w:r>
          </w:p>
          <w:p w:rsidR="007F224C" w:rsidRPr="004210E9" w:rsidRDefault="007F224C" w:rsidP="007F224C">
            <w:pPr>
              <w:tabs>
                <w:tab w:val="left" w:pos="86"/>
              </w:tabs>
              <w:spacing w:after="16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pPr>
            <w:r w:rsidRPr="004210E9">
              <w:rPr>
                <w:b/>
              </w:rPr>
              <w:t>享受科學進步及其應用之惠的權利</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C760C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《香港人權法案條例》（第</w:t>
            </w:r>
            <w:r w:rsidRPr="004210E9">
              <w:t>383</w:t>
            </w:r>
            <w:r w:rsidRPr="004210E9">
              <w:t>章）</w:t>
            </w:r>
            <w:r w:rsidRPr="004210E9">
              <w:rPr>
                <w:lang w:eastAsia="zh-HK"/>
              </w:rPr>
              <w:t>第</w:t>
            </w:r>
            <w:r w:rsidRPr="004210E9">
              <w:t>3</w:t>
            </w:r>
            <w:r w:rsidRPr="004210E9">
              <w:rPr>
                <w:lang w:eastAsia="zh-HK"/>
              </w:rPr>
              <w:t>及第</w:t>
            </w:r>
            <w:r w:rsidRPr="004210E9">
              <w:t>16</w:t>
            </w:r>
            <w:r w:rsidRPr="004210E9">
              <w:rPr>
                <w:lang w:eastAsia="zh-HK"/>
              </w:rPr>
              <w:t>條</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C760CA">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《個人資料（私隱）條例》（</w:t>
            </w:r>
            <w:r w:rsidRPr="004210E9">
              <w:rPr>
                <w:lang w:eastAsia="zh-HK"/>
              </w:rPr>
              <w:t>第</w:t>
            </w:r>
            <w:r w:rsidRPr="004210E9">
              <w:t>486</w:t>
            </w:r>
            <w:r w:rsidRPr="004210E9">
              <w:t>章）</w:t>
            </w:r>
          </w:p>
          <w:p w:rsidR="007F224C" w:rsidRPr="004210E9" w:rsidRDefault="007F224C" w:rsidP="007F224C">
            <w:pPr>
              <w:tabs>
                <w:tab w:val="left" w:pos="86"/>
              </w:tabs>
              <w:spacing w:after="150"/>
              <w:ind w:right="285"/>
            </w:pPr>
          </w:p>
        </w:tc>
      </w:tr>
      <w:tr w:rsidR="002E445E" w:rsidRPr="004210E9" w:rsidTr="00A71DE2">
        <w:trPr>
          <w:cantSplit/>
          <w:trHeight w:val="20"/>
        </w:trPr>
        <w:tc>
          <w:tcPr>
            <w:tcW w:w="8794" w:type="dxa"/>
            <w:gridSpan w:val="3"/>
          </w:tcPr>
          <w:p w:rsidR="002E445E" w:rsidRPr="004210E9" w:rsidRDefault="002E445E" w:rsidP="005C4451">
            <w:pPr>
              <w:tabs>
                <w:tab w:val="left" w:pos="86"/>
              </w:tabs>
              <w:spacing w:after="150"/>
              <w:ind w:right="285"/>
              <w:rPr>
                <w:b/>
              </w:rPr>
            </w:pPr>
            <w:r w:rsidRPr="004210E9">
              <w:rPr>
                <w:b/>
              </w:rPr>
              <w:t>保障原創者利益</w:t>
            </w:r>
          </w:p>
        </w:tc>
      </w:tr>
      <w:tr w:rsidR="007F224C" w:rsidRPr="004210E9" w:rsidTr="00A71DE2">
        <w:trPr>
          <w:cantSplit/>
          <w:trHeight w:val="20"/>
        </w:trPr>
        <w:tc>
          <w:tcPr>
            <w:tcW w:w="2638" w:type="dxa"/>
          </w:tcPr>
          <w:p w:rsidR="007F224C" w:rsidRPr="004210E9" w:rsidRDefault="007F224C" w:rsidP="007F224C">
            <w:pPr>
              <w:spacing w:after="150"/>
              <w:rPr>
                <w:lang w:eastAsia="zh-HK"/>
              </w:rPr>
            </w:pPr>
            <w:r w:rsidRPr="004210E9">
              <w:t>立法措施</w:t>
            </w:r>
          </w:p>
        </w:tc>
        <w:tc>
          <w:tcPr>
            <w:tcW w:w="540" w:type="dxa"/>
          </w:tcPr>
          <w:p w:rsidR="007F224C" w:rsidRDefault="007F224C" w:rsidP="007F224C">
            <w:r w:rsidRPr="00D218B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《商品說明條例》（</w:t>
            </w:r>
            <w:r w:rsidRPr="004210E9">
              <w:rPr>
                <w:lang w:eastAsia="zh-HK"/>
              </w:rPr>
              <w:t>第</w:t>
            </w:r>
            <w:r w:rsidRPr="004210E9">
              <w:t>362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D218B6">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30"/>
            </w:pPr>
            <w:r w:rsidRPr="004210E9">
              <w:t>《集成電路的布圖設計（拓樸圖）條例》（</w:t>
            </w:r>
            <w:r w:rsidRPr="004210E9">
              <w:rPr>
                <w:lang w:eastAsia="zh-HK"/>
              </w:rPr>
              <w:t>第</w:t>
            </w:r>
            <w:r w:rsidRPr="004210E9">
              <w:t>445</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351E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《專利條例》（</w:t>
            </w:r>
            <w:r w:rsidRPr="004210E9">
              <w:rPr>
                <w:lang w:eastAsia="zh-HK"/>
              </w:rPr>
              <w:t>第</w:t>
            </w:r>
            <w:r w:rsidRPr="004210E9">
              <w:t>514</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351E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《註冊外觀設計條例》（</w:t>
            </w:r>
            <w:r w:rsidRPr="004210E9">
              <w:rPr>
                <w:lang w:eastAsia="zh-HK"/>
              </w:rPr>
              <w:t>第</w:t>
            </w:r>
            <w:r w:rsidRPr="004210E9">
              <w:t>522</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351E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《版權條例》（</w:t>
            </w:r>
            <w:r w:rsidRPr="004210E9">
              <w:rPr>
                <w:lang w:eastAsia="zh-HK"/>
              </w:rPr>
              <w:t>第</w:t>
            </w:r>
            <w:r w:rsidRPr="004210E9">
              <w:t>528</w:t>
            </w:r>
            <w:r w:rsidRPr="004210E9">
              <w:rPr>
                <w:lang w:eastAsia="zh-HK"/>
              </w:rPr>
              <w:t>章</w:t>
            </w:r>
            <w:r w:rsidRPr="004210E9">
              <w:t>）</w:t>
            </w:r>
          </w:p>
        </w:tc>
      </w:tr>
      <w:tr w:rsidR="007F224C" w:rsidRPr="004210E9"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351E5">
              <w:rPr>
                <w:rFonts w:ascii="標楷體" w:hAnsi="標楷體" w:hint="eastAsia"/>
                <w:sz w:val="32"/>
                <w:lang w:val="en-GB"/>
              </w:rPr>
              <w:t>－</w:t>
            </w:r>
          </w:p>
        </w:tc>
        <w:tc>
          <w:tcPr>
            <w:tcW w:w="5616" w:type="dxa"/>
          </w:tcPr>
          <w:p w:rsidR="007F224C" w:rsidRPr="004210E9" w:rsidRDefault="007F224C" w:rsidP="007F224C">
            <w:pPr>
              <w:tabs>
                <w:tab w:val="left" w:pos="86"/>
              </w:tabs>
              <w:spacing w:after="150"/>
              <w:ind w:right="285"/>
            </w:pPr>
            <w:r w:rsidRPr="004210E9">
              <w:t>《防止盜用版權條例》（</w:t>
            </w:r>
            <w:r w:rsidRPr="004210E9">
              <w:rPr>
                <w:lang w:eastAsia="zh-HK"/>
              </w:rPr>
              <w:t>第</w:t>
            </w:r>
            <w:r w:rsidRPr="004210E9">
              <w:t>544</w:t>
            </w:r>
            <w:r w:rsidRPr="004210E9">
              <w:rPr>
                <w:lang w:eastAsia="zh-HK"/>
              </w:rPr>
              <w:t>章</w:t>
            </w:r>
            <w:r w:rsidRPr="004210E9">
              <w:t>）</w:t>
            </w:r>
          </w:p>
        </w:tc>
      </w:tr>
      <w:tr w:rsidR="007F224C" w:rsidRPr="00512D10" w:rsidTr="00A71DE2">
        <w:trPr>
          <w:cantSplit/>
          <w:trHeight w:val="20"/>
        </w:trPr>
        <w:tc>
          <w:tcPr>
            <w:tcW w:w="2638" w:type="dxa"/>
          </w:tcPr>
          <w:p w:rsidR="007F224C" w:rsidRPr="004210E9" w:rsidRDefault="007F224C" w:rsidP="007F224C">
            <w:pPr>
              <w:spacing w:after="150"/>
              <w:rPr>
                <w:lang w:eastAsia="zh-HK"/>
              </w:rPr>
            </w:pPr>
          </w:p>
        </w:tc>
        <w:tc>
          <w:tcPr>
            <w:tcW w:w="540" w:type="dxa"/>
          </w:tcPr>
          <w:p w:rsidR="007F224C" w:rsidRDefault="007F224C" w:rsidP="007F224C">
            <w:r w:rsidRPr="00B351E5">
              <w:rPr>
                <w:rFonts w:ascii="標楷體" w:hAnsi="標楷體" w:hint="eastAsia"/>
                <w:sz w:val="32"/>
                <w:lang w:val="en-GB"/>
              </w:rPr>
              <w:t>－</w:t>
            </w:r>
          </w:p>
        </w:tc>
        <w:tc>
          <w:tcPr>
            <w:tcW w:w="5616" w:type="dxa"/>
          </w:tcPr>
          <w:p w:rsidR="007F224C" w:rsidRPr="00512D10" w:rsidRDefault="007F224C" w:rsidP="007F224C">
            <w:pPr>
              <w:tabs>
                <w:tab w:val="left" w:pos="86"/>
              </w:tabs>
              <w:ind w:right="285"/>
            </w:pPr>
            <w:r w:rsidRPr="004210E9">
              <w:t>《商標條例》（</w:t>
            </w:r>
            <w:r w:rsidRPr="004210E9">
              <w:rPr>
                <w:lang w:eastAsia="zh-HK"/>
              </w:rPr>
              <w:t>第</w:t>
            </w:r>
            <w:r w:rsidRPr="004210E9">
              <w:t>559</w:t>
            </w:r>
            <w:r w:rsidRPr="004210E9">
              <w:rPr>
                <w:lang w:eastAsia="zh-HK"/>
              </w:rPr>
              <w:t>章</w:t>
            </w:r>
            <w:r w:rsidRPr="004210E9">
              <w:t>）</w:t>
            </w:r>
          </w:p>
        </w:tc>
      </w:tr>
    </w:tbl>
    <w:p w:rsidR="002E445E" w:rsidRPr="00512D10" w:rsidRDefault="002E445E" w:rsidP="002E445E">
      <w:pPr>
        <w:spacing w:after="150"/>
      </w:pPr>
    </w:p>
    <w:p w:rsidR="00464CFF" w:rsidRDefault="00464CFF" w:rsidP="008375BB">
      <w:pPr>
        <w:jc w:val="both"/>
        <w:sectPr w:rsidR="00464CFF" w:rsidSect="002E445E">
          <w:headerReference w:type="default" r:id="rId15"/>
          <w:footerReference w:type="default" r:id="rId16"/>
          <w:footerReference w:type="first" r:id="rId17"/>
          <w:pgSz w:w="11906" w:h="16838" w:code="9"/>
          <w:pgMar w:top="1440" w:right="1800" w:bottom="1440" w:left="1800" w:header="720" w:footer="720" w:gutter="0"/>
          <w:pgNumType w:start="1"/>
          <w:cols w:space="425"/>
          <w:titlePg/>
          <w:docGrid w:linePitch="381"/>
        </w:sectPr>
      </w:pPr>
    </w:p>
    <w:p w:rsidR="00464CFF" w:rsidRDefault="00464CFF" w:rsidP="00464CFF">
      <w:pPr>
        <w:snapToGrid w:val="0"/>
        <w:spacing w:line="400" w:lineRule="atLeast"/>
        <w:jc w:val="right"/>
        <w:rPr>
          <w:rFonts w:cs="Times New Roman"/>
          <w:b/>
          <w:szCs w:val="28"/>
        </w:rPr>
      </w:pPr>
      <w:r w:rsidRPr="00A62085">
        <w:rPr>
          <w:rFonts w:cs="Times New Roman"/>
          <w:b/>
          <w:szCs w:val="28"/>
          <w:lang w:eastAsia="zh-HK"/>
        </w:rPr>
        <w:lastRenderedPageBreak/>
        <w:t>附件</w:t>
      </w:r>
      <w:r w:rsidRPr="00A62085">
        <w:rPr>
          <w:rFonts w:cs="Times New Roman"/>
          <w:b/>
          <w:szCs w:val="28"/>
        </w:rPr>
        <w:t>2B</w:t>
      </w:r>
    </w:p>
    <w:p w:rsidR="00464CFF" w:rsidRDefault="00464CFF" w:rsidP="00464CFF">
      <w:pPr>
        <w:snapToGrid w:val="0"/>
        <w:spacing w:line="400" w:lineRule="atLeast"/>
        <w:jc w:val="right"/>
        <w:rPr>
          <w:rFonts w:cs="Times New Roman"/>
          <w:b/>
          <w:szCs w:val="28"/>
        </w:rPr>
      </w:pPr>
    </w:p>
    <w:p w:rsidR="00464CFF" w:rsidRDefault="00464CFF" w:rsidP="00464CFF">
      <w:pPr>
        <w:snapToGrid w:val="0"/>
        <w:spacing w:line="400" w:lineRule="atLeast"/>
        <w:jc w:val="center"/>
        <w:rPr>
          <w:b/>
          <w:kern w:val="0"/>
          <w:szCs w:val="28"/>
        </w:rPr>
      </w:pPr>
      <w:r w:rsidRPr="00A62085">
        <w:rPr>
          <w:rFonts w:hint="eastAsia"/>
          <w:b/>
          <w:kern w:val="0"/>
          <w:szCs w:val="28"/>
          <w:lang w:eastAsia="zh-HK"/>
        </w:rPr>
        <w:t>平等機會委</w:t>
      </w:r>
      <w:r w:rsidRPr="00A62085">
        <w:rPr>
          <w:rFonts w:hint="eastAsia"/>
          <w:b/>
          <w:kern w:val="0"/>
          <w:szCs w:val="28"/>
        </w:rPr>
        <w:t>員會</w:t>
      </w:r>
    </w:p>
    <w:p w:rsidR="00464CFF" w:rsidRDefault="00464CFF" w:rsidP="00464CFF">
      <w:pPr>
        <w:snapToGrid w:val="0"/>
        <w:spacing w:line="400" w:lineRule="atLeast"/>
        <w:jc w:val="center"/>
        <w:rPr>
          <w:b/>
          <w:kern w:val="0"/>
          <w:szCs w:val="28"/>
        </w:rPr>
      </w:pPr>
    </w:p>
    <w:p w:rsidR="00464CFF" w:rsidRPr="00A62085" w:rsidRDefault="00464CFF" w:rsidP="00464CFF">
      <w:pPr>
        <w:tabs>
          <w:tab w:val="left" w:pos="1440"/>
        </w:tabs>
        <w:adjustRightInd w:val="0"/>
        <w:snapToGrid w:val="0"/>
        <w:spacing w:line="400" w:lineRule="atLeast"/>
        <w:jc w:val="both"/>
        <w:rPr>
          <w:rFonts w:cs="Times New Roman"/>
          <w:szCs w:val="28"/>
        </w:rPr>
      </w:pPr>
      <w:r>
        <w:rPr>
          <w:rFonts w:cs="Times New Roman" w:hint="eastAsia"/>
          <w:szCs w:val="28"/>
        </w:rPr>
        <w:t>1.</w:t>
      </w:r>
      <w:r w:rsidRPr="00A62085">
        <w:rPr>
          <w:rFonts w:cs="Times New Roman"/>
          <w:szCs w:val="28"/>
        </w:rPr>
        <w:tab/>
      </w:r>
      <w:r w:rsidRPr="00A62085">
        <w:rPr>
          <w:rFonts w:cs="Times New Roman" w:hint="eastAsia"/>
          <w:szCs w:val="28"/>
        </w:rPr>
        <w:t>平機會是根據《性別歧視條例》成立的獨立法定機構，其職能包括在性別、殘疾、家庭崗位及種族方面，按現有的反歧視條例，致力消除歧視、促進平等機會及和諧、致力消除騷擾和中傷、處理投訴、向受屈人士提供調解及其他協助，以及發出和修訂實務守則。</w:t>
      </w:r>
    </w:p>
    <w:p w:rsidR="00464CFF" w:rsidRPr="00A62085" w:rsidRDefault="00464CFF" w:rsidP="00464CFF">
      <w:pPr>
        <w:tabs>
          <w:tab w:val="left" w:pos="1440"/>
        </w:tabs>
        <w:adjustRightInd w:val="0"/>
        <w:snapToGrid w:val="0"/>
        <w:spacing w:line="400" w:lineRule="atLeast"/>
        <w:jc w:val="both"/>
        <w:rPr>
          <w:rFonts w:cs="Times New Roman"/>
          <w:szCs w:val="28"/>
        </w:rPr>
      </w:pPr>
    </w:p>
    <w:p w:rsidR="00464CFF" w:rsidRPr="00A62085" w:rsidRDefault="00464CFF" w:rsidP="00464CFF">
      <w:pPr>
        <w:tabs>
          <w:tab w:val="left" w:pos="1440"/>
        </w:tabs>
        <w:adjustRightInd w:val="0"/>
        <w:snapToGrid w:val="0"/>
        <w:spacing w:line="400" w:lineRule="atLeast"/>
        <w:jc w:val="both"/>
        <w:rPr>
          <w:rFonts w:cs="Times New Roman"/>
          <w:szCs w:val="28"/>
        </w:rPr>
      </w:pPr>
      <w:r w:rsidRPr="00A62085">
        <w:rPr>
          <w:rFonts w:cs="Times New Roman" w:hint="eastAsia"/>
          <w:szCs w:val="28"/>
        </w:rPr>
        <w:t>2.</w:t>
      </w:r>
      <w:r w:rsidRPr="00A62085">
        <w:rPr>
          <w:rFonts w:cs="Times New Roman" w:hint="eastAsia"/>
          <w:szCs w:val="28"/>
        </w:rPr>
        <w:tab/>
      </w:r>
      <w:r w:rsidRPr="00A62085">
        <w:rPr>
          <w:rFonts w:cs="Times New Roman" w:hint="eastAsia"/>
          <w:szCs w:val="28"/>
        </w:rPr>
        <w:t>政府不斷增強</w:t>
      </w:r>
      <w:r w:rsidRPr="00A62085">
        <w:rPr>
          <w:rFonts w:cs="Times New Roman" w:hint="eastAsia"/>
          <w:szCs w:val="28"/>
          <w:lang w:eastAsia="zh-HK"/>
        </w:rPr>
        <w:t>平機</w:t>
      </w:r>
      <w:r w:rsidRPr="00A62085">
        <w:rPr>
          <w:rFonts w:cs="Times New Roman" w:hint="eastAsia"/>
          <w:szCs w:val="28"/>
        </w:rPr>
        <w:t>會</w:t>
      </w:r>
      <w:r w:rsidRPr="00A62085">
        <w:rPr>
          <w:rFonts w:cs="Times New Roman" w:hint="eastAsia"/>
          <w:szCs w:val="28"/>
          <w:lang w:eastAsia="zh-HK"/>
        </w:rPr>
        <w:t>的職</w:t>
      </w:r>
      <w:r w:rsidRPr="00A62085">
        <w:rPr>
          <w:rFonts w:cs="Times New Roman" w:hint="eastAsia"/>
          <w:szCs w:val="28"/>
        </w:rPr>
        <w:t>權。</w:t>
      </w:r>
      <w:r w:rsidRPr="00A62085">
        <w:rPr>
          <w:rFonts w:cs="Times New Roman" w:hint="eastAsia"/>
          <w:color w:val="000000"/>
          <w:szCs w:val="32"/>
        </w:rPr>
        <w:t>在</w:t>
      </w:r>
      <w:r w:rsidRPr="00A62085">
        <w:rPr>
          <w:rFonts w:cs="Times New Roman"/>
          <w:color w:val="000000"/>
          <w:szCs w:val="32"/>
        </w:rPr>
        <w:t>2014</w:t>
      </w:r>
      <w:r w:rsidRPr="00A62085">
        <w:rPr>
          <w:rFonts w:cs="Times New Roman" w:hint="eastAsia"/>
          <w:color w:val="000000"/>
          <w:szCs w:val="32"/>
        </w:rPr>
        <w:t>年，</w:t>
      </w:r>
      <w:r w:rsidRPr="00A62085">
        <w:rPr>
          <w:rFonts w:cs="Times New Roman" w:hint="eastAsia"/>
          <w:szCs w:val="28"/>
        </w:rPr>
        <w:t>政府推出《</w:t>
      </w:r>
      <w:r w:rsidRPr="00A62085">
        <w:rPr>
          <w:rFonts w:cs="Times New Roman"/>
          <w:szCs w:val="28"/>
        </w:rPr>
        <w:t>2014</w:t>
      </w:r>
      <w:r w:rsidRPr="00A62085">
        <w:rPr>
          <w:rFonts w:cs="Times New Roman" w:hint="eastAsia"/>
          <w:szCs w:val="28"/>
        </w:rPr>
        <w:t>年成文法（雜項規定）條例》，藉此：</w:t>
      </w:r>
    </w:p>
    <w:p w:rsidR="00464CFF" w:rsidRPr="00A62085" w:rsidRDefault="00464CFF" w:rsidP="00464CFF">
      <w:pPr>
        <w:tabs>
          <w:tab w:val="left" w:pos="1440"/>
        </w:tabs>
        <w:adjustRightInd w:val="0"/>
        <w:snapToGrid w:val="0"/>
        <w:spacing w:line="400" w:lineRule="atLeast"/>
        <w:jc w:val="both"/>
        <w:rPr>
          <w:rFonts w:cs="Times New Roman"/>
          <w:szCs w:val="28"/>
        </w:rPr>
      </w:pPr>
    </w:p>
    <w:p w:rsidR="00464CFF" w:rsidRPr="00464CFF" w:rsidRDefault="00502325" w:rsidP="00502325">
      <w:pPr>
        <w:tabs>
          <w:tab w:val="left" w:pos="720"/>
          <w:tab w:val="left" w:pos="1440"/>
        </w:tabs>
        <w:adjustRightInd w:val="0"/>
        <w:snapToGrid w:val="0"/>
        <w:spacing w:line="400" w:lineRule="atLeast"/>
        <w:ind w:left="1436" w:hanging="1436"/>
        <w:jc w:val="both"/>
        <w:rPr>
          <w:rFonts w:cs="Times New Roman"/>
          <w:spacing w:val="-2"/>
          <w:szCs w:val="28"/>
          <w:lang w:val="en-GB"/>
        </w:rPr>
      </w:pPr>
      <w:r>
        <w:rPr>
          <w:rFonts w:cs="Times New Roman"/>
          <w:spacing w:val="-2"/>
          <w:szCs w:val="28"/>
        </w:rPr>
        <w:tab/>
      </w:r>
      <w:r>
        <w:rPr>
          <w:rFonts w:cs="Times New Roman" w:hint="eastAsia"/>
          <w:spacing w:val="-2"/>
          <w:szCs w:val="28"/>
          <w:lang w:val="en-GB"/>
        </w:rPr>
        <w:t>(a</w:t>
      </w:r>
      <w:r>
        <w:rPr>
          <w:rFonts w:cs="Times New Roman"/>
          <w:spacing w:val="-2"/>
          <w:szCs w:val="28"/>
          <w:lang w:val="en-GB"/>
        </w:rPr>
        <w:t>)</w:t>
      </w:r>
      <w:r>
        <w:rPr>
          <w:rFonts w:cs="Times New Roman"/>
          <w:spacing w:val="-2"/>
          <w:szCs w:val="28"/>
          <w:lang w:val="en-GB"/>
        </w:rPr>
        <w:tab/>
      </w:r>
      <w:r w:rsidR="00464CFF" w:rsidRPr="00464CFF">
        <w:rPr>
          <w:rFonts w:cs="Times New Roman" w:hint="eastAsia"/>
          <w:spacing w:val="-2"/>
          <w:szCs w:val="28"/>
          <w:lang w:val="en-GB"/>
        </w:rPr>
        <w:t>為平機會成員及職員提供保障，使他們在執行（或其意是執行）根據《殘疾歧視條例》及《家庭崗位歧視條例》的過程中，只要是以真誠行事，即無須負上法律責任，與《性別歧視條例》及《種族歧視條例》看齊；以及</w:t>
      </w:r>
    </w:p>
    <w:p w:rsidR="00464CFF" w:rsidRPr="00502325" w:rsidRDefault="00464CFF" w:rsidP="00464CFF">
      <w:pPr>
        <w:tabs>
          <w:tab w:val="left" w:pos="1440"/>
        </w:tabs>
        <w:adjustRightInd w:val="0"/>
        <w:snapToGrid w:val="0"/>
        <w:spacing w:line="400" w:lineRule="atLeast"/>
        <w:jc w:val="both"/>
        <w:rPr>
          <w:rFonts w:cs="Times New Roman"/>
          <w:szCs w:val="28"/>
          <w:lang w:val="en-GB"/>
        </w:rPr>
      </w:pPr>
    </w:p>
    <w:p w:rsidR="00464CFF" w:rsidRPr="00464CFF" w:rsidRDefault="00502325" w:rsidP="00502325">
      <w:pPr>
        <w:tabs>
          <w:tab w:val="left" w:pos="720"/>
          <w:tab w:val="left" w:pos="1440"/>
        </w:tabs>
        <w:adjustRightInd w:val="0"/>
        <w:snapToGrid w:val="0"/>
        <w:spacing w:line="400" w:lineRule="atLeast"/>
        <w:ind w:left="1436" w:hanging="1436"/>
        <w:jc w:val="both"/>
        <w:rPr>
          <w:rFonts w:cs="Times New Roman"/>
          <w:spacing w:val="-2"/>
          <w:szCs w:val="28"/>
          <w:lang w:val="en-GB"/>
        </w:rPr>
      </w:pPr>
      <w:r>
        <w:rPr>
          <w:rFonts w:cs="Times New Roman"/>
          <w:spacing w:val="-2"/>
          <w:szCs w:val="28"/>
          <w:lang w:val="en-GB"/>
        </w:rPr>
        <w:tab/>
      </w:r>
      <w:r>
        <w:rPr>
          <w:rFonts w:cs="Times New Roman" w:hint="eastAsia"/>
          <w:spacing w:val="-2"/>
          <w:szCs w:val="28"/>
          <w:lang w:val="en-GB"/>
        </w:rPr>
        <w:t>(b)</w:t>
      </w:r>
      <w:r>
        <w:rPr>
          <w:rFonts w:cs="Times New Roman"/>
          <w:spacing w:val="-2"/>
          <w:szCs w:val="28"/>
          <w:lang w:val="en-GB"/>
        </w:rPr>
        <w:tab/>
      </w:r>
      <w:r w:rsidR="00464CFF" w:rsidRPr="00464CFF">
        <w:rPr>
          <w:rFonts w:cs="Times New Roman" w:hint="eastAsia"/>
          <w:spacing w:val="-2"/>
          <w:szCs w:val="28"/>
          <w:lang w:val="en-GB"/>
        </w:rPr>
        <w:t>使平機會可根據《殘疾歧視條例》發出關乎歧視性做法的執行通知。</w:t>
      </w:r>
    </w:p>
    <w:p w:rsidR="00464CFF" w:rsidRPr="00A62085" w:rsidRDefault="00464CFF" w:rsidP="00464CFF">
      <w:pPr>
        <w:snapToGrid w:val="0"/>
        <w:spacing w:line="400" w:lineRule="atLeast"/>
        <w:jc w:val="both"/>
        <w:rPr>
          <w:rFonts w:cs="Times New Roman"/>
          <w:b/>
          <w:szCs w:val="28"/>
          <w:lang w:val="en-GB"/>
        </w:rPr>
      </w:pPr>
    </w:p>
    <w:p w:rsidR="00CD50E6" w:rsidRDefault="00CD50E6" w:rsidP="008375BB">
      <w:pPr>
        <w:jc w:val="both"/>
        <w:rPr>
          <w:lang w:val="en-GB"/>
        </w:rPr>
        <w:sectPr w:rsidR="00CD50E6" w:rsidSect="00DB3262">
          <w:footerReference w:type="default" r:id="rId18"/>
          <w:pgSz w:w="11906" w:h="16838"/>
          <w:pgMar w:top="1440" w:right="1800" w:bottom="1440" w:left="1800" w:header="720" w:footer="720" w:gutter="0"/>
          <w:pgNumType w:start="1"/>
          <w:cols w:space="425"/>
          <w:docGrid w:type="lines" w:linePitch="381"/>
        </w:sectPr>
      </w:pPr>
    </w:p>
    <w:p w:rsidR="00CD50E6" w:rsidRPr="009D330B" w:rsidRDefault="00CD50E6" w:rsidP="00CD50E6">
      <w:pPr>
        <w:snapToGrid w:val="0"/>
        <w:spacing w:line="400" w:lineRule="atLeast"/>
        <w:jc w:val="right"/>
        <w:rPr>
          <w:b/>
          <w:kern w:val="0"/>
          <w:szCs w:val="28"/>
        </w:rPr>
      </w:pPr>
      <w:r w:rsidRPr="009D330B">
        <w:rPr>
          <w:rFonts w:hint="eastAsia"/>
          <w:b/>
          <w:kern w:val="0"/>
          <w:szCs w:val="28"/>
          <w:lang w:eastAsia="zh-HK"/>
        </w:rPr>
        <w:lastRenderedPageBreak/>
        <w:t>附件</w:t>
      </w:r>
      <w:r w:rsidRPr="009D330B">
        <w:rPr>
          <w:rFonts w:hint="eastAsia"/>
          <w:b/>
          <w:kern w:val="0"/>
          <w:szCs w:val="28"/>
        </w:rPr>
        <w:t>2</w:t>
      </w:r>
      <w:r>
        <w:rPr>
          <w:b/>
          <w:kern w:val="0"/>
          <w:szCs w:val="28"/>
        </w:rPr>
        <w:t>C</w:t>
      </w:r>
    </w:p>
    <w:p w:rsidR="00CD50E6" w:rsidRDefault="00CD50E6" w:rsidP="00CD50E6">
      <w:pPr>
        <w:snapToGrid w:val="0"/>
        <w:spacing w:line="400" w:lineRule="atLeast"/>
        <w:jc w:val="center"/>
        <w:rPr>
          <w:kern w:val="0"/>
          <w:szCs w:val="28"/>
        </w:rPr>
      </w:pPr>
    </w:p>
    <w:p w:rsidR="00CD50E6" w:rsidRPr="009D330B" w:rsidRDefault="00CD50E6" w:rsidP="00CD50E6">
      <w:pPr>
        <w:snapToGrid w:val="0"/>
        <w:spacing w:line="400" w:lineRule="atLeast"/>
        <w:jc w:val="center"/>
        <w:rPr>
          <w:b/>
          <w:kern w:val="0"/>
          <w:szCs w:val="28"/>
        </w:rPr>
      </w:pPr>
      <w:r w:rsidRPr="009D330B">
        <w:rPr>
          <w:rFonts w:hint="eastAsia"/>
          <w:b/>
          <w:kern w:val="0"/>
          <w:szCs w:val="28"/>
        </w:rPr>
        <w:t>歧視條例檢討</w:t>
      </w:r>
    </w:p>
    <w:p w:rsidR="00CD50E6" w:rsidRDefault="00CD50E6" w:rsidP="00CD50E6">
      <w:pPr>
        <w:snapToGrid w:val="0"/>
        <w:spacing w:line="400" w:lineRule="atLeast"/>
        <w:jc w:val="center"/>
      </w:pPr>
      <w:r w:rsidRPr="009D330B">
        <w:rPr>
          <w:rFonts w:hint="eastAsia"/>
          <w:b/>
          <w:bCs/>
          <w:kern w:val="0"/>
          <w:szCs w:val="28"/>
        </w:rPr>
        <w:t>八項需要優先處理的建議</w:t>
      </w:r>
    </w:p>
    <w:p w:rsidR="00CD50E6" w:rsidRDefault="00CD50E6" w:rsidP="00CD50E6">
      <w:pPr>
        <w:snapToGrid w:val="0"/>
        <w:spacing w:line="400" w:lineRule="atLeast"/>
      </w:pPr>
    </w:p>
    <w:p w:rsidR="00CD50E6" w:rsidRPr="0093058D" w:rsidRDefault="00F73F53" w:rsidP="00F73F53">
      <w:pPr>
        <w:tabs>
          <w:tab w:val="left" w:pos="720"/>
        </w:tabs>
        <w:autoSpaceDE w:val="0"/>
        <w:autoSpaceDN w:val="0"/>
        <w:adjustRightInd w:val="0"/>
        <w:snapToGrid w:val="0"/>
        <w:spacing w:line="400" w:lineRule="atLeast"/>
        <w:ind w:left="716" w:hanging="716"/>
        <w:jc w:val="both"/>
        <w:rPr>
          <w:kern w:val="0"/>
          <w:szCs w:val="28"/>
          <w:lang w:val="en-GB"/>
        </w:rPr>
      </w:pPr>
      <w:r>
        <w:rPr>
          <w:rFonts w:hint="eastAsia"/>
          <w:kern w:val="0"/>
          <w:szCs w:val="28"/>
          <w:lang w:val="en-HK"/>
        </w:rPr>
        <w:t>(a)</w:t>
      </w:r>
      <w:r>
        <w:rPr>
          <w:rFonts w:hint="eastAsia"/>
          <w:kern w:val="0"/>
          <w:szCs w:val="28"/>
          <w:lang w:val="en-HK"/>
        </w:rPr>
        <w:tab/>
      </w:r>
      <w:r w:rsidR="00CD50E6" w:rsidRPr="0093058D">
        <w:rPr>
          <w:rFonts w:hint="eastAsia"/>
          <w:kern w:val="0"/>
          <w:szCs w:val="28"/>
          <w:lang w:val="en-HK"/>
        </w:rPr>
        <w:t>在《性別歧視條例》加入條文，明文禁止基於餵哺母乳的直接及間接歧視，以及將集乳納入餵哺母乳的定義；</w:t>
      </w:r>
    </w:p>
    <w:p w:rsidR="00CD50E6" w:rsidRPr="00F73F53" w:rsidRDefault="00CD50E6" w:rsidP="00CD50E6">
      <w:pPr>
        <w:tabs>
          <w:tab w:val="left" w:pos="1440"/>
        </w:tabs>
        <w:autoSpaceDE w:val="0"/>
        <w:autoSpaceDN w:val="0"/>
        <w:adjustRightInd w:val="0"/>
        <w:snapToGrid w:val="0"/>
        <w:spacing w:line="400" w:lineRule="atLeast"/>
        <w:jc w:val="both"/>
        <w:rPr>
          <w:kern w:val="0"/>
          <w:szCs w:val="28"/>
          <w:lang w:val="en-GB"/>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rFonts w:hint="eastAsia"/>
          <w:kern w:val="0"/>
          <w:szCs w:val="28"/>
          <w:lang w:val="en-HK"/>
        </w:rPr>
        <w:t>(b)</w:t>
      </w:r>
      <w:r>
        <w:rPr>
          <w:rFonts w:hint="eastAsia"/>
          <w:kern w:val="0"/>
          <w:szCs w:val="28"/>
          <w:lang w:val="en-HK"/>
        </w:rPr>
        <w:tab/>
      </w:r>
      <w:r w:rsidR="00CD50E6" w:rsidRPr="00F73F53">
        <w:rPr>
          <w:rFonts w:hint="eastAsia"/>
          <w:kern w:val="0"/>
          <w:szCs w:val="28"/>
          <w:lang w:val="en-HK"/>
        </w:rPr>
        <w:t>修訂《種族歧視條例》，以涵蓋範圍較廣的「有聯繫人士」取代有關禁止直接歧視和騷擾的條文中對「近親」的提述；</w:t>
      </w:r>
    </w:p>
    <w:p w:rsidR="00CD50E6" w:rsidRPr="00F73F53" w:rsidRDefault="00CD50E6" w:rsidP="00F73F53">
      <w:pPr>
        <w:tabs>
          <w:tab w:val="left" w:pos="720"/>
        </w:tabs>
        <w:autoSpaceDE w:val="0"/>
        <w:autoSpaceDN w:val="0"/>
        <w:adjustRightInd w:val="0"/>
        <w:snapToGrid w:val="0"/>
        <w:spacing w:line="400" w:lineRule="atLeast"/>
        <w:ind w:left="716" w:hanging="716"/>
        <w:jc w:val="both"/>
        <w:rPr>
          <w:kern w:val="0"/>
          <w:szCs w:val="28"/>
          <w:lang w:val="en-HK"/>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kern w:val="0"/>
          <w:szCs w:val="28"/>
          <w:lang w:val="en-HK"/>
        </w:rPr>
        <w:t>(c)</w:t>
      </w:r>
      <w:r>
        <w:rPr>
          <w:kern w:val="0"/>
          <w:szCs w:val="28"/>
          <w:lang w:val="en-HK"/>
        </w:rPr>
        <w:tab/>
      </w:r>
      <w:r w:rsidR="00CD50E6" w:rsidRPr="00F73F53">
        <w:rPr>
          <w:rFonts w:hint="eastAsia"/>
          <w:kern w:val="0"/>
          <w:szCs w:val="28"/>
          <w:lang w:val="en-HK"/>
        </w:rPr>
        <w:t>修訂《種族歧視條例》，保障免因被誤當為某特定種族或種族羣體的成員而受到直接及</w:t>
      </w:r>
      <w:r w:rsidR="00CD50E6" w:rsidRPr="0093058D">
        <w:rPr>
          <w:rFonts w:hint="eastAsia"/>
          <w:kern w:val="0"/>
          <w:szCs w:val="28"/>
          <w:lang w:val="en-HK"/>
        </w:rPr>
        <w:t>間接</w:t>
      </w:r>
      <w:r w:rsidR="00CD50E6" w:rsidRPr="00F73F53">
        <w:rPr>
          <w:rFonts w:hint="eastAsia"/>
          <w:kern w:val="0"/>
          <w:szCs w:val="28"/>
          <w:lang w:val="en-HK"/>
        </w:rPr>
        <w:t>種族歧視和種族騷擾；</w:t>
      </w:r>
    </w:p>
    <w:p w:rsidR="00CD50E6" w:rsidRPr="00F73F53" w:rsidRDefault="00CD50E6" w:rsidP="00F73F53">
      <w:pPr>
        <w:tabs>
          <w:tab w:val="left" w:pos="720"/>
        </w:tabs>
        <w:autoSpaceDE w:val="0"/>
        <w:autoSpaceDN w:val="0"/>
        <w:adjustRightInd w:val="0"/>
        <w:snapToGrid w:val="0"/>
        <w:spacing w:line="400" w:lineRule="atLeast"/>
        <w:ind w:left="716" w:hanging="716"/>
        <w:jc w:val="both"/>
        <w:rPr>
          <w:kern w:val="0"/>
          <w:szCs w:val="28"/>
          <w:lang w:val="en-HK"/>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rFonts w:hint="eastAsia"/>
          <w:kern w:val="0"/>
          <w:szCs w:val="28"/>
          <w:lang w:val="en-HK"/>
        </w:rPr>
        <w:t>(d)</w:t>
      </w:r>
      <w:r>
        <w:rPr>
          <w:rFonts w:hint="eastAsia"/>
          <w:kern w:val="0"/>
          <w:szCs w:val="28"/>
          <w:lang w:val="en-HK"/>
        </w:rPr>
        <w:tab/>
      </w:r>
      <w:r>
        <w:rPr>
          <w:kern w:val="0"/>
          <w:szCs w:val="28"/>
          <w:lang w:val="en-HK"/>
        </w:rPr>
        <w:tab/>
      </w:r>
      <w:r w:rsidR="00CD50E6" w:rsidRPr="00F73F53">
        <w:rPr>
          <w:rFonts w:hint="eastAsia"/>
          <w:kern w:val="0"/>
          <w:szCs w:val="28"/>
          <w:lang w:val="en-HK"/>
        </w:rPr>
        <w:t>修訂</w:t>
      </w:r>
      <w:r w:rsidR="00CD50E6" w:rsidRPr="0093058D">
        <w:rPr>
          <w:rFonts w:hint="eastAsia"/>
          <w:kern w:val="0"/>
          <w:szCs w:val="28"/>
          <w:lang w:val="en-HK"/>
        </w:rPr>
        <w:t>《性別歧視條例》、</w:t>
      </w:r>
      <w:r w:rsidR="00CD50E6" w:rsidRPr="00F73F53">
        <w:rPr>
          <w:rFonts w:hint="eastAsia"/>
          <w:kern w:val="0"/>
          <w:szCs w:val="28"/>
          <w:lang w:val="en-HK"/>
        </w:rPr>
        <w:t>《種族歧視條例》和《殘疾歧視條例》的有關條文，保障在共同工作間工作的人免受性騷擾、種族騷擾和殘疾騷擾；</w:t>
      </w:r>
    </w:p>
    <w:p w:rsidR="00CD50E6" w:rsidRPr="00F73F53" w:rsidRDefault="00CD50E6" w:rsidP="00F73F53">
      <w:pPr>
        <w:tabs>
          <w:tab w:val="left" w:pos="720"/>
        </w:tabs>
        <w:autoSpaceDE w:val="0"/>
        <w:autoSpaceDN w:val="0"/>
        <w:adjustRightInd w:val="0"/>
        <w:snapToGrid w:val="0"/>
        <w:spacing w:line="400" w:lineRule="atLeast"/>
        <w:ind w:left="716" w:hanging="716"/>
        <w:jc w:val="both"/>
        <w:rPr>
          <w:kern w:val="0"/>
          <w:szCs w:val="28"/>
          <w:lang w:val="en-HK"/>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rFonts w:hint="eastAsia"/>
          <w:kern w:val="0"/>
          <w:szCs w:val="28"/>
          <w:lang w:val="en-HK"/>
        </w:rPr>
        <w:t>(e)</w:t>
      </w:r>
      <w:r>
        <w:rPr>
          <w:rFonts w:hint="eastAsia"/>
          <w:kern w:val="0"/>
          <w:szCs w:val="28"/>
          <w:lang w:val="en-HK"/>
        </w:rPr>
        <w:tab/>
      </w:r>
      <w:r w:rsidR="00CD50E6" w:rsidRPr="00F73F53">
        <w:rPr>
          <w:rFonts w:hint="eastAsia"/>
          <w:kern w:val="0"/>
          <w:szCs w:val="28"/>
          <w:lang w:val="en-HK"/>
        </w:rPr>
        <w:t>修訂《種族歧視條例》和《殘疾歧視條例》，保障服務提供者免受服務使用者的種族騷擾和殘疾騷擾；</w:t>
      </w:r>
    </w:p>
    <w:p w:rsidR="00CD50E6" w:rsidRPr="00F73F53" w:rsidRDefault="00CD50E6" w:rsidP="00F73F53">
      <w:pPr>
        <w:tabs>
          <w:tab w:val="left" w:pos="720"/>
        </w:tabs>
        <w:autoSpaceDE w:val="0"/>
        <w:autoSpaceDN w:val="0"/>
        <w:adjustRightInd w:val="0"/>
        <w:snapToGrid w:val="0"/>
        <w:spacing w:line="400" w:lineRule="atLeast"/>
        <w:ind w:left="716" w:hanging="716"/>
        <w:jc w:val="both"/>
        <w:rPr>
          <w:kern w:val="0"/>
          <w:szCs w:val="28"/>
          <w:lang w:val="en-HK"/>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rFonts w:hint="eastAsia"/>
          <w:kern w:val="0"/>
          <w:szCs w:val="28"/>
          <w:lang w:val="en-HK"/>
        </w:rPr>
        <w:t>(f)</w:t>
      </w:r>
      <w:r>
        <w:rPr>
          <w:rFonts w:hint="eastAsia"/>
          <w:kern w:val="0"/>
          <w:szCs w:val="28"/>
          <w:lang w:val="en-HK"/>
        </w:rPr>
        <w:tab/>
      </w:r>
      <w:r w:rsidR="00CD50E6" w:rsidRPr="00F73F53">
        <w:rPr>
          <w:rFonts w:hint="eastAsia"/>
          <w:kern w:val="0"/>
          <w:szCs w:val="28"/>
          <w:lang w:val="en-HK"/>
        </w:rPr>
        <w:t>修訂《種族歧視條例》和《殘疾歧視條例》，保障在香港註冊的船舶和飛機上的服務提供者和服務使用者免受種族騷擾和殘疾騷擾，即使該該等騷擾行為是在香港境外作出；</w:t>
      </w:r>
    </w:p>
    <w:p w:rsidR="00CD50E6" w:rsidRPr="00F73F53" w:rsidRDefault="00CD50E6" w:rsidP="00F73F53">
      <w:pPr>
        <w:tabs>
          <w:tab w:val="left" w:pos="720"/>
        </w:tabs>
        <w:autoSpaceDE w:val="0"/>
        <w:autoSpaceDN w:val="0"/>
        <w:adjustRightInd w:val="0"/>
        <w:snapToGrid w:val="0"/>
        <w:spacing w:line="400" w:lineRule="atLeast"/>
        <w:ind w:left="716" w:hanging="716"/>
        <w:jc w:val="both"/>
        <w:rPr>
          <w:kern w:val="0"/>
          <w:szCs w:val="28"/>
          <w:lang w:val="en-HK"/>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rFonts w:hint="eastAsia"/>
          <w:kern w:val="0"/>
          <w:szCs w:val="28"/>
          <w:lang w:val="en-HK"/>
        </w:rPr>
        <w:t>(g)</w:t>
      </w:r>
      <w:r>
        <w:rPr>
          <w:rFonts w:hint="eastAsia"/>
          <w:kern w:val="0"/>
          <w:szCs w:val="28"/>
          <w:lang w:val="en-HK"/>
        </w:rPr>
        <w:tab/>
      </w:r>
      <w:r w:rsidR="00CD50E6" w:rsidRPr="00F73F53">
        <w:rPr>
          <w:rFonts w:hint="eastAsia"/>
          <w:kern w:val="0"/>
          <w:szCs w:val="28"/>
          <w:lang w:val="en-HK"/>
        </w:rPr>
        <w:t>修訂《性別歧視條例》和《殘疾歧視條例》，以保障會社成員或已申請成為會社成員的人免受會社管理層的性騷擾和殘疾騷擾；以及</w:t>
      </w:r>
    </w:p>
    <w:p w:rsidR="00CD50E6" w:rsidRPr="00F73F53" w:rsidRDefault="00CD50E6" w:rsidP="00F73F53">
      <w:pPr>
        <w:tabs>
          <w:tab w:val="left" w:pos="720"/>
        </w:tabs>
        <w:autoSpaceDE w:val="0"/>
        <w:autoSpaceDN w:val="0"/>
        <w:adjustRightInd w:val="0"/>
        <w:snapToGrid w:val="0"/>
        <w:spacing w:line="400" w:lineRule="atLeast"/>
        <w:ind w:left="716" w:hanging="716"/>
        <w:jc w:val="both"/>
        <w:rPr>
          <w:kern w:val="0"/>
          <w:szCs w:val="28"/>
          <w:lang w:val="en-HK"/>
        </w:rPr>
      </w:pPr>
    </w:p>
    <w:p w:rsidR="00CD50E6" w:rsidRPr="00F73F53" w:rsidRDefault="00F73F53" w:rsidP="00F73F53">
      <w:pPr>
        <w:tabs>
          <w:tab w:val="left" w:pos="720"/>
        </w:tabs>
        <w:autoSpaceDE w:val="0"/>
        <w:autoSpaceDN w:val="0"/>
        <w:adjustRightInd w:val="0"/>
        <w:snapToGrid w:val="0"/>
        <w:spacing w:line="400" w:lineRule="atLeast"/>
        <w:ind w:left="716" w:hanging="716"/>
        <w:jc w:val="both"/>
        <w:rPr>
          <w:kern w:val="0"/>
          <w:szCs w:val="28"/>
          <w:lang w:val="en-HK"/>
        </w:rPr>
      </w:pPr>
      <w:r>
        <w:rPr>
          <w:rFonts w:hint="eastAsia"/>
          <w:kern w:val="0"/>
          <w:szCs w:val="28"/>
          <w:lang w:val="en-HK"/>
        </w:rPr>
        <w:t>(h)</w:t>
      </w:r>
      <w:r>
        <w:rPr>
          <w:rFonts w:hint="eastAsia"/>
          <w:kern w:val="0"/>
          <w:szCs w:val="28"/>
          <w:lang w:val="en-HK"/>
        </w:rPr>
        <w:tab/>
      </w:r>
      <w:r w:rsidR="00CD50E6" w:rsidRPr="00F73F53">
        <w:rPr>
          <w:rFonts w:hint="eastAsia"/>
          <w:kern w:val="0"/>
          <w:szCs w:val="28"/>
          <w:lang w:val="en-HK"/>
        </w:rPr>
        <w:t>廢除《性別歧視條例》、《家庭崗位歧視條例》和《種族歧視條例》所規定如間接歧視案中的答辯人能證明施加有關的要求或條件的意圖並不是基於歧視，便無需支付損害賠償的條文。</w:t>
      </w:r>
    </w:p>
    <w:p w:rsidR="00CD50E6" w:rsidRDefault="00CD50E6" w:rsidP="00CD50E6">
      <w:pPr>
        <w:snapToGrid w:val="0"/>
        <w:spacing w:line="400" w:lineRule="atLeast"/>
        <w:sectPr w:rsidR="00CD50E6" w:rsidSect="00CD50E6">
          <w:footerReference w:type="default" r:id="rId19"/>
          <w:pgSz w:w="11906" w:h="16838"/>
          <w:pgMar w:top="1440" w:right="1800" w:bottom="1440" w:left="1800" w:header="720" w:footer="720" w:gutter="0"/>
          <w:pgNumType w:start="1"/>
          <w:cols w:space="425"/>
          <w:docGrid w:type="lines" w:linePitch="381"/>
        </w:sectPr>
      </w:pPr>
    </w:p>
    <w:p w:rsidR="00CD50E6" w:rsidRDefault="00CD50E6" w:rsidP="00CD50E6">
      <w:pPr>
        <w:tabs>
          <w:tab w:val="left" w:pos="1440"/>
        </w:tabs>
        <w:autoSpaceDE w:val="0"/>
        <w:autoSpaceDN w:val="0"/>
        <w:adjustRightInd w:val="0"/>
        <w:snapToGrid w:val="0"/>
        <w:spacing w:line="400" w:lineRule="atLeast"/>
        <w:jc w:val="right"/>
        <w:rPr>
          <w:kern w:val="0"/>
          <w:szCs w:val="28"/>
        </w:rPr>
      </w:pPr>
      <w:r w:rsidRPr="00A62085">
        <w:rPr>
          <w:b/>
          <w:szCs w:val="28"/>
          <w:lang w:eastAsia="zh-HK"/>
        </w:rPr>
        <w:lastRenderedPageBreak/>
        <w:t>附件</w:t>
      </w:r>
      <w:r>
        <w:rPr>
          <w:b/>
          <w:szCs w:val="28"/>
        </w:rPr>
        <w:t>2</w:t>
      </w:r>
      <w:r>
        <w:rPr>
          <w:rFonts w:hint="eastAsia"/>
          <w:b/>
          <w:szCs w:val="28"/>
        </w:rPr>
        <w:t>D</w:t>
      </w:r>
    </w:p>
    <w:p w:rsidR="00CD50E6" w:rsidRDefault="00CD50E6" w:rsidP="00CD50E6">
      <w:pPr>
        <w:tabs>
          <w:tab w:val="left" w:pos="1440"/>
        </w:tabs>
        <w:autoSpaceDE w:val="0"/>
        <w:autoSpaceDN w:val="0"/>
        <w:adjustRightInd w:val="0"/>
        <w:snapToGrid w:val="0"/>
        <w:spacing w:line="400" w:lineRule="atLeast"/>
        <w:jc w:val="both"/>
        <w:rPr>
          <w:kern w:val="0"/>
          <w:szCs w:val="28"/>
        </w:rPr>
      </w:pPr>
    </w:p>
    <w:p w:rsidR="00CD50E6" w:rsidRPr="0052562D" w:rsidRDefault="00CD50E6" w:rsidP="00CD50E6">
      <w:pPr>
        <w:tabs>
          <w:tab w:val="left" w:pos="1440"/>
        </w:tabs>
        <w:autoSpaceDE w:val="0"/>
        <w:autoSpaceDN w:val="0"/>
        <w:adjustRightInd w:val="0"/>
        <w:snapToGrid w:val="0"/>
        <w:spacing w:line="400" w:lineRule="atLeast"/>
        <w:jc w:val="center"/>
        <w:rPr>
          <w:b/>
          <w:kern w:val="0"/>
          <w:szCs w:val="28"/>
        </w:rPr>
      </w:pPr>
      <w:r w:rsidRPr="0052562D">
        <w:rPr>
          <w:rFonts w:hint="eastAsia"/>
          <w:b/>
          <w:kern w:val="0"/>
          <w:szCs w:val="28"/>
        </w:rPr>
        <w:t>《種族歧視條例》（第</w:t>
      </w:r>
      <w:r w:rsidRPr="0052562D">
        <w:rPr>
          <w:rFonts w:hint="eastAsia"/>
          <w:b/>
          <w:kern w:val="0"/>
          <w:szCs w:val="28"/>
        </w:rPr>
        <w:t>602</w:t>
      </w:r>
      <w:r w:rsidRPr="0052562D">
        <w:rPr>
          <w:rFonts w:hint="eastAsia"/>
          <w:b/>
          <w:kern w:val="0"/>
          <w:szCs w:val="28"/>
        </w:rPr>
        <w:t>章）</w:t>
      </w:r>
    </w:p>
    <w:p w:rsidR="00CD50E6" w:rsidRDefault="00CD50E6" w:rsidP="00CD50E6">
      <w:pPr>
        <w:tabs>
          <w:tab w:val="left" w:pos="1440"/>
        </w:tabs>
        <w:autoSpaceDE w:val="0"/>
        <w:autoSpaceDN w:val="0"/>
        <w:adjustRightInd w:val="0"/>
        <w:snapToGrid w:val="0"/>
        <w:spacing w:line="400" w:lineRule="atLeast"/>
        <w:jc w:val="both"/>
        <w:rPr>
          <w:kern w:val="0"/>
          <w:szCs w:val="28"/>
        </w:rPr>
      </w:pPr>
    </w:p>
    <w:p w:rsidR="00CD50E6" w:rsidRPr="00515081" w:rsidRDefault="00CD50E6" w:rsidP="00CD50E6">
      <w:pPr>
        <w:tabs>
          <w:tab w:val="left" w:pos="1440"/>
        </w:tabs>
        <w:autoSpaceDE w:val="0"/>
        <w:autoSpaceDN w:val="0"/>
        <w:adjustRightInd w:val="0"/>
        <w:snapToGrid w:val="0"/>
        <w:spacing w:line="400" w:lineRule="atLeast"/>
        <w:jc w:val="both"/>
        <w:rPr>
          <w:kern w:val="0"/>
          <w:szCs w:val="28"/>
        </w:rPr>
      </w:pPr>
      <w:r>
        <w:rPr>
          <w:rFonts w:hint="eastAsia"/>
          <w:kern w:val="0"/>
          <w:szCs w:val="28"/>
        </w:rPr>
        <w:t>1.</w:t>
      </w:r>
      <w:r>
        <w:rPr>
          <w:kern w:val="0"/>
          <w:szCs w:val="28"/>
        </w:rPr>
        <w:tab/>
      </w:r>
      <w:r w:rsidRPr="0052562D">
        <w:rPr>
          <w:rFonts w:hint="eastAsia"/>
          <w:kern w:val="0"/>
          <w:szCs w:val="28"/>
        </w:rPr>
        <w:t>《種族歧視條例》在</w:t>
      </w:r>
      <w:r w:rsidRPr="0052562D">
        <w:rPr>
          <w:kern w:val="0"/>
          <w:szCs w:val="28"/>
        </w:rPr>
        <w:t>2009</w:t>
      </w:r>
      <w:r w:rsidRPr="0052562D">
        <w:rPr>
          <w:rFonts w:hint="eastAsia"/>
          <w:kern w:val="0"/>
          <w:szCs w:val="28"/>
        </w:rPr>
        <w:t>年全面實施</w:t>
      </w:r>
      <w:r>
        <w:rPr>
          <w:rFonts w:hint="eastAsia"/>
          <w:kern w:val="0"/>
          <w:szCs w:val="28"/>
        </w:rPr>
        <w:t>，</w:t>
      </w:r>
      <w:r w:rsidRPr="0052562D">
        <w:rPr>
          <w:rFonts w:hint="eastAsia"/>
          <w:kern w:val="0"/>
          <w:szCs w:val="28"/>
        </w:rPr>
        <w:t>條例旨在保障所有人不會基於種族而被歧視、騷擾及中傷</w:t>
      </w:r>
      <w:r>
        <w:rPr>
          <w:rFonts w:hint="eastAsia"/>
          <w:kern w:val="0"/>
          <w:szCs w:val="28"/>
        </w:rPr>
        <w:t>。</w:t>
      </w:r>
      <w:r w:rsidRPr="00515081">
        <w:rPr>
          <w:rFonts w:hint="eastAsia"/>
          <w:kern w:val="0"/>
          <w:szCs w:val="28"/>
        </w:rPr>
        <w:t>根據《種族歧視條例》，「種族」指人的種族、膚色、世系、民族或人種。</w:t>
      </w:r>
    </w:p>
    <w:p w:rsidR="00CD50E6" w:rsidRPr="00515081" w:rsidRDefault="00CD50E6" w:rsidP="00CD50E6">
      <w:pPr>
        <w:tabs>
          <w:tab w:val="left" w:pos="1440"/>
        </w:tabs>
        <w:autoSpaceDE w:val="0"/>
        <w:autoSpaceDN w:val="0"/>
        <w:adjustRightInd w:val="0"/>
        <w:snapToGrid w:val="0"/>
        <w:spacing w:line="400" w:lineRule="atLeast"/>
        <w:jc w:val="both"/>
        <w:rPr>
          <w:kern w:val="0"/>
          <w:szCs w:val="28"/>
        </w:rPr>
      </w:pPr>
    </w:p>
    <w:p w:rsidR="00CD50E6" w:rsidRPr="00515081" w:rsidRDefault="00CD50E6" w:rsidP="00CD50E6">
      <w:pPr>
        <w:tabs>
          <w:tab w:val="left" w:pos="1440"/>
        </w:tabs>
        <w:autoSpaceDE w:val="0"/>
        <w:autoSpaceDN w:val="0"/>
        <w:adjustRightInd w:val="0"/>
        <w:snapToGrid w:val="0"/>
        <w:spacing w:line="400" w:lineRule="atLeast"/>
        <w:jc w:val="both"/>
        <w:rPr>
          <w:kern w:val="0"/>
          <w:szCs w:val="28"/>
        </w:rPr>
      </w:pPr>
      <w:r>
        <w:rPr>
          <w:kern w:val="0"/>
          <w:szCs w:val="28"/>
        </w:rPr>
        <w:t>2.</w:t>
      </w:r>
      <w:r w:rsidRPr="00515081">
        <w:rPr>
          <w:kern w:val="0"/>
          <w:szCs w:val="28"/>
        </w:rPr>
        <w:tab/>
      </w:r>
      <w:r w:rsidRPr="00515081">
        <w:rPr>
          <w:rFonts w:hint="eastAsia"/>
          <w:kern w:val="0"/>
          <w:szCs w:val="28"/>
        </w:rPr>
        <w:t>《種族歧視條例》把在指定範疇（包括教育、僱傭和提供貨品、服務、設施及處所的範疇）作出的直接及間接歧視定為違法行為。條例內有關間接歧視指控是否成立的規定，是根據國際採納的相稱原則而制定。條例並把在指明範疇基於種族而騷擾其他人的行為（即作出不受歡迎的行徑，而在有關情況下，一名合理的人在顧及所有情況後應會預期另一人會因該行徑而感到受冒犯、侮辱或威嚇）定為違法。條例</w:t>
      </w:r>
      <w:r>
        <w:rPr>
          <w:rFonts w:hint="eastAsia"/>
          <w:kern w:val="0"/>
          <w:szCs w:val="28"/>
          <w:lang w:eastAsia="zh-HK"/>
        </w:rPr>
        <w:t>亦</w:t>
      </w:r>
      <w:r w:rsidRPr="00515081">
        <w:rPr>
          <w:rFonts w:hint="eastAsia"/>
          <w:kern w:val="0"/>
          <w:szCs w:val="28"/>
        </w:rPr>
        <w:t>禁止其他與種族歧視有關的違法作為，包括歧視性的做法及廣告、協助和指示或促致他人作出歧視行為，以及中傷。</w:t>
      </w:r>
    </w:p>
    <w:p w:rsidR="00CD50E6" w:rsidRPr="00515081" w:rsidRDefault="00CD50E6" w:rsidP="00CD50E6">
      <w:pPr>
        <w:tabs>
          <w:tab w:val="left" w:pos="1440"/>
        </w:tabs>
        <w:autoSpaceDE w:val="0"/>
        <w:autoSpaceDN w:val="0"/>
        <w:adjustRightInd w:val="0"/>
        <w:snapToGrid w:val="0"/>
        <w:spacing w:line="400" w:lineRule="atLeast"/>
        <w:jc w:val="both"/>
        <w:rPr>
          <w:kern w:val="0"/>
          <w:szCs w:val="28"/>
        </w:rPr>
      </w:pPr>
    </w:p>
    <w:p w:rsidR="00CD50E6" w:rsidRPr="0052562D" w:rsidRDefault="00CD50E6" w:rsidP="00CD50E6">
      <w:pPr>
        <w:tabs>
          <w:tab w:val="left" w:pos="1440"/>
        </w:tabs>
        <w:autoSpaceDE w:val="0"/>
        <w:autoSpaceDN w:val="0"/>
        <w:adjustRightInd w:val="0"/>
        <w:snapToGrid w:val="0"/>
        <w:spacing w:line="400" w:lineRule="atLeast"/>
        <w:jc w:val="both"/>
        <w:rPr>
          <w:kern w:val="0"/>
          <w:szCs w:val="28"/>
        </w:rPr>
      </w:pPr>
      <w:r>
        <w:rPr>
          <w:rFonts w:hint="eastAsia"/>
          <w:kern w:val="0"/>
          <w:szCs w:val="28"/>
        </w:rPr>
        <w:t>3.</w:t>
      </w:r>
      <w:r w:rsidRPr="00515081">
        <w:rPr>
          <w:kern w:val="0"/>
          <w:szCs w:val="28"/>
        </w:rPr>
        <w:tab/>
      </w:r>
      <w:r w:rsidRPr="00515081">
        <w:rPr>
          <w:rFonts w:hint="eastAsia"/>
          <w:kern w:val="0"/>
          <w:szCs w:val="28"/>
        </w:rPr>
        <w:t>該條例沒有規定必須採取平權行動，但特別准許採取特別措施，以切合屬於某特定種族羣體人士的特別需要。</w:t>
      </w:r>
    </w:p>
    <w:p w:rsidR="00CD50E6" w:rsidRPr="00CD50E6" w:rsidRDefault="00CD50E6" w:rsidP="00CD50E6">
      <w:pPr>
        <w:snapToGrid w:val="0"/>
        <w:spacing w:line="400" w:lineRule="atLeast"/>
      </w:pPr>
    </w:p>
    <w:p w:rsidR="00E74E52" w:rsidRDefault="00E74E52" w:rsidP="008375BB">
      <w:pPr>
        <w:jc w:val="both"/>
        <w:sectPr w:rsidR="00E74E52" w:rsidSect="00CD50E6">
          <w:pgSz w:w="11906" w:h="16838"/>
          <w:pgMar w:top="1440" w:right="1800" w:bottom="1440" w:left="1800" w:header="720" w:footer="720" w:gutter="0"/>
          <w:pgNumType w:start="1"/>
          <w:cols w:space="425"/>
          <w:docGrid w:type="lines" w:linePitch="381"/>
        </w:sectPr>
      </w:pPr>
    </w:p>
    <w:p w:rsidR="00E74E52" w:rsidRPr="00431CAD" w:rsidRDefault="00E74E52" w:rsidP="00E74E52">
      <w:pPr>
        <w:tabs>
          <w:tab w:val="left" w:pos="1440"/>
        </w:tabs>
        <w:adjustRightInd w:val="0"/>
        <w:snapToGrid w:val="0"/>
        <w:spacing w:line="400" w:lineRule="atLeast"/>
        <w:ind w:right="26"/>
        <w:jc w:val="right"/>
        <w:rPr>
          <w:b/>
          <w:iCs/>
          <w:szCs w:val="26"/>
        </w:rPr>
      </w:pPr>
      <w:r w:rsidRPr="00431CAD">
        <w:rPr>
          <w:rFonts w:hint="eastAsia"/>
          <w:b/>
          <w:iCs/>
          <w:szCs w:val="26"/>
        </w:rPr>
        <w:lastRenderedPageBreak/>
        <w:t>附件</w:t>
      </w:r>
      <w:r w:rsidRPr="00431CAD">
        <w:rPr>
          <w:rFonts w:hint="eastAsia"/>
          <w:b/>
          <w:iCs/>
          <w:szCs w:val="26"/>
        </w:rPr>
        <w:t>2</w:t>
      </w:r>
      <w:r w:rsidRPr="00431CAD">
        <w:rPr>
          <w:b/>
          <w:iCs/>
          <w:szCs w:val="26"/>
        </w:rPr>
        <w:t>E</w:t>
      </w:r>
    </w:p>
    <w:p w:rsidR="00E74E52" w:rsidRPr="00431CAD" w:rsidRDefault="00E74E52" w:rsidP="00E74E52">
      <w:pPr>
        <w:tabs>
          <w:tab w:val="left" w:pos="1440"/>
        </w:tabs>
        <w:adjustRightInd w:val="0"/>
        <w:snapToGrid w:val="0"/>
        <w:spacing w:line="400" w:lineRule="atLeast"/>
        <w:ind w:right="26"/>
        <w:jc w:val="center"/>
        <w:rPr>
          <w:b/>
          <w:iCs/>
          <w:szCs w:val="26"/>
        </w:rPr>
      </w:pPr>
    </w:p>
    <w:p w:rsidR="00E74E52" w:rsidRDefault="00E74E52" w:rsidP="00E74E52">
      <w:pPr>
        <w:tabs>
          <w:tab w:val="left" w:pos="1440"/>
        </w:tabs>
        <w:adjustRightInd w:val="0"/>
        <w:snapToGrid w:val="0"/>
        <w:spacing w:line="400" w:lineRule="atLeast"/>
        <w:ind w:right="26"/>
        <w:jc w:val="center"/>
        <w:rPr>
          <w:b/>
          <w:iCs/>
          <w:szCs w:val="26"/>
        </w:rPr>
      </w:pPr>
      <w:r w:rsidRPr="004A3EBF">
        <w:rPr>
          <w:rFonts w:hint="eastAsia"/>
          <w:b/>
          <w:iCs/>
          <w:szCs w:val="26"/>
        </w:rPr>
        <w:t>性別承認</w:t>
      </w:r>
    </w:p>
    <w:p w:rsidR="00E74E52" w:rsidRPr="004A3EBF" w:rsidRDefault="00E74E52" w:rsidP="00E74E52">
      <w:pPr>
        <w:tabs>
          <w:tab w:val="left" w:pos="1440"/>
        </w:tabs>
        <w:adjustRightInd w:val="0"/>
        <w:snapToGrid w:val="0"/>
        <w:spacing w:line="400" w:lineRule="atLeast"/>
        <w:ind w:right="26"/>
        <w:jc w:val="both"/>
        <w:rPr>
          <w:b/>
          <w:iCs/>
          <w:szCs w:val="26"/>
        </w:rPr>
      </w:pPr>
    </w:p>
    <w:p w:rsidR="00E74E52" w:rsidRPr="004A3EBF" w:rsidRDefault="00E74E52" w:rsidP="00E74E52">
      <w:pPr>
        <w:tabs>
          <w:tab w:val="left" w:pos="1440"/>
        </w:tabs>
        <w:autoSpaceDE w:val="0"/>
        <w:autoSpaceDN w:val="0"/>
        <w:adjustRightInd w:val="0"/>
        <w:snapToGrid w:val="0"/>
        <w:spacing w:line="400" w:lineRule="atLeast"/>
        <w:jc w:val="both"/>
        <w:rPr>
          <w:iCs/>
          <w:szCs w:val="26"/>
        </w:rPr>
      </w:pPr>
      <w:r>
        <w:rPr>
          <w:rFonts w:hint="eastAsia"/>
          <w:iCs/>
          <w:szCs w:val="26"/>
        </w:rPr>
        <w:t>1.</w:t>
      </w:r>
      <w:r w:rsidRPr="004A3EBF">
        <w:rPr>
          <w:iCs/>
          <w:szCs w:val="26"/>
        </w:rPr>
        <w:tab/>
      </w:r>
      <w:r w:rsidRPr="004A3EBF">
        <w:rPr>
          <w:rFonts w:hint="eastAsia"/>
          <w:iCs/>
          <w:szCs w:val="26"/>
        </w:rPr>
        <w:t>在</w:t>
      </w:r>
      <w:r w:rsidRPr="001F61AB">
        <w:rPr>
          <w:rFonts w:hint="eastAsia"/>
          <w:i/>
          <w:iCs/>
          <w:szCs w:val="26"/>
        </w:rPr>
        <w:t>W</w:t>
      </w:r>
      <w:r w:rsidRPr="001F61AB">
        <w:rPr>
          <w:rFonts w:hint="eastAsia"/>
          <w:i/>
          <w:iCs/>
          <w:szCs w:val="26"/>
        </w:rPr>
        <w:t>訴婚姻登記官</w:t>
      </w:r>
      <w:r w:rsidRPr="004A3EBF">
        <w:rPr>
          <w:rFonts w:hint="eastAsia"/>
          <w:iCs/>
          <w:szCs w:val="26"/>
        </w:rPr>
        <w:t>[2013] 3 HKLRD 90</w:t>
      </w:r>
      <w:r w:rsidRPr="004A3EBF">
        <w:rPr>
          <w:rFonts w:hint="eastAsia"/>
          <w:iCs/>
          <w:szCs w:val="26"/>
        </w:rPr>
        <w:t>一案中，一名已接受整項性別重置手術後由男變女的變性人士質疑婚姻登記官拒絕承認她在《婚姻條例》（香港法例第</w:t>
      </w:r>
      <w:r w:rsidRPr="004A3EBF">
        <w:rPr>
          <w:rFonts w:hint="eastAsia"/>
          <w:iCs/>
          <w:szCs w:val="26"/>
        </w:rPr>
        <w:t>181</w:t>
      </w:r>
      <w:r w:rsidRPr="004A3EBF">
        <w:rPr>
          <w:rFonts w:hint="eastAsia"/>
          <w:iCs/>
          <w:szCs w:val="26"/>
        </w:rPr>
        <w:t>章）及《婚姻訴訟條例》（香港法例第</w:t>
      </w:r>
      <w:r w:rsidRPr="004A3EBF">
        <w:rPr>
          <w:rFonts w:hint="eastAsia"/>
          <w:iCs/>
          <w:szCs w:val="26"/>
        </w:rPr>
        <w:t>179</w:t>
      </w:r>
      <w:r w:rsidRPr="004A3EBF">
        <w:rPr>
          <w:rFonts w:hint="eastAsia"/>
          <w:iCs/>
          <w:szCs w:val="26"/>
        </w:rPr>
        <w:t>章）下應被視為“女人”的決定，因這決定阻礙她與她的男性伴侶結婚。終審法院裁定這損害了她受《基本法》第</w:t>
      </w:r>
      <w:r w:rsidRPr="004A3EBF">
        <w:rPr>
          <w:rFonts w:hint="eastAsia"/>
          <w:iCs/>
          <w:szCs w:val="26"/>
        </w:rPr>
        <w:t>37</w:t>
      </w:r>
      <w:r w:rsidRPr="004A3EBF">
        <w:rPr>
          <w:rFonts w:hint="eastAsia"/>
          <w:iCs/>
          <w:szCs w:val="26"/>
        </w:rPr>
        <w:t>條及《香港人權法案》第</w:t>
      </w:r>
      <w:r w:rsidRPr="004A3EBF">
        <w:rPr>
          <w:rFonts w:hint="eastAsia"/>
          <w:iCs/>
          <w:szCs w:val="26"/>
        </w:rPr>
        <w:t>19(2)</w:t>
      </w:r>
      <w:r w:rsidRPr="004A3EBF">
        <w:rPr>
          <w:rFonts w:hint="eastAsia"/>
          <w:iCs/>
          <w:szCs w:val="26"/>
        </w:rPr>
        <w:t>條所保障的結婚權利的本質。終審法院認為，香港特區政府應參考外國做法，研究該如何解決變性人士在所有法律範疇所面對的困難。</w:t>
      </w:r>
    </w:p>
    <w:p w:rsidR="00E74E52" w:rsidRPr="004A3EBF" w:rsidRDefault="00E74E52" w:rsidP="00E74E52">
      <w:pPr>
        <w:tabs>
          <w:tab w:val="left" w:pos="1440"/>
        </w:tabs>
        <w:adjustRightInd w:val="0"/>
        <w:snapToGrid w:val="0"/>
        <w:spacing w:line="400" w:lineRule="atLeast"/>
        <w:ind w:right="26"/>
        <w:jc w:val="both"/>
        <w:rPr>
          <w:iCs/>
          <w:szCs w:val="26"/>
        </w:rPr>
      </w:pPr>
    </w:p>
    <w:p w:rsidR="00E74E52" w:rsidRPr="004A3EBF" w:rsidRDefault="00E74E52" w:rsidP="00E74E52">
      <w:pPr>
        <w:tabs>
          <w:tab w:val="left" w:pos="1440"/>
        </w:tabs>
        <w:adjustRightInd w:val="0"/>
        <w:snapToGrid w:val="0"/>
        <w:spacing w:line="400" w:lineRule="atLeast"/>
        <w:ind w:right="26"/>
        <w:jc w:val="both"/>
        <w:rPr>
          <w:iCs/>
          <w:szCs w:val="26"/>
        </w:rPr>
      </w:pPr>
      <w:r>
        <w:rPr>
          <w:rFonts w:hint="eastAsia"/>
          <w:iCs/>
          <w:szCs w:val="26"/>
        </w:rPr>
        <w:t>2.</w:t>
      </w:r>
      <w:r w:rsidRPr="004A3EBF">
        <w:rPr>
          <w:iCs/>
          <w:szCs w:val="26"/>
        </w:rPr>
        <w:tab/>
      </w:r>
      <w:r w:rsidRPr="004A3EBF">
        <w:rPr>
          <w:rFonts w:hint="eastAsia"/>
          <w:iCs/>
          <w:szCs w:val="26"/>
        </w:rPr>
        <w:t>為跟進終審法院的判決，香港特區政府於</w:t>
      </w:r>
      <w:r w:rsidRPr="004A3EBF">
        <w:rPr>
          <w:rFonts w:hint="eastAsia"/>
          <w:iCs/>
          <w:szCs w:val="26"/>
        </w:rPr>
        <w:t>2014</w:t>
      </w:r>
      <w:r w:rsidRPr="004A3EBF">
        <w:rPr>
          <w:rFonts w:hint="eastAsia"/>
          <w:iCs/>
          <w:szCs w:val="26"/>
        </w:rPr>
        <w:t>年</w:t>
      </w:r>
      <w:r w:rsidRPr="004A3EBF">
        <w:rPr>
          <w:rFonts w:hint="eastAsia"/>
          <w:iCs/>
          <w:szCs w:val="26"/>
        </w:rPr>
        <w:t>1</w:t>
      </w:r>
      <w:r w:rsidRPr="004A3EBF">
        <w:rPr>
          <w:rFonts w:hint="eastAsia"/>
          <w:iCs/>
          <w:szCs w:val="26"/>
        </w:rPr>
        <w:t>月成立性別承認跨部門工作小組（工作小組），研究全面保障在香港變性人士的法律權利所可能需要的法例和相關行政措施，並作出合適的改革建議。</w:t>
      </w:r>
    </w:p>
    <w:p w:rsidR="00E74E52" w:rsidRPr="004A3EBF" w:rsidRDefault="00E74E52" w:rsidP="00E74E52">
      <w:pPr>
        <w:tabs>
          <w:tab w:val="left" w:pos="1440"/>
        </w:tabs>
        <w:adjustRightInd w:val="0"/>
        <w:snapToGrid w:val="0"/>
        <w:spacing w:line="400" w:lineRule="atLeast"/>
        <w:ind w:right="26"/>
        <w:jc w:val="both"/>
        <w:rPr>
          <w:iCs/>
          <w:szCs w:val="26"/>
        </w:rPr>
      </w:pPr>
    </w:p>
    <w:p w:rsidR="00E74E52" w:rsidRPr="004A3EBF" w:rsidRDefault="00E74E52" w:rsidP="00E74E52">
      <w:pPr>
        <w:tabs>
          <w:tab w:val="left" w:pos="1440"/>
        </w:tabs>
        <w:adjustRightInd w:val="0"/>
        <w:snapToGrid w:val="0"/>
        <w:spacing w:line="400" w:lineRule="atLeast"/>
        <w:ind w:right="26"/>
        <w:jc w:val="both"/>
        <w:rPr>
          <w:iCs/>
          <w:szCs w:val="26"/>
        </w:rPr>
      </w:pPr>
      <w:r>
        <w:rPr>
          <w:rFonts w:hint="eastAsia"/>
          <w:iCs/>
          <w:szCs w:val="26"/>
        </w:rPr>
        <w:t>3.</w:t>
      </w:r>
      <w:r w:rsidRPr="004A3EBF">
        <w:rPr>
          <w:iCs/>
          <w:szCs w:val="26"/>
        </w:rPr>
        <w:tab/>
      </w:r>
      <w:r w:rsidRPr="004A3EBF">
        <w:rPr>
          <w:rFonts w:hint="eastAsia"/>
          <w:iCs/>
          <w:szCs w:val="26"/>
        </w:rPr>
        <w:t>工作小組的研究範圍涵蓋性別承認和性別承認後的議題。有關性別承認的議題包括應否在香港設立性別承認制度、申請性別承認的人士所需符合的資格準則，以及性別承認的程序。有關性別承認後的議題包括若在香港設立性別承認制度，會對現行的法律和措施產生甚麼影響。</w:t>
      </w:r>
    </w:p>
    <w:p w:rsidR="00E74E52" w:rsidRPr="004A3EBF" w:rsidRDefault="00E74E52" w:rsidP="00E74E52">
      <w:pPr>
        <w:tabs>
          <w:tab w:val="left" w:pos="1440"/>
        </w:tabs>
        <w:adjustRightInd w:val="0"/>
        <w:snapToGrid w:val="0"/>
        <w:spacing w:line="400" w:lineRule="atLeast"/>
        <w:ind w:right="26"/>
        <w:jc w:val="both"/>
        <w:rPr>
          <w:iCs/>
          <w:szCs w:val="26"/>
        </w:rPr>
      </w:pPr>
    </w:p>
    <w:p w:rsidR="00E74E52" w:rsidRPr="004A3EBF" w:rsidRDefault="00E74E52" w:rsidP="00E74E52">
      <w:pPr>
        <w:tabs>
          <w:tab w:val="left" w:pos="1440"/>
        </w:tabs>
        <w:adjustRightInd w:val="0"/>
        <w:snapToGrid w:val="0"/>
        <w:spacing w:line="400" w:lineRule="atLeast"/>
        <w:ind w:right="26"/>
        <w:jc w:val="both"/>
        <w:rPr>
          <w:iCs/>
          <w:szCs w:val="26"/>
        </w:rPr>
      </w:pPr>
      <w:r>
        <w:rPr>
          <w:rFonts w:hint="eastAsia"/>
          <w:iCs/>
          <w:szCs w:val="26"/>
        </w:rPr>
        <w:t>4</w:t>
      </w:r>
      <w:r w:rsidRPr="004A3EBF">
        <w:rPr>
          <w:rFonts w:hint="eastAsia"/>
          <w:iCs/>
          <w:szCs w:val="26"/>
        </w:rPr>
        <w:t>.</w:t>
      </w:r>
      <w:r w:rsidRPr="004A3EBF">
        <w:rPr>
          <w:iCs/>
          <w:szCs w:val="26"/>
        </w:rPr>
        <w:tab/>
      </w:r>
      <w:r w:rsidRPr="004A3EBF">
        <w:rPr>
          <w:rFonts w:hint="eastAsia"/>
          <w:iCs/>
          <w:szCs w:val="26"/>
        </w:rPr>
        <w:t>在</w:t>
      </w:r>
      <w:r w:rsidRPr="004A3EBF">
        <w:rPr>
          <w:rFonts w:hint="eastAsia"/>
          <w:iCs/>
          <w:szCs w:val="26"/>
        </w:rPr>
        <w:t>2017</w:t>
      </w:r>
      <w:r w:rsidRPr="004A3EBF">
        <w:rPr>
          <w:rFonts w:hint="eastAsia"/>
          <w:iCs/>
          <w:szCs w:val="26"/>
        </w:rPr>
        <w:t>年</w:t>
      </w:r>
      <w:r w:rsidRPr="004A3EBF">
        <w:rPr>
          <w:rFonts w:hint="eastAsia"/>
          <w:iCs/>
          <w:szCs w:val="26"/>
        </w:rPr>
        <w:t>6</w:t>
      </w:r>
      <w:r w:rsidRPr="004A3EBF">
        <w:rPr>
          <w:rFonts w:hint="eastAsia"/>
          <w:iCs/>
          <w:szCs w:val="26"/>
        </w:rPr>
        <w:t>月，工作小組發表一份諮詢文件，以徵詢公眾對法律性別承認議題的意見。諮詢期在</w:t>
      </w:r>
      <w:r w:rsidRPr="004A3EBF">
        <w:rPr>
          <w:rFonts w:hint="eastAsia"/>
          <w:iCs/>
          <w:szCs w:val="26"/>
        </w:rPr>
        <w:t>2017</w:t>
      </w:r>
      <w:r w:rsidRPr="004A3EBF">
        <w:rPr>
          <w:rFonts w:hint="eastAsia"/>
          <w:iCs/>
          <w:szCs w:val="26"/>
        </w:rPr>
        <w:t>年</w:t>
      </w:r>
      <w:r w:rsidRPr="004A3EBF">
        <w:rPr>
          <w:rFonts w:hint="eastAsia"/>
          <w:iCs/>
          <w:szCs w:val="26"/>
        </w:rPr>
        <w:t>12</w:t>
      </w:r>
      <w:r w:rsidRPr="004A3EBF">
        <w:rPr>
          <w:rFonts w:hint="eastAsia"/>
          <w:iCs/>
          <w:szCs w:val="26"/>
        </w:rPr>
        <w:t>月</w:t>
      </w:r>
      <w:r w:rsidRPr="004A3EBF">
        <w:rPr>
          <w:rFonts w:hint="eastAsia"/>
          <w:iCs/>
          <w:szCs w:val="26"/>
        </w:rPr>
        <w:t>31</w:t>
      </w:r>
      <w:r w:rsidRPr="004A3EBF">
        <w:rPr>
          <w:rFonts w:hint="eastAsia"/>
          <w:iCs/>
          <w:szCs w:val="26"/>
        </w:rPr>
        <w:t>日結束。工作小組在諮詢期內接獲大約</w:t>
      </w:r>
      <w:r w:rsidRPr="004A3EBF">
        <w:rPr>
          <w:rFonts w:hint="eastAsia"/>
          <w:iCs/>
          <w:szCs w:val="26"/>
        </w:rPr>
        <w:t>18</w:t>
      </w:r>
      <w:r>
        <w:rPr>
          <w:iCs/>
          <w:szCs w:val="26"/>
        </w:rPr>
        <w:t> </w:t>
      </w:r>
      <w:r w:rsidRPr="004A3EBF">
        <w:rPr>
          <w:rFonts w:hint="eastAsia"/>
          <w:iCs/>
          <w:szCs w:val="26"/>
        </w:rPr>
        <w:t>800</w:t>
      </w:r>
      <w:r w:rsidRPr="004A3EBF">
        <w:rPr>
          <w:rFonts w:hint="eastAsia"/>
          <w:iCs/>
          <w:szCs w:val="26"/>
        </w:rPr>
        <w:t>份意見書，當中涵蓋廣泛的觀點。工作小組現正分析所收到的意見書和因應這些意見考慮不同的選項。在完成第一部分有關性別承認的研究後，工作小組將會就公眾諮詢的結果及擬議的未來路向作出報告。</w:t>
      </w:r>
    </w:p>
    <w:p w:rsidR="00E74E52" w:rsidRPr="00F359FC" w:rsidRDefault="00E74E52" w:rsidP="00E74E52"/>
    <w:p w:rsidR="0086200B" w:rsidRDefault="0086200B" w:rsidP="008375BB">
      <w:pPr>
        <w:jc w:val="both"/>
        <w:sectPr w:rsidR="0086200B" w:rsidSect="00E74E52">
          <w:footerReference w:type="default" r:id="rId20"/>
          <w:pgSz w:w="11906" w:h="16838"/>
          <w:pgMar w:top="1440" w:right="1800" w:bottom="1440" w:left="1800" w:header="720" w:footer="720" w:gutter="0"/>
          <w:pgNumType w:start="1"/>
          <w:cols w:space="425"/>
          <w:docGrid w:type="lines" w:linePitch="381"/>
        </w:sectPr>
      </w:pPr>
    </w:p>
    <w:p w:rsidR="0086200B" w:rsidRDefault="0086200B" w:rsidP="0086200B">
      <w:pPr>
        <w:snapToGrid w:val="0"/>
        <w:spacing w:line="400" w:lineRule="atLeast"/>
        <w:jc w:val="right"/>
      </w:pPr>
      <w:r w:rsidRPr="00A91674">
        <w:rPr>
          <w:rFonts w:hint="eastAsia"/>
          <w:b/>
          <w:bCs/>
          <w:kern w:val="0"/>
          <w:szCs w:val="28"/>
        </w:rPr>
        <w:lastRenderedPageBreak/>
        <w:t>附件</w:t>
      </w:r>
      <w:r w:rsidRPr="00A91674">
        <w:rPr>
          <w:rFonts w:hint="eastAsia"/>
          <w:b/>
          <w:bCs/>
          <w:kern w:val="0"/>
          <w:szCs w:val="28"/>
        </w:rPr>
        <w:t>2</w:t>
      </w:r>
      <w:r>
        <w:rPr>
          <w:rFonts w:hint="eastAsia"/>
          <w:b/>
          <w:bCs/>
          <w:kern w:val="0"/>
          <w:szCs w:val="28"/>
        </w:rPr>
        <w:t>F</w:t>
      </w:r>
    </w:p>
    <w:p w:rsidR="0086200B" w:rsidRDefault="0086200B" w:rsidP="0086200B"/>
    <w:p w:rsidR="0086200B" w:rsidRDefault="0086200B" w:rsidP="0086200B">
      <w:pPr>
        <w:tabs>
          <w:tab w:val="left" w:pos="1418"/>
        </w:tabs>
        <w:snapToGrid w:val="0"/>
        <w:spacing w:line="400" w:lineRule="atLeast"/>
        <w:jc w:val="center"/>
        <w:rPr>
          <w:b/>
          <w:kern w:val="0"/>
          <w:szCs w:val="28"/>
        </w:rPr>
      </w:pPr>
      <w:r>
        <w:rPr>
          <w:rFonts w:hint="eastAsia"/>
          <w:b/>
          <w:kern w:val="0"/>
          <w:szCs w:val="28"/>
          <w:lang w:eastAsia="zh-HK"/>
        </w:rPr>
        <w:t>保</w:t>
      </w:r>
      <w:r>
        <w:rPr>
          <w:rFonts w:hint="eastAsia"/>
          <w:b/>
          <w:kern w:val="0"/>
          <w:szCs w:val="28"/>
        </w:rPr>
        <w:t>護</w:t>
      </w:r>
      <w:r w:rsidRPr="00A7582F">
        <w:rPr>
          <w:rFonts w:hint="eastAsia"/>
          <w:b/>
          <w:kern w:val="0"/>
          <w:szCs w:val="28"/>
        </w:rPr>
        <w:t>殘疾人士</w:t>
      </w:r>
    </w:p>
    <w:p w:rsidR="0086200B" w:rsidRDefault="0086200B" w:rsidP="0086200B">
      <w:pPr>
        <w:tabs>
          <w:tab w:val="left" w:pos="1418"/>
        </w:tabs>
        <w:snapToGrid w:val="0"/>
        <w:spacing w:line="400" w:lineRule="atLeast"/>
        <w:jc w:val="center"/>
        <w:rPr>
          <w:b/>
          <w:kern w:val="0"/>
          <w:szCs w:val="28"/>
        </w:rPr>
      </w:pPr>
    </w:p>
    <w:p w:rsidR="0086200B" w:rsidRPr="00BD6AF4" w:rsidRDefault="0086200B" w:rsidP="0086200B">
      <w:pPr>
        <w:tabs>
          <w:tab w:val="left" w:pos="1418"/>
        </w:tabs>
        <w:snapToGrid w:val="0"/>
        <w:spacing w:line="400" w:lineRule="atLeast"/>
        <w:jc w:val="both"/>
        <w:rPr>
          <w:kern w:val="0"/>
          <w:szCs w:val="28"/>
          <w:u w:val="single"/>
        </w:rPr>
      </w:pPr>
      <w:r w:rsidRPr="004A3EBF">
        <w:rPr>
          <w:rFonts w:hint="eastAsia"/>
          <w:kern w:val="0"/>
          <w:szCs w:val="28"/>
          <w:u w:val="single"/>
        </w:rPr>
        <w:t>促進殘疾人士融入社會</w:t>
      </w:r>
    </w:p>
    <w:p w:rsidR="0086200B" w:rsidRDefault="0086200B" w:rsidP="0086200B">
      <w:pPr>
        <w:tabs>
          <w:tab w:val="left" w:pos="1440"/>
        </w:tabs>
        <w:snapToGrid w:val="0"/>
        <w:spacing w:line="400" w:lineRule="atLeast"/>
        <w:jc w:val="both"/>
        <w:rPr>
          <w:kern w:val="0"/>
          <w:szCs w:val="28"/>
        </w:rPr>
      </w:pPr>
    </w:p>
    <w:p w:rsidR="0086200B" w:rsidRDefault="0086200B" w:rsidP="0086200B">
      <w:pPr>
        <w:tabs>
          <w:tab w:val="left" w:pos="1440"/>
        </w:tabs>
        <w:snapToGrid w:val="0"/>
        <w:spacing w:line="400" w:lineRule="atLeast"/>
        <w:jc w:val="both"/>
        <w:rPr>
          <w:kern w:val="0"/>
          <w:szCs w:val="28"/>
        </w:rPr>
      </w:pPr>
      <w:r>
        <w:rPr>
          <w:rFonts w:hint="eastAsia"/>
          <w:kern w:val="0"/>
          <w:szCs w:val="28"/>
        </w:rPr>
        <w:t>1.</w:t>
      </w:r>
      <w:r>
        <w:rPr>
          <w:rFonts w:hint="eastAsia"/>
          <w:kern w:val="0"/>
          <w:szCs w:val="28"/>
        </w:rPr>
        <w:tab/>
      </w:r>
      <w:r w:rsidRPr="00CB276B">
        <w:rPr>
          <w:rFonts w:hint="eastAsia"/>
          <w:kern w:val="0"/>
          <w:szCs w:val="28"/>
        </w:rPr>
        <w:t>在</w:t>
      </w:r>
      <w:r w:rsidRPr="00CB276B">
        <w:rPr>
          <w:kern w:val="0"/>
          <w:szCs w:val="28"/>
        </w:rPr>
        <w:t>2018-19</w:t>
      </w:r>
      <w:r w:rsidRPr="00CB276B">
        <w:rPr>
          <w:rFonts w:hint="eastAsia"/>
          <w:kern w:val="0"/>
          <w:szCs w:val="28"/>
        </w:rPr>
        <w:t>年度，政府舉辦全港性宣傳活動響應世界精神健康日和國際復康日。公務員事務局</w:t>
      </w:r>
      <w:r>
        <w:rPr>
          <w:rFonts w:hint="eastAsia"/>
          <w:kern w:val="0"/>
          <w:szCs w:val="28"/>
          <w:lang w:eastAsia="zh-HK"/>
        </w:rPr>
        <w:t>亦</w:t>
      </w:r>
      <w:r w:rsidRPr="00CB276B">
        <w:rPr>
          <w:rFonts w:hint="eastAsia"/>
          <w:kern w:val="0"/>
          <w:szCs w:val="28"/>
        </w:rPr>
        <w:t>向各政策局</w:t>
      </w:r>
      <w:r w:rsidRPr="004A3EBF">
        <w:rPr>
          <w:kern w:val="0"/>
          <w:szCs w:val="28"/>
          <w:lang w:val="en-GB"/>
        </w:rPr>
        <w:t>／</w:t>
      </w:r>
      <w:r w:rsidRPr="00CB276B">
        <w:rPr>
          <w:rFonts w:hint="eastAsia"/>
          <w:kern w:val="0"/>
          <w:szCs w:val="28"/>
        </w:rPr>
        <w:t>部門發出實務指引，介紹僱用殘疾人士的政策和與殘疾員工共事的要訣，</w:t>
      </w:r>
      <w:r>
        <w:rPr>
          <w:rFonts w:hint="eastAsia"/>
          <w:kern w:val="0"/>
          <w:szCs w:val="28"/>
          <w:lang w:eastAsia="zh-HK"/>
        </w:rPr>
        <w:t>並</w:t>
      </w:r>
      <w:r w:rsidRPr="00CB276B">
        <w:rPr>
          <w:rFonts w:hint="eastAsia"/>
          <w:kern w:val="0"/>
          <w:szCs w:val="28"/>
        </w:rPr>
        <w:t>定期舉辧研討會和工作坊介紹《</w:t>
      </w:r>
      <w:r w:rsidRPr="005F5070">
        <w:rPr>
          <w:rFonts w:hint="eastAsia"/>
          <w:kern w:val="0"/>
          <w:szCs w:val="28"/>
        </w:rPr>
        <w:t>殘疾人</w:t>
      </w:r>
      <w:r w:rsidRPr="00CB276B">
        <w:rPr>
          <w:rFonts w:hint="eastAsia"/>
          <w:kern w:val="0"/>
          <w:szCs w:val="28"/>
        </w:rPr>
        <w:t>公約》、共融工作間、無障礙政府服務等。</w:t>
      </w:r>
    </w:p>
    <w:p w:rsidR="0086200B" w:rsidRDefault="0086200B" w:rsidP="0086200B">
      <w:pPr>
        <w:tabs>
          <w:tab w:val="left" w:pos="1440"/>
        </w:tabs>
        <w:snapToGrid w:val="0"/>
        <w:spacing w:line="400" w:lineRule="atLeast"/>
        <w:jc w:val="both"/>
        <w:rPr>
          <w:kern w:val="0"/>
          <w:szCs w:val="28"/>
        </w:rPr>
      </w:pPr>
    </w:p>
    <w:p w:rsidR="0086200B" w:rsidRDefault="0086200B" w:rsidP="0086200B">
      <w:pPr>
        <w:tabs>
          <w:tab w:val="left" w:pos="1440"/>
        </w:tabs>
        <w:snapToGrid w:val="0"/>
        <w:spacing w:line="400" w:lineRule="atLeast"/>
        <w:jc w:val="both"/>
        <w:rPr>
          <w:kern w:val="0"/>
          <w:szCs w:val="28"/>
        </w:rPr>
      </w:pPr>
      <w:r>
        <w:rPr>
          <w:rFonts w:hint="eastAsia"/>
          <w:kern w:val="0"/>
          <w:szCs w:val="28"/>
        </w:rPr>
        <w:t>2.</w:t>
      </w:r>
      <w:r>
        <w:rPr>
          <w:rFonts w:hint="eastAsia"/>
          <w:kern w:val="0"/>
          <w:szCs w:val="28"/>
        </w:rPr>
        <w:tab/>
      </w:r>
      <w:r w:rsidRPr="00CB276B">
        <w:rPr>
          <w:rFonts w:hint="eastAsia"/>
          <w:kern w:val="0"/>
          <w:szCs w:val="28"/>
        </w:rPr>
        <w:t>勞福局自</w:t>
      </w:r>
      <w:r w:rsidRPr="00CB276B">
        <w:rPr>
          <w:kern w:val="0"/>
          <w:szCs w:val="28"/>
        </w:rPr>
        <w:t>1995</w:t>
      </w:r>
      <w:r w:rsidRPr="00CB276B">
        <w:rPr>
          <w:rFonts w:hint="eastAsia"/>
          <w:kern w:val="0"/>
          <w:szCs w:val="28"/>
        </w:rPr>
        <w:t>年起每年與各部門、非政府機構和傳媒合作，舉辦「精神健康月」，期間推行一系列宣傳活動，以提高普羅市民對精神健康的認識、促使他們接納精神病患者，及鼓勵精神病康復者融入社會。</w:t>
      </w:r>
    </w:p>
    <w:p w:rsidR="0086200B" w:rsidRDefault="0086200B" w:rsidP="0086200B">
      <w:pPr>
        <w:tabs>
          <w:tab w:val="left" w:pos="1440"/>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3.</w:t>
      </w:r>
      <w:r>
        <w:rPr>
          <w:rFonts w:hint="eastAsia"/>
          <w:kern w:val="0"/>
          <w:szCs w:val="28"/>
        </w:rPr>
        <w:tab/>
      </w:r>
      <w:r w:rsidRPr="00CB276B">
        <w:rPr>
          <w:rFonts w:hint="eastAsia"/>
          <w:kern w:val="0"/>
          <w:szCs w:val="28"/>
        </w:rPr>
        <w:t>勞福局在康復諮詢委員會下成立了推廣手語工作小組，就如何推廣手語向政府提供意見。小組成員包括康復諮詢委員會委員、聽障人士、手語翻譯員，及非政府機構和教育界代表，相關的政府決策局和部門代表會按需要出席會議。政府</w:t>
      </w:r>
      <w:r w:rsidRPr="00CB276B">
        <w:rPr>
          <w:kern w:val="0"/>
          <w:szCs w:val="28"/>
        </w:rPr>
        <w:t>近年推行下列</w:t>
      </w:r>
      <w:r w:rsidRPr="00CB276B">
        <w:rPr>
          <w:rFonts w:hint="eastAsia"/>
          <w:kern w:val="0"/>
          <w:szCs w:val="28"/>
        </w:rPr>
        <w:t>手語推廣措施：</w:t>
      </w:r>
    </w:p>
    <w:p w:rsidR="0086200B" w:rsidRPr="00CB276B" w:rsidRDefault="0086200B" w:rsidP="0086200B">
      <w:pPr>
        <w:tabs>
          <w:tab w:val="left" w:pos="1418"/>
        </w:tabs>
        <w:snapToGrid w:val="0"/>
        <w:spacing w:line="400" w:lineRule="atLeast"/>
        <w:jc w:val="both"/>
        <w:rPr>
          <w:kern w:val="0"/>
          <w:szCs w:val="28"/>
        </w:rPr>
      </w:pPr>
    </w:p>
    <w:p w:rsidR="0086200B" w:rsidRPr="00234550"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t>(a)</w:t>
      </w:r>
      <w:r>
        <w:rPr>
          <w:spacing w:val="-2"/>
          <w:kern w:val="0"/>
          <w:szCs w:val="28"/>
        </w:rPr>
        <w:tab/>
      </w:r>
      <w:r w:rsidR="0086200B" w:rsidRPr="00234550">
        <w:rPr>
          <w:rFonts w:hint="eastAsia"/>
          <w:spacing w:val="-2"/>
          <w:kern w:val="0"/>
          <w:szCs w:val="28"/>
        </w:rPr>
        <w:t>自</w:t>
      </w:r>
      <w:r w:rsidR="0086200B" w:rsidRPr="00234550">
        <w:rPr>
          <w:spacing w:val="-2"/>
          <w:kern w:val="0"/>
          <w:szCs w:val="28"/>
        </w:rPr>
        <w:t>2015</w:t>
      </w:r>
      <w:r w:rsidR="0086200B" w:rsidRPr="00234550">
        <w:rPr>
          <w:rFonts w:hint="eastAsia"/>
          <w:spacing w:val="-2"/>
          <w:kern w:val="0"/>
          <w:szCs w:val="28"/>
        </w:rPr>
        <w:t>年</w:t>
      </w:r>
      <w:r w:rsidR="0086200B" w:rsidRPr="00234550">
        <w:rPr>
          <w:spacing w:val="-2"/>
          <w:kern w:val="0"/>
          <w:szCs w:val="28"/>
        </w:rPr>
        <w:t>9</w:t>
      </w:r>
      <w:r w:rsidR="0086200B" w:rsidRPr="00234550">
        <w:rPr>
          <w:rFonts w:hint="eastAsia"/>
          <w:spacing w:val="-2"/>
          <w:kern w:val="0"/>
          <w:szCs w:val="28"/>
        </w:rPr>
        <w:t>月起，手語課程已納入持續進修基金語文課</w:t>
      </w:r>
      <w:r w:rsidR="0086200B" w:rsidRPr="00234550">
        <w:rPr>
          <w:rFonts w:hint="eastAsia"/>
          <w:spacing w:val="-4"/>
          <w:kern w:val="0"/>
          <w:szCs w:val="28"/>
        </w:rPr>
        <w:t>程範疇。成功修畢手語課程</w:t>
      </w:r>
      <w:r w:rsidR="0086200B" w:rsidRPr="00234550">
        <w:rPr>
          <w:rFonts w:hint="eastAsia"/>
          <w:spacing w:val="-4"/>
          <w:kern w:val="0"/>
          <w:szCs w:val="28"/>
          <w:lang w:eastAsia="zh-HK"/>
        </w:rPr>
        <w:t>的人士</w:t>
      </w:r>
      <w:r w:rsidR="0086200B" w:rsidRPr="00234550">
        <w:rPr>
          <w:rFonts w:hint="eastAsia"/>
          <w:spacing w:val="-4"/>
          <w:kern w:val="0"/>
          <w:szCs w:val="28"/>
        </w:rPr>
        <w:t>後可獲發還部份課程費用；</w:t>
      </w:r>
    </w:p>
    <w:p w:rsidR="0086200B" w:rsidRPr="00234550" w:rsidRDefault="0086200B" w:rsidP="0086200B">
      <w:pPr>
        <w:tabs>
          <w:tab w:val="left" w:pos="1440"/>
        </w:tabs>
        <w:snapToGrid w:val="0"/>
        <w:spacing w:line="400" w:lineRule="atLeast"/>
        <w:jc w:val="both"/>
        <w:rPr>
          <w:spacing w:val="-2"/>
          <w:kern w:val="0"/>
          <w:szCs w:val="28"/>
        </w:rPr>
      </w:pPr>
    </w:p>
    <w:p w:rsidR="0086200B" w:rsidRPr="00234550"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t>(b)</w:t>
      </w:r>
      <w:r>
        <w:rPr>
          <w:spacing w:val="-2"/>
          <w:kern w:val="0"/>
          <w:szCs w:val="28"/>
        </w:rPr>
        <w:tab/>
      </w:r>
      <w:r w:rsidR="0086200B" w:rsidRPr="00234550">
        <w:rPr>
          <w:rFonts w:hint="eastAsia"/>
          <w:spacing w:val="-2"/>
          <w:kern w:val="0"/>
          <w:szCs w:val="28"/>
        </w:rPr>
        <w:t>在政府的支援下，兩個本地社會服務機構於</w:t>
      </w:r>
      <w:r w:rsidR="0086200B" w:rsidRPr="00234550">
        <w:rPr>
          <w:spacing w:val="-2"/>
          <w:kern w:val="0"/>
          <w:szCs w:val="28"/>
        </w:rPr>
        <w:t>2016</w:t>
      </w:r>
      <w:r w:rsidR="0086200B" w:rsidRPr="00234550">
        <w:rPr>
          <w:rFonts w:hint="eastAsia"/>
          <w:spacing w:val="-2"/>
          <w:kern w:val="0"/>
          <w:szCs w:val="28"/>
        </w:rPr>
        <w:t>年</w:t>
      </w:r>
      <w:r w:rsidR="0086200B" w:rsidRPr="00234550">
        <w:rPr>
          <w:spacing w:val="-2"/>
          <w:kern w:val="0"/>
          <w:szCs w:val="28"/>
        </w:rPr>
        <w:t>6</w:t>
      </w:r>
      <w:r w:rsidR="0086200B" w:rsidRPr="00234550">
        <w:rPr>
          <w:rFonts w:hint="eastAsia"/>
          <w:spacing w:val="-2"/>
          <w:kern w:val="0"/>
          <w:szCs w:val="28"/>
        </w:rPr>
        <w:t>月公布《香港手語翻譯員名單》，臚列手語翻譯員的工作經驗和專業資歷供公眾參考；</w:t>
      </w:r>
    </w:p>
    <w:p w:rsidR="0086200B" w:rsidRPr="00234550" w:rsidRDefault="0086200B" w:rsidP="0092370A">
      <w:pPr>
        <w:tabs>
          <w:tab w:val="left" w:pos="720"/>
          <w:tab w:val="left" w:pos="1440"/>
        </w:tabs>
        <w:snapToGrid w:val="0"/>
        <w:spacing w:line="400" w:lineRule="atLeast"/>
        <w:ind w:left="1436" w:hanging="1436"/>
        <w:jc w:val="both"/>
        <w:rPr>
          <w:spacing w:val="-2"/>
          <w:kern w:val="0"/>
          <w:szCs w:val="28"/>
        </w:rPr>
      </w:pPr>
    </w:p>
    <w:p w:rsidR="0086200B" w:rsidRPr="00234550"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r>
      <w:r>
        <w:rPr>
          <w:rFonts w:hint="eastAsia"/>
          <w:spacing w:val="-2"/>
          <w:kern w:val="0"/>
          <w:szCs w:val="28"/>
        </w:rPr>
        <w:t>(c)</w:t>
      </w:r>
      <w:r>
        <w:rPr>
          <w:rFonts w:hint="eastAsia"/>
          <w:spacing w:val="-2"/>
          <w:kern w:val="0"/>
          <w:szCs w:val="28"/>
        </w:rPr>
        <w:tab/>
      </w:r>
      <w:r w:rsidR="0086200B" w:rsidRPr="00234550">
        <w:rPr>
          <w:rFonts w:hint="eastAsia"/>
          <w:spacing w:val="-2"/>
          <w:kern w:val="0"/>
          <w:szCs w:val="28"/>
        </w:rPr>
        <w:t>香港電台由</w:t>
      </w:r>
      <w:r w:rsidR="0086200B" w:rsidRPr="00234550">
        <w:rPr>
          <w:spacing w:val="-2"/>
          <w:kern w:val="0"/>
          <w:szCs w:val="28"/>
        </w:rPr>
        <w:t>2016</w:t>
      </w:r>
      <w:r w:rsidR="0086200B" w:rsidRPr="00234550">
        <w:rPr>
          <w:rFonts w:hint="eastAsia"/>
          <w:spacing w:val="-2"/>
          <w:kern w:val="0"/>
          <w:szCs w:val="28"/>
        </w:rPr>
        <w:t>年</w:t>
      </w:r>
      <w:r w:rsidR="0086200B" w:rsidRPr="00234550">
        <w:rPr>
          <w:spacing w:val="-2"/>
          <w:kern w:val="0"/>
          <w:szCs w:val="28"/>
        </w:rPr>
        <w:t>4</w:t>
      </w:r>
      <w:r w:rsidR="0086200B" w:rsidRPr="00234550">
        <w:rPr>
          <w:rFonts w:hint="eastAsia"/>
          <w:spacing w:val="-2"/>
          <w:kern w:val="0"/>
          <w:szCs w:val="28"/>
        </w:rPr>
        <w:t>月起，推出一個具手語翻譯的直播時事資訊節目；及</w:t>
      </w:r>
    </w:p>
    <w:p w:rsidR="0086200B" w:rsidRPr="00234550" w:rsidRDefault="0086200B" w:rsidP="0086200B">
      <w:pPr>
        <w:tabs>
          <w:tab w:val="left" w:pos="1440"/>
        </w:tabs>
        <w:snapToGrid w:val="0"/>
        <w:spacing w:line="400" w:lineRule="atLeast"/>
        <w:jc w:val="both"/>
        <w:rPr>
          <w:spacing w:val="-2"/>
          <w:kern w:val="0"/>
          <w:szCs w:val="28"/>
        </w:rPr>
      </w:pPr>
    </w:p>
    <w:p w:rsidR="0086200B" w:rsidRPr="00234550" w:rsidRDefault="0086200B" w:rsidP="0086200B">
      <w:pPr>
        <w:tabs>
          <w:tab w:val="left" w:pos="1440"/>
        </w:tabs>
        <w:snapToGrid w:val="0"/>
        <w:spacing w:line="400" w:lineRule="atLeast"/>
        <w:jc w:val="both"/>
        <w:rPr>
          <w:spacing w:val="-2"/>
          <w:kern w:val="0"/>
          <w:szCs w:val="28"/>
        </w:rPr>
      </w:pPr>
    </w:p>
    <w:p w:rsidR="0086200B" w:rsidRPr="00234550"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lastRenderedPageBreak/>
        <w:tab/>
        <w:t>(d)</w:t>
      </w:r>
      <w:r>
        <w:rPr>
          <w:spacing w:val="-2"/>
          <w:kern w:val="0"/>
          <w:szCs w:val="28"/>
        </w:rPr>
        <w:tab/>
      </w:r>
      <w:r w:rsidR="0086200B" w:rsidRPr="00234550">
        <w:rPr>
          <w:rFonts w:hint="eastAsia"/>
          <w:spacing w:val="-2"/>
          <w:kern w:val="0"/>
          <w:szCs w:val="28"/>
        </w:rPr>
        <w:t>一間主要本地免費電視台由</w:t>
      </w:r>
      <w:r w:rsidR="0086200B" w:rsidRPr="00234550">
        <w:rPr>
          <w:spacing w:val="-2"/>
          <w:kern w:val="0"/>
          <w:szCs w:val="28"/>
        </w:rPr>
        <w:t>2018</w:t>
      </w:r>
      <w:r w:rsidR="0086200B" w:rsidRPr="00234550">
        <w:rPr>
          <w:rFonts w:hint="eastAsia"/>
          <w:spacing w:val="-2"/>
          <w:kern w:val="0"/>
          <w:szCs w:val="28"/>
        </w:rPr>
        <w:t>年</w:t>
      </w:r>
      <w:r w:rsidR="0086200B" w:rsidRPr="00234550">
        <w:rPr>
          <w:spacing w:val="-2"/>
          <w:kern w:val="0"/>
          <w:szCs w:val="28"/>
        </w:rPr>
        <w:t>7</w:t>
      </w:r>
      <w:r w:rsidR="0086200B" w:rsidRPr="00234550">
        <w:rPr>
          <w:rFonts w:hint="eastAsia"/>
          <w:spacing w:val="-2"/>
          <w:kern w:val="0"/>
          <w:szCs w:val="28"/>
        </w:rPr>
        <w:t>月起，每日在指定頻道的一個新聞節目內提供手語傳譯及字幕。</w:t>
      </w:r>
    </w:p>
    <w:p w:rsidR="0086200B" w:rsidRPr="00535096" w:rsidRDefault="0086200B" w:rsidP="0086200B">
      <w:pPr>
        <w:tabs>
          <w:tab w:val="left" w:pos="1418"/>
        </w:tabs>
        <w:snapToGrid w:val="0"/>
        <w:spacing w:line="400" w:lineRule="atLeast"/>
        <w:jc w:val="both"/>
        <w:rPr>
          <w:b/>
          <w:kern w:val="0"/>
          <w:szCs w:val="28"/>
        </w:rPr>
      </w:pPr>
    </w:p>
    <w:p w:rsidR="0086200B" w:rsidRPr="00A7582F" w:rsidRDefault="0086200B" w:rsidP="0086200B">
      <w:pPr>
        <w:tabs>
          <w:tab w:val="left" w:pos="1418"/>
        </w:tabs>
        <w:snapToGrid w:val="0"/>
        <w:spacing w:line="400" w:lineRule="atLeast"/>
        <w:jc w:val="both"/>
        <w:rPr>
          <w:kern w:val="0"/>
          <w:szCs w:val="28"/>
          <w:u w:val="single"/>
        </w:rPr>
      </w:pPr>
      <w:r w:rsidRPr="00A7582F">
        <w:rPr>
          <w:rFonts w:hint="eastAsia"/>
          <w:kern w:val="0"/>
          <w:szCs w:val="28"/>
          <w:u w:val="single"/>
        </w:rPr>
        <w:t>為殘疾人士提供的就業支援</w:t>
      </w:r>
    </w:p>
    <w:p w:rsidR="0086200B" w:rsidRDefault="0086200B" w:rsidP="0086200B">
      <w:pPr>
        <w:tabs>
          <w:tab w:val="left" w:pos="1440"/>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4.</w:t>
      </w:r>
      <w:r w:rsidRPr="00CB276B">
        <w:rPr>
          <w:kern w:val="0"/>
          <w:szCs w:val="28"/>
        </w:rPr>
        <w:tab/>
      </w:r>
      <w:r>
        <w:rPr>
          <w:rFonts w:hint="eastAsia"/>
          <w:kern w:val="0"/>
          <w:szCs w:val="28"/>
          <w:lang w:eastAsia="zh-HK"/>
        </w:rPr>
        <w:t>特區政</w:t>
      </w:r>
      <w:r>
        <w:rPr>
          <w:rFonts w:hint="eastAsia"/>
          <w:kern w:val="0"/>
          <w:szCs w:val="28"/>
        </w:rPr>
        <w:t>府</w:t>
      </w:r>
      <w:r w:rsidRPr="00CB276B">
        <w:rPr>
          <w:rFonts w:hint="eastAsia"/>
          <w:kern w:val="0"/>
          <w:szCs w:val="28"/>
        </w:rPr>
        <w:t>近年為殘疾人士提供下列就業支援：</w:t>
      </w:r>
    </w:p>
    <w:p w:rsidR="0086200B" w:rsidRPr="00A7582F" w:rsidRDefault="0086200B" w:rsidP="0086200B">
      <w:pPr>
        <w:tabs>
          <w:tab w:val="left" w:pos="1418"/>
        </w:tabs>
        <w:snapToGrid w:val="0"/>
        <w:spacing w:line="400" w:lineRule="atLeast"/>
        <w:jc w:val="both"/>
        <w:rPr>
          <w:kern w:val="0"/>
          <w:szCs w:val="28"/>
        </w:rPr>
      </w:pPr>
    </w:p>
    <w:p w:rsidR="0086200B" w:rsidRDefault="0086200B" w:rsidP="0086200B">
      <w:pPr>
        <w:tabs>
          <w:tab w:val="left" w:pos="1418"/>
        </w:tabs>
        <w:snapToGrid w:val="0"/>
        <w:spacing w:line="400" w:lineRule="atLeast"/>
        <w:jc w:val="both"/>
        <w:rPr>
          <w:i/>
          <w:kern w:val="0"/>
          <w:szCs w:val="28"/>
        </w:rPr>
      </w:pPr>
      <w:r w:rsidRPr="00CB276B">
        <w:rPr>
          <w:rFonts w:hint="eastAsia"/>
          <w:i/>
          <w:kern w:val="0"/>
          <w:szCs w:val="28"/>
        </w:rPr>
        <w:t>為殘疾人士提供直接支援</w:t>
      </w:r>
    </w:p>
    <w:p w:rsidR="0086200B" w:rsidRPr="00CB276B" w:rsidRDefault="0086200B" w:rsidP="0086200B">
      <w:pPr>
        <w:tabs>
          <w:tab w:val="left" w:pos="1418"/>
        </w:tabs>
        <w:snapToGrid w:val="0"/>
        <w:spacing w:line="400" w:lineRule="atLeast"/>
        <w:jc w:val="both"/>
        <w:rPr>
          <w:i/>
          <w:kern w:val="0"/>
          <w:szCs w:val="28"/>
        </w:rPr>
      </w:pPr>
    </w:p>
    <w:p w:rsidR="0086200B" w:rsidRPr="0092370A"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t>(a)</w:t>
      </w:r>
      <w:r>
        <w:rPr>
          <w:spacing w:val="-2"/>
          <w:kern w:val="0"/>
          <w:szCs w:val="28"/>
        </w:rPr>
        <w:tab/>
      </w:r>
      <w:r w:rsidR="0086200B" w:rsidRPr="0092370A">
        <w:rPr>
          <w:rFonts w:hint="eastAsia"/>
          <w:spacing w:val="-2"/>
          <w:kern w:val="0"/>
          <w:szCs w:val="28"/>
        </w:rPr>
        <w:t>為殘疾人士提供職業培訓，使他們具備在公開市場就業所需的技能；</w:t>
      </w:r>
    </w:p>
    <w:p w:rsidR="0086200B" w:rsidRPr="0092370A" w:rsidRDefault="0086200B" w:rsidP="0092370A">
      <w:pPr>
        <w:tabs>
          <w:tab w:val="left" w:pos="720"/>
          <w:tab w:val="left" w:pos="1418"/>
        </w:tabs>
        <w:snapToGrid w:val="0"/>
        <w:spacing w:line="400" w:lineRule="atLeast"/>
        <w:ind w:left="1436" w:hanging="1436"/>
        <w:jc w:val="both"/>
        <w:rPr>
          <w:spacing w:val="-2"/>
          <w:kern w:val="0"/>
          <w:szCs w:val="28"/>
        </w:rPr>
      </w:pPr>
    </w:p>
    <w:p w:rsidR="0086200B" w:rsidRPr="0092370A"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r>
      <w:r>
        <w:rPr>
          <w:rFonts w:hint="eastAsia"/>
          <w:spacing w:val="-2"/>
          <w:kern w:val="0"/>
          <w:szCs w:val="28"/>
        </w:rPr>
        <w:t>(b)</w:t>
      </w:r>
      <w:r>
        <w:rPr>
          <w:rFonts w:hint="eastAsia"/>
          <w:spacing w:val="-2"/>
          <w:kern w:val="0"/>
          <w:szCs w:val="28"/>
        </w:rPr>
        <w:tab/>
      </w:r>
      <w:r w:rsidR="0086200B" w:rsidRPr="0092370A">
        <w:rPr>
          <w:rFonts w:hint="eastAsia"/>
          <w:spacing w:val="-2"/>
          <w:kern w:val="0"/>
          <w:szCs w:val="28"/>
        </w:rPr>
        <w:t>向殘疾求職者提供就業輔導、就業配對和轉介服務，以及就業後的跟進服務，協助他們在公開市場找到合適的工作；及</w:t>
      </w:r>
    </w:p>
    <w:p w:rsidR="0086200B" w:rsidRPr="0092370A" w:rsidRDefault="0086200B" w:rsidP="0092370A">
      <w:pPr>
        <w:tabs>
          <w:tab w:val="left" w:pos="720"/>
          <w:tab w:val="left" w:pos="1440"/>
        </w:tabs>
        <w:snapToGrid w:val="0"/>
        <w:spacing w:line="400" w:lineRule="atLeast"/>
        <w:ind w:left="1436" w:hanging="1436"/>
        <w:jc w:val="both"/>
        <w:rPr>
          <w:spacing w:val="-2"/>
          <w:kern w:val="0"/>
          <w:szCs w:val="28"/>
        </w:rPr>
      </w:pPr>
    </w:p>
    <w:p w:rsidR="0086200B" w:rsidRPr="0092370A"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t>(c)</w:t>
      </w:r>
      <w:r>
        <w:rPr>
          <w:spacing w:val="-2"/>
          <w:kern w:val="0"/>
          <w:szCs w:val="28"/>
        </w:rPr>
        <w:tab/>
      </w:r>
      <w:r w:rsidR="0086200B" w:rsidRPr="0092370A">
        <w:rPr>
          <w:rFonts w:hint="eastAsia"/>
          <w:spacing w:val="-2"/>
          <w:kern w:val="0"/>
          <w:szCs w:val="28"/>
        </w:rPr>
        <w:t>為有需要的殘疾求職者提供心理和情緒輔導，協助他們專心尋找工作及安頓於其崗位。</w:t>
      </w:r>
    </w:p>
    <w:p w:rsidR="0086200B" w:rsidRPr="00CB276B" w:rsidRDefault="0086200B" w:rsidP="0086200B">
      <w:pPr>
        <w:tabs>
          <w:tab w:val="left" w:pos="1418"/>
        </w:tabs>
        <w:snapToGrid w:val="0"/>
        <w:spacing w:line="400" w:lineRule="atLeast"/>
        <w:jc w:val="both"/>
        <w:rPr>
          <w:kern w:val="0"/>
          <w:szCs w:val="28"/>
        </w:rPr>
      </w:pPr>
    </w:p>
    <w:p w:rsidR="0086200B" w:rsidRPr="00CB276B" w:rsidRDefault="0086200B" w:rsidP="0086200B">
      <w:pPr>
        <w:tabs>
          <w:tab w:val="left" w:pos="1418"/>
        </w:tabs>
        <w:snapToGrid w:val="0"/>
        <w:spacing w:line="400" w:lineRule="atLeast"/>
        <w:jc w:val="both"/>
        <w:rPr>
          <w:i/>
          <w:kern w:val="0"/>
          <w:szCs w:val="28"/>
        </w:rPr>
      </w:pPr>
      <w:r w:rsidRPr="00CB276B">
        <w:rPr>
          <w:rFonts w:hint="eastAsia"/>
          <w:i/>
          <w:kern w:val="0"/>
          <w:szCs w:val="28"/>
        </w:rPr>
        <w:t>為僱主提供誘因聘用殘疾人士</w:t>
      </w:r>
    </w:p>
    <w:p w:rsidR="0086200B" w:rsidRPr="00CB276B" w:rsidRDefault="0086200B" w:rsidP="0086200B">
      <w:pPr>
        <w:tabs>
          <w:tab w:val="left" w:pos="1418"/>
        </w:tabs>
        <w:snapToGrid w:val="0"/>
        <w:spacing w:line="400" w:lineRule="atLeast"/>
        <w:jc w:val="both"/>
        <w:rPr>
          <w:kern w:val="0"/>
          <w:szCs w:val="28"/>
        </w:rPr>
      </w:pPr>
    </w:p>
    <w:p w:rsidR="0086200B" w:rsidRPr="00234550" w:rsidRDefault="0092370A" w:rsidP="0092370A">
      <w:pPr>
        <w:tabs>
          <w:tab w:val="left" w:pos="720"/>
          <w:tab w:val="left" w:pos="1440"/>
        </w:tabs>
        <w:snapToGrid w:val="0"/>
        <w:spacing w:line="400" w:lineRule="atLeast"/>
        <w:ind w:left="1436" w:hanging="1436"/>
        <w:jc w:val="both"/>
        <w:rPr>
          <w:spacing w:val="-2"/>
          <w:kern w:val="0"/>
          <w:szCs w:val="28"/>
        </w:rPr>
      </w:pPr>
      <w:r>
        <w:rPr>
          <w:spacing w:val="-2"/>
          <w:kern w:val="0"/>
          <w:szCs w:val="28"/>
        </w:rPr>
        <w:tab/>
        <w:t>(d)</w:t>
      </w:r>
      <w:r>
        <w:rPr>
          <w:spacing w:val="-2"/>
          <w:kern w:val="0"/>
          <w:szCs w:val="28"/>
        </w:rPr>
        <w:tab/>
      </w:r>
      <w:r w:rsidR="0086200B" w:rsidRPr="00234550">
        <w:rPr>
          <w:rFonts w:hint="eastAsia"/>
          <w:spacing w:val="-2"/>
          <w:kern w:val="0"/>
          <w:szCs w:val="28"/>
        </w:rPr>
        <w:t>提供就業輔助津貼及工作實習工資津貼；</w:t>
      </w:r>
    </w:p>
    <w:p w:rsidR="0086200B" w:rsidRPr="00234550" w:rsidRDefault="0086200B" w:rsidP="0092370A">
      <w:pPr>
        <w:tabs>
          <w:tab w:val="left" w:pos="720"/>
          <w:tab w:val="left" w:pos="1440"/>
        </w:tabs>
        <w:snapToGrid w:val="0"/>
        <w:spacing w:line="400" w:lineRule="atLeast"/>
        <w:ind w:left="1436" w:hanging="1436"/>
        <w:jc w:val="both"/>
        <w:rPr>
          <w:spacing w:val="-2"/>
          <w:kern w:val="0"/>
          <w:szCs w:val="28"/>
        </w:rPr>
      </w:pPr>
    </w:p>
    <w:p w:rsidR="0086200B" w:rsidRPr="0092370A" w:rsidRDefault="0092370A" w:rsidP="0092370A">
      <w:pPr>
        <w:tabs>
          <w:tab w:val="left" w:pos="720"/>
          <w:tab w:val="left" w:pos="1440"/>
        </w:tabs>
        <w:snapToGrid w:val="0"/>
        <w:spacing w:line="400" w:lineRule="atLeast"/>
        <w:ind w:left="1436" w:hanging="1436"/>
        <w:jc w:val="both"/>
        <w:rPr>
          <w:kern w:val="0"/>
          <w:szCs w:val="28"/>
        </w:rPr>
      </w:pPr>
      <w:r>
        <w:rPr>
          <w:spacing w:val="-2"/>
          <w:kern w:val="0"/>
          <w:szCs w:val="28"/>
        </w:rPr>
        <w:tab/>
        <w:t>(e)</w:t>
      </w:r>
      <w:r>
        <w:rPr>
          <w:spacing w:val="-2"/>
          <w:kern w:val="0"/>
          <w:szCs w:val="28"/>
        </w:rPr>
        <w:tab/>
      </w:r>
      <w:r w:rsidR="0086200B" w:rsidRPr="0092370A">
        <w:rPr>
          <w:rFonts w:hint="eastAsia"/>
          <w:kern w:val="0"/>
          <w:szCs w:val="28"/>
        </w:rPr>
        <w:t>於</w:t>
      </w:r>
      <w:r w:rsidR="0086200B" w:rsidRPr="0092370A">
        <w:rPr>
          <w:kern w:val="0"/>
          <w:szCs w:val="28"/>
        </w:rPr>
        <w:t>2013</w:t>
      </w:r>
      <w:r w:rsidR="0086200B" w:rsidRPr="0092370A">
        <w:rPr>
          <w:rFonts w:hint="eastAsia"/>
          <w:kern w:val="0"/>
          <w:szCs w:val="28"/>
        </w:rPr>
        <w:t>年，在一個名為「就業展才能計劃」的就業援助計劃內引入兩個月的工作適應期，以鼓勵僱主為殘疾求職者提供更多支援，協助他們適應新工作。</w:t>
      </w:r>
      <w:r w:rsidR="0086200B" w:rsidRPr="0092370A">
        <w:rPr>
          <w:kern w:val="0"/>
          <w:szCs w:val="28"/>
        </w:rPr>
        <w:t>僱用殘疾求職者的僱主在工作適應期</w:t>
      </w:r>
      <w:r w:rsidR="0086200B" w:rsidRPr="0092370A">
        <w:rPr>
          <w:rFonts w:hint="eastAsia"/>
          <w:kern w:val="0"/>
          <w:szCs w:val="28"/>
        </w:rPr>
        <w:t>內</w:t>
      </w:r>
      <w:r w:rsidR="0086200B" w:rsidRPr="0092370A">
        <w:rPr>
          <w:kern w:val="0"/>
          <w:szCs w:val="28"/>
        </w:rPr>
        <w:t>每月最高津貼額為</w:t>
      </w:r>
      <w:r w:rsidR="0086200B" w:rsidRPr="0092370A">
        <w:rPr>
          <w:kern w:val="0"/>
          <w:szCs w:val="28"/>
        </w:rPr>
        <w:t>5,500</w:t>
      </w:r>
      <w:r w:rsidR="0086200B" w:rsidRPr="0092370A">
        <w:rPr>
          <w:kern w:val="0"/>
          <w:szCs w:val="28"/>
        </w:rPr>
        <w:t>元。</w:t>
      </w:r>
      <w:r w:rsidR="0086200B" w:rsidRPr="0092370A">
        <w:rPr>
          <w:rFonts w:hint="eastAsia"/>
          <w:kern w:val="0"/>
          <w:szCs w:val="28"/>
        </w:rPr>
        <w:t>若僱主在工作適應期後繼續聘用該僱員，</w:t>
      </w:r>
      <w:r w:rsidR="0086200B" w:rsidRPr="0092370A">
        <w:rPr>
          <w:kern w:val="0"/>
          <w:szCs w:val="28"/>
        </w:rPr>
        <w:t>僱主在接下來的六個月的就業期間將獲得每月最高</w:t>
      </w:r>
      <w:r w:rsidR="0086200B" w:rsidRPr="0092370A">
        <w:rPr>
          <w:kern w:val="0"/>
          <w:szCs w:val="28"/>
        </w:rPr>
        <w:t>4,000</w:t>
      </w:r>
      <w:r w:rsidR="0086200B" w:rsidRPr="0092370A">
        <w:rPr>
          <w:kern w:val="0"/>
          <w:szCs w:val="28"/>
        </w:rPr>
        <w:t>元的津貼。由</w:t>
      </w:r>
      <w:r w:rsidR="0086200B" w:rsidRPr="0092370A">
        <w:rPr>
          <w:kern w:val="0"/>
          <w:szCs w:val="28"/>
        </w:rPr>
        <w:t>2018</w:t>
      </w:r>
      <w:r w:rsidR="0086200B" w:rsidRPr="0092370A">
        <w:rPr>
          <w:kern w:val="0"/>
          <w:szCs w:val="28"/>
        </w:rPr>
        <w:t>年</w:t>
      </w:r>
      <w:r w:rsidR="0086200B" w:rsidRPr="0092370A">
        <w:rPr>
          <w:kern w:val="0"/>
          <w:szCs w:val="28"/>
        </w:rPr>
        <w:t>9</w:t>
      </w:r>
      <w:r w:rsidR="0086200B" w:rsidRPr="0092370A">
        <w:rPr>
          <w:kern w:val="0"/>
          <w:szCs w:val="28"/>
        </w:rPr>
        <w:t>月起，</w:t>
      </w:r>
      <w:r w:rsidR="0086200B" w:rsidRPr="0092370A">
        <w:rPr>
          <w:rFonts w:hint="eastAsia"/>
          <w:kern w:val="0"/>
          <w:szCs w:val="28"/>
        </w:rPr>
        <w:t>進一步加強有關計劃，將工作適應期延長至三個月，而工作適應期及隨後六個月的最高每月津貼已分別增至</w:t>
      </w:r>
      <w:r w:rsidR="0086200B" w:rsidRPr="0092370A">
        <w:rPr>
          <w:kern w:val="0"/>
          <w:szCs w:val="28"/>
        </w:rPr>
        <w:t>7,000</w:t>
      </w:r>
      <w:r w:rsidR="0086200B" w:rsidRPr="0092370A">
        <w:rPr>
          <w:rFonts w:hint="eastAsia"/>
          <w:kern w:val="0"/>
          <w:szCs w:val="28"/>
        </w:rPr>
        <w:t>元及</w:t>
      </w:r>
      <w:r w:rsidR="0086200B" w:rsidRPr="0092370A">
        <w:rPr>
          <w:kern w:val="0"/>
          <w:szCs w:val="28"/>
        </w:rPr>
        <w:t>5,000</w:t>
      </w:r>
      <w:r w:rsidR="0086200B" w:rsidRPr="0092370A">
        <w:rPr>
          <w:rFonts w:hint="eastAsia"/>
          <w:kern w:val="0"/>
          <w:szCs w:val="28"/>
        </w:rPr>
        <w:t>元；</w:t>
      </w:r>
    </w:p>
    <w:p w:rsidR="0086200B" w:rsidRPr="00234550" w:rsidRDefault="0086200B" w:rsidP="0086200B">
      <w:pPr>
        <w:snapToGrid w:val="0"/>
        <w:spacing w:line="400" w:lineRule="atLeast"/>
        <w:jc w:val="both"/>
        <w:rPr>
          <w:spacing w:val="-2"/>
          <w:kern w:val="0"/>
          <w:szCs w:val="28"/>
        </w:rPr>
      </w:pPr>
    </w:p>
    <w:p w:rsidR="0086200B" w:rsidRPr="00234550" w:rsidRDefault="0086200B" w:rsidP="0086200B">
      <w:pPr>
        <w:snapToGrid w:val="0"/>
        <w:spacing w:line="400" w:lineRule="atLeast"/>
        <w:jc w:val="both"/>
        <w:rPr>
          <w:spacing w:val="-2"/>
          <w:kern w:val="0"/>
          <w:szCs w:val="28"/>
        </w:rPr>
      </w:pPr>
    </w:p>
    <w:p w:rsidR="0086200B" w:rsidRPr="00234550" w:rsidRDefault="00D92CA5" w:rsidP="00D92CA5">
      <w:pPr>
        <w:tabs>
          <w:tab w:val="left" w:pos="720"/>
          <w:tab w:val="left" w:pos="1440"/>
        </w:tabs>
        <w:snapToGrid w:val="0"/>
        <w:spacing w:line="400" w:lineRule="atLeast"/>
        <w:ind w:left="1436" w:hanging="1436"/>
        <w:jc w:val="both"/>
        <w:rPr>
          <w:spacing w:val="-2"/>
          <w:kern w:val="0"/>
          <w:szCs w:val="28"/>
        </w:rPr>
      </w:pPr>
      <w:r>
        <w:rPr>
          <w:spacing w:val="-2"/>
          <w:kern w:val="0"/>
          <w:szCs w:val="28"/>
        </w:rPr>
        <w:lastRenderedPageBreak/>
        <w:tab/>
        <w:t>(f)</w:t>
      </w:r>
      <w:r>
        <w:rPr>
          <w:spacing w:val="-2"/>
          <w:kern w:val="0"/>
          <w:szCs w:val="28"/>
        </w:rPr>
        <w:tab/>
      </w:r>
      <w:r w:rsidR="0086200B" w:rsidRPr="00234550">
        <w:rPr>
          <w:rFonts w:hint="eastAsia"/>
          <w:spacing w:val="-2"/>
          <w:kern w:val="0"/>
          <w:szCs w:val="28"/>
        </w:rPr>
        <w:t>為殘疾人士的僱主提供以每名殘疾僱員計算最多</w:t>
      </w:r>
      <w:r w:rsidR="0086200B" w:rsidRPr="00234550">
        <w:rPr>
          <w:spacing w:val="-2"/>
          <w:kern w:val="0"/>
          <w:szCs w:val="28"/>
        </w:rPr>
        <w:t>20,000</w:t>
      </w:r>
      <w:r w:rsidR="0086200B" w:rsidRPr="00234550">
        <w:rPr>
          <w:rFonts w:hint="eastAsia"/>
          <w:spacing w:val="-2"/>
          <w:kern w:val="0"/>
          <w:szCs w:val="28"/>
        </w:rPr>
        <w:t>元的資助以改裝工作間及／或購買輔助儀器以改裝工作間及／或購買輔助儀器，或最多</w:t>
      </w:r>
      <w:r w:rsidR="0086200B" w:rsidRPr="00234550">
        <w:rPr>
          <w:spacing w:val="-2"/>
          <w:kern w:val="0"/>
          <w:szCs w:val="28"/>
        </w:rPr>
        <w:t>40,000</w:t>
      </w:r>
      <w:r w:rsidR="0086200B" w:rsidRPr="00234550">
        <w:rPr>
          <w:rFonts w:hint="eastAsia"/>
          <w:spacing w:val="-2"/>
          <w:kern w:val="0"/>
          <w:szCs w:val="28"/>
        </w:rPr>
        <w:t>元的資助以購置單一輔助儀器及其必要配件</w:t>
      </w:r>
      <w:r w:rsidR="0086200B" w:rsidRPr="00234550">
        <w:rPr>
          <w:spacing w:val="-2"/>
          <w:kern w:val="0"/>
          <w:szCs w:val="28"/>
        </w:rPr>
        <w:t>。</w:t>
      </w:r>
    </w:p>
    <w:p w:rsidR="0086200B" w:rsidRPr="00CB276B" w:rsidRDefault="0086200B" w:rsidP="0086200B">
      <w:pPr>
        <w:tabs>
          <w:tab w:val="left" w:pos="1418"/>
        </w:tabs>
        <w:snapToGrid w:val="0"/>
        <w:spacing w:line="400" w:lineRule="atLeast"/>
        <w:jc w:val="both"/>
        <w:rPr>
          <w:kern w:val="0"/>
          <w:szCs w:val="28"/>
        </w:rPr>
      </w:pPr>
    </w:p>
    <w:p w:rsidR="0086200B" w:rsidRPr="00CB276B" w:rsidRDefault="0086200B" w:rsidP="0086200B">
      <w:pPr>
        <w:tabs>
          <w:tab w:val="left" w:pos="1418"/>
        </w:tabs>
        <w:snapToGrid w:val="0"/>
        <w:spacing w:line="400" w:lineRule="atLeast"/>
        <w:jc w:val="both"/>
        <w:rPr>
          <w:i/>
          <w:kern w:val="0"/>
          <w:szCs w:val="28"/>
        </w:rPr>
      </w:pPr>
      <w:r w:rsidRPr="00CB276B">
        <w:rPr>
          <w:rFonts w:hint="eastAsia"/>
          <w:i/>
          <w:kern w:val="0"/>
          <w:szCs w:val="28"/>
        </w:rPr>
        <w:t>透過社會企業創造就業機會</w:t>
      </w:r>
    </w:p>
    <w:p w:rsidR="0086200B" w:rsidRPr="00CB276B" w:rsidRDefault="0086200B" w:rsidP="0086200B">
      <w:pPr>
        <w:tabs>
          <w:tab w:val="left" w:pos="1440"/>
        </w:tabs>
        <w:snapToGrid w:val="0"/>
        <w:spacing w:line="400" w:lineRule="atLeast"/>
        <w:jc w:val="both"/>
        <w:rPr>
          <w:kern w:val="0"/>
          <w:szCs w:val="28"/>
        </w:rPr>
      </w:pPr>
    </w:p>
    <w:p w:rsidR="0086200B" w:rsidRPr="00D92CA5" w:rsidRDefault="00D92CA5" w:rsidP="00D92CA5">
      <w:pPr>
        <w:tabs>
          <w:tab w:val="left" w:pos="720"/>
          <w:tab w:val="left" w:pos="1440"/>
        </w:tabs>
        <w:snapToGrid w:val="0"/>
        <w:spacing w:line="400" w:lineRule="atLeast"/>
        <w:ind w:left="1436" w:hanging="1436"/>
        <w:jc w:val="both"/>
        <w:rPr>
          <w:spacing w:val="-2"/>
          <w:kern w:val="0"/>
          <w:szCs w:val="28"/>
        </w:rPr>
      </w:pPr>
      <w:r>
        <w:rPr>
          <w:spacing w:val="-2"/>
          <w:kern w:val="0"/>
          <w:szCs w:val="28"/>
        </w:rPr>
        <w:tab/>
        <w:t>(g)</w:t>
      </w:r>
      <w:r>
        <w:rPr>
          <w:spacing w:val="-2"/>
          <w:kern w:val="0"/>
          <w:szCs w:val="28"/>
        </w:rPr>
        <w:tab/>
      </w:r>
      <w:r w:rsidR="0086200B" w:rsidRPr="00D92CA5">
        <w:rPr>
          <w:rFonts w:hint="eastAsia"/>
          <w:spacing w:val="-2"/>
          <w:kern w:val="0"/>
          <w:szCs w:val="28"/>
        </w:rPr>
        <w:t>社會福利署（社署）管理一個</w:t>
      </w:r>
      <w:r w:rsidR="0086200B" w:rsidRPr="00D92CA5">
        <w:rPr>
          <w:spacing w:val="-2"/>
          <w:kern w:val="0"/>
          <w:szCs w:val="28"/>
        </w:rPr>
        <w:t>2.5</w:t>
      </w:r>
      <w:r w:rsidR="0086200B" w:rsidRPr="00D92CA5">
        <w:rPr>
          <w:rFonts w:hint="eastAsia"/>
          <w:spacing w:val="-2"/>
          <w:kern w:val="0"/>
          <w:szCs w:val="28"/>
        </w:rPr>
        <w:t>億元的基金，向非政府機構提供每項申請最高</w:t>
      </w:r>
      <w:r w:rsidR="0086200B" w:rsidRPr="00D92CA5">
        <w:rPr>
          <w:spacing w:val="-2"/>
          <w:kern w:val="0"/>
          <w:szCs w:val="28"/>
        </w:rPr>
        <w:t>300</w:t>
      </w:r>
      <w:r w:rsidR="0086200B" w:rsidRPr="00D92CA5">
        <w:rPr>
          <w:spacing w:val="-2"/>
          <w:kern w:val="0"/>
          <w:szCs w:val="28"/>
        </w:rPr>
        <w:t>萬元</w:t>
      </w:r>
      <w:r w:rsidR="0086200B" w:rsidRPr="00D92CA5">
        <w:rPr>
          <w:rFonts w:hint="eastAsia"/>
          <w:spacing w:val="-2"/>
          <w:kern w:val="0"/>
          <w:szCs w:val="28"/>
        </w:rPr>
        <w:t>的撥款</w:t>
      </w:r>
      <w:r w:rsidR="0086200B" w:rsidRPr="00D92CA5">
        <w:rPr>
          <w:spacing w:val="-2"/>
          <w:kern w:val="0"/>
          <w:szCs w:val="28"/>
        </w:rPr>
        <w:t>，以</w:t>
      </w:r>
      <w:r w:rsidR="0086200B" w:rsidRPr="00D92CA5">
        <w:rPr>
          <w:rFonts w:hint="eastAsia"/>
          <w:spacing w:val="-2"/>
          <w:kern w:val="0"/>
          <w:szCs w:val="28"/>
        </w:rPr>
        <w:t>資助機構開</w:t>
      </w:r>
      <w:r w:rsidR="0086200B" w:rsidRPr="00D92CA5">
        <w:rPr>
          <w:spacing w:val="-2"/>
          <w:kern w:val="0"/>
          <w:szCs w:val="28"/>
        </w:rPr>
        <w:t>設社會企業</w:t>
      </w:r>
      <w:r w:rsidR="0086200B" w:rsidRPr="00D92CA5">
        <w:rPr>
          <w:rFonts w:hint="eastAsia"/>
          <w:spacing w:val="-2"/>
          <w:kern w:val="0"/>
          <w:szCs w:val="28"/>
        </w:rPr>
        <w:t>。殘疾人士在</w:t>
      </w:r>
      <w:r w:rsidR="0086200B" w:rsidRPr="00D92CA5">
        <w:rPr>
          <w:spacing w:val="-2"/>
          <w:kern w:val="0"/>
          <w:szCs w:val="28"/>
        </w:rPr>
        <w:t>這些企業</w:t>
      </w:r>
      <w:r w:rsidR="0086200B" w:rsidRPr="00D92CA5">
        <w:rPr>
          <w:rFonts w:hint="eastAsia"/>
          <w:spacing w:val="-2"/>
          <w:kern w:val="0"/>
          <w:szCs w:val="28"/>
        </w:rPr>
        <w:t>所佔比例</w:t>
      </w:r>
      <w:r w:rsidR="0086200B" w:rsidRPr="00D92CA5">
        <w:rPr>
          <w:spacing w:val="-2"/>
          <w:kern w:val="0"/>
          <w:szCs w:val="28"/>
        </w:rPr>
        <w:t>須不少於</w:t>
      </w:r>
      <w:r w:rsidR="0086200B" w:rsidRPr="00D92CA5">
        <w:rPr>
          <w:rFonts w:hint="eastAsia"/>
          <w:spacing w:val="-2"/>
          <w:kern w:val="0"/>
          <w:szCs w:val="28"/>
        </w:rPr>
        <w:t>受薪僱員總數的</w:t>
      </w:r>
      <w:r w:rsidR="0086200B" w:rsidRPr="00D92CA5">
        <w:rPr>
          <w:spacing w:val="-2"/>
          <w:kern w:val="0"/>
          <w:szCs w:val="28"/>
        </w:rPr>
        <w:t>一半。</w:t>
      </w:r>
    </w:p>
    <w:p w:rsidR="0086200B" w:rsidRPr="00CB276B" w:rsidRDefault="0086200B" w:rsidP="0086200B">
      <w:pPr>
        <w:tabs>
          <w:tab w:val="left" w:pos="1418"/>
        </w:tabs>
        <w:snapToGrid w:val="0"/>
        <w:spacing w:line="400" w:lineRule="atLeast"/>
        <w:jc w:val="both"/>
        <w:rPr>
          <w:kern w:val="0"/>
          <w:szCs w:val="28"/>
        </w:rPr>
      </w:pPr>
    </w:p>
    <w:p w:rsidR="0086200B" w:rsidRDefault="0086200B" w:rsidP="0086200B">
      <w:pPr>
        <w:tabs>
          <w:tab w:val="left" w:pos="1418"/>
        </w:tabs>
        <w:snapToGrid w:val="0"/>
        <w:spacing w:line="400" w:lineRule="atLeast"/>
        <w:jc w:val="both"/>
        <w:rPr>
          <w:kern w:val="0"/>
          <w:szCs w:val="28"/>
          <w:u w:val="single"/>
        </w:rPr>
      </w:pPr>
      <w:r w:rsidRPr="00CB276B">
        <w:rPr>
          <w:rFonts w:hint="eastAsia"/>
          <w:kern w:val="0"/>
          <w:szCs w:val="28"/>
          <w:u w:val="single"/>
        </w:rPr>
        <w:t>聘用殘疾人士為公務員</w:t>
      </w:r>
    </w:p>
    <w:p w:rsidR="0086200B" w:rsidRPr="00CB276B" w:rsidRDefault="0086200B" w:rsidP="0086200B">
      <w:pPr>
        <w:tabs>
          <w:tab w:val="left" w:pos="1418"/>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5</w:t>
      </w:r>
      <w:r w:rsidRPr="00CB276B">
        <w:rPr>
          <w:kern w:val="0"/>
          <w:szCs w:val="28"/>
        </w:rPr>
        <w:t>.</w:t>
      </w:r>
      <w:r w:rsidRPr="00CB276B">
        <w:rPr>
          <w:kern w:val="0"/>
          <w:szCs w:val="28"/>
        </w:rPr>
        <w:tab/>
      </w:r>
      <w:r w:rsidRPr="00CB276B">
        <w:rPr>
          <w:rFonts w:hint="eastAsia"/>
          <w:kern w:val="0"/>
          <w:szCs w:val="28"/>
        </w:rPr>
        <w:t>政府通過制訂適當的措施，協助殘疾申請人投考政府職位，盡力確保殘疾人士與其他申請人一樣在投考政府職位的過程時享有平等機會。另外，在適合受聘而有申報為殘疾的申請人和適合受聘程度相若的其他申請人當中，招聘當局可給予前者適度的優先錄用機會。</w:t>
      </w:r>
      <w:r w:rsidRPr="00CB276B">
        <w:rPr>
          <w:kern w:val="0"/>
          <w:szCs w:val="28"/>
        </w:rPr>
        <w:t>我們會繼續加強公務員對殘疾人士就業政策</w:t>
      </w:r>
      <w:r w:rsidRPr="00CB276B">
        <w:rPr>
          <w:rFonts w:hint="eastAsia"/>
          <w:kern w:val="0"/>
          <w:szCs w:val="28"/>
        </w:rPr>
        <w:t>及相關利便措施</w:t>
      </w:r>
      <w:r w:rsidRPr="00CB276B">
        <w:rPr>
          <w:kern w:val="0"/>
          <w:szCs w:val="28"/>
        </w:rPr>
        <w:t>的認識。</w:t>
      </w:r>
    </w:p>
    <w:p w:rsidR="0086200B" w:rsidRPr="00CB276B" w:rsidRDefault="0086200B" w:rsidP="0086200B">
      <w:pPr>
        <w:tabs>
          <w:tab w:val="left" w:pos="1418"/>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6.</w:t>
      </w:r>
      <w:r w:rsidRPr="00CB276B">
        <w:rPr>
          <w:kern w:val="0"/>
          <w:szCs w:val="28"/>
        </w:rPr>
        <w:tab/>
      </w:r>
      <w:r w:rsidRPr="00CB276B">
        <w:rPr>
          <w:kern w:val="0"/>
          <w:szCs w:val="28"/>
        </w:rPr>
        <w:t>截至</w:t>
      </w:r>
      <w:r w:rsidRPr="00CB276B">
        <w:rPr>
          <w:kern w:val="0"/>
          <w:szCs w:val="28"/>
        </w:rPr>
        <w:t>2018</w:t>
      </w:r>
      <w:r w:rsidRPr="00CB276B">
        <w:rPr>
          <w:kern w:val="0"/>
          <w:szCs w:val="28"/>
        </w:rPr>
        <w:t>年</w:t>
      </w:r>
      <w:r w:rsidRPr="00CB276B">
        <w:rPr>
          <w:kern w:val="0"/>
          <w:szCs w:val="28"/>
        </w:rPr>
        <w:t>3</w:t>
      </w:r>
      <w:r w:rsidRPr="00CB276B">
        <w:rPr>
          <w:kern w:val="0"/>
          <w:szCs w:val="28"/>
        </w:rPr>
        <w:t>月</w:t>
      </w:r>
      <w:r w:rsidRPr="00CB276B">
        <w:rPr>
          <w:kern w:val="0"/>
          <w:szCs w:val="28"/>
        </w:rPr>
        <w:t>31</w:t>
      </w:r>
      <w:r w:rsidRPr="00CB276B">
        <w:rPr>
          <w:kern w:val="0"/>
          <w:szCs w:val="28"/>
        </w:rPr>
        <w:t>日，</w:t>
      </w:r>
      <w:r w:rsidRPr="00CB276B">
        <w:rPr>
          <w:rFonts w:hint="eastAsia"/>
          <w:kern w:val="0"/>
          <w:szCs w:val="28"/>
        </w:rPr>
        <w:t>有向政府申報</w:t>
      </w:r>
      <w:r w:rsidRPr="00CB276B">
        <w:rPr>
          <w:kern w:val="0"/>
          <w:szCs w:val="28"/>
        </w:rPr>
        <w:t>殘疾的公務員</w:t>
      </w:r>
      <w:r w:rsidRPr="00CB276B">
        <w:rPr>
          <w:rFonts w:hint="eastAsia"/>
          <w:kern w:val="0"/>
          <w:szCs w:val="28"/>
        </w:rPr>
        <w:t>共</w:t>
      </w:r>
      <w:r w:rsidRPr="00CB276B">
        <w:rPr>
          <w:kern w:val="0"/>
          <w:szCs w:val="28"/>
        </w:rPr>
        <w:t>2 942</w:t>
      </w:r>
      <w:r w:rsidRPr="00CB276B">
        <w:rPr>
          <w:kern w:val="0"/>
          <w:szCs w:val="28"/>
        </w:rPr>
        <w:t>名，佔整體公務員人數約</w:t>
      </w:r>
      <w:r w:rsidRPr="00CB276B">
        <w:rPr>
          <w:kern w:val="0"/>
          <w:szCs w:val="28"/>
        </w:rPr>
        <w:t>1.7%</w:t>
      </w:r>
      <w:r w:rsidRPr="00CB276B">
        <w:rPr>
          <w:kern w:val="0"/>
          <w:szCs w:val="28"/>
        </w:rPr>
        <w:t>。為增加透明度，</w:t>
      </w:r>
      <w:r w:rsidRPr="00CB276B">
        <w:rPr>
          <w:rFonts w:hint="eastAsia"/>
          <w:kern w:val="0"/>
          <w:szCs w:val="28"/>
        </w:rPr>
        <w:t>我們已在</w:t>
      </w:r>
      <w:r w:rsidRPr="00CB276B">
        <w:rPr>
          <w:kern w:val="0"/>
          <w:szCs w:val="28"/>
        </w:rPr>
        <w:t>2018</w:t>
      </w:r>
      <w:r w:rsidRPr="00CB276B">
        <w:rPr>
          <w:rFonts w:hint="eastAsia"/>
          <w:kern w:val="0"/>
          <w:szCs w:val="28"/>
        </w:rPr>
        <w:t>年</w:t>
      </w:r>
      <w:r w:rsidRPr="00CB276B">
        <w:rPr>
          <w:kern w:val="0"/>
          <w:szCs w:val="28"/>
        </w:rPr>
        <w:t>公布殘疾人士與其他人士投考公務員職位的相對成功率。</w:t>
      </w:r>
    </w:p>
    <w:p w:rsidR="0086200B" w:rsidRPr="00CB276B" w:rsidRDefault="0086200B" w:rsidP="0086200B">
      <w:pPr>
        <w:tabs>
          <w:tab w:val="left" w:pos="1418"/>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7</w:t>
      </w:r>
      <w:r w:rsidRPr="00CB276B">
        <w:rPr>
          <w:kern w:val="0"/>
          <w:szCs w:val="28"/>
        </w:rPr>
        <w:t>.</w:t>
      </w:r>
      <w:r w:rsidRPr="00CB276B">
        <w:rPr>
          <w:kern w:val="0"/>
          <w:szCs w:val="28"/>
        </w:rPr>
        <w:tab/>
      </w:r>
      <w:r w:rsidRPr="00CB276B">
        <w:rPr>
          <w:rFonts w:hint="eastAsia"/>
          <w:kern w:val="0"/>
          <w:szCs w:val="28"/>
        </w:rPr>
        <w:t>另外，公務員事務局自</w:t>
      </w:r>
      <w:r w:rsidRPr="00CB276B">
        <w:rPr>
          <w:kern w:val="0"/>
          <w:szCs w:val="28"/>
        </w:rPr>
        <w:t>2016</w:t>
      </w:r>
      <w:r w:rsidRPr="00CB276B">
        <w:rPr>
          <w:rFonts w:hint="eastAsia"/>
          <w:kern w:val="0"/>
          <w:szCs w:val="28"/>
        </w:rPr>
        <w:t>年起推出為殘疾學生而設的實習計劃，提升他們的競爭力，有利他們日後投入職場</w:t>
      </w:r>
      <w:r w:rsidRPr="00CB276B">
        <w:rPr>
          <w:kern w:val="0"/>
          <w:szCs w:val="28"/>
        </w:rPr>
        <w:t>。在</w:t>
      </w:r>
      <w:r w:rsidRPr="00CB276B">
        <w:rPr>
          <w:kern w:val="0"/>
          <w:szCs w:val="28"/>
        </w:rPr>
        <w:t>2018</w:t>
      </w:r>
      <w:r w:rsidRPr="00CB276B">
        <w:rPr>
          <w:kern w:val="0"/>
          <w:szCs w:val="28"/>
        </w:rPr>
        <w:t>年，我們</w:t>
      </w:r>
      <w:r w:rsidRPr="00CB276B">
        <w:rPr>
          <w:rFonts w:hint="eastAsia"/>
          <w:kern w:val="0"/>
          <w:szCs w:val="28"/>
        </w:rPr>
        <w:t>已把</w:t>
      </w:r>
      <w:r w:rsidRPr="00CB276B">
        <w:rPr>
          <w:kern w:val="0"/>
          <w:szCs w:val="28"/>
        </w:rPr>
        <w:t>實習名額由每年平均</w:t>
      </w:r>
      <w:r w:rsidRPr="00CB276B">
        <w:rPr>
          <w:kern w:val="0"/>
          <w:szCs w:val="28"/>
        </w:rPr>
        <w:t>50</w:t>
      </w:r>
      <w:r w:rsidRPr="00CB276B">
        <w:rPr>
          <w:kern w:val="0"/>
          <w:szCs w:val="28"/>
        </w:rPr>
        <w:t>個增加至每年</w:t>
      </w:r>
      <w:r w:rsidRPr="00CB276B">
        <w:rPr>
          <w:kern w:val="0"/>
          <w:szCs w:val="28"/>
        </w:rPr>
        <w:t>100</w:t>
      </w:r>
      <w:r w:rsidRPr="00CB276B">
        <w:rPr>
          <w:rFonts w:hint="eastAsia"/>
          <w:kern w:val="0"/>
          <w:szCs w:val="28"/>
        </w:rPr>
        <w:t>個。</w:t>
      </w:r>
    </w:p>
    <w:p w:rsidR="0086200B" w:rsidRPr="00CB276B" w:rsidRDefault="0086200B" w:rsidP="0086200B">
      <w:pPr>
        <w:tabs>
          <w:tab w:val="left" w:pos="1440"/>
        </w:tabs>
        <w:snapToGrid w:val="0"/>
        <w:spacing w:line="400" w:lineRule="atLeast"/>
        <w:jc w:val="both"/>
        <w:rPr>
          <w:b/>
          <w:bCs/>
          <w:kern w:val="0"/>
          <w:szCs w:val="28"/>
        </w:rPr>
      </w:pPr>
    </w:p>
    <w:p w:rsidR="0086200B" w:rsidRPr="00BD6AF4" w:rsidRDefault="0086200B" w:rsidP="0086200B">
      <w:pPr>
        <w:tabs>
          <w:tab w:val="left" w:pos="1418"/>
        </w:tabs>
        <w:snapToGrid w:val="0"/>
        <w:spacing w:line="400" w:lineRule="atLeast"/>
        <w:jc w:val="both"/>
        <w:rPr>
          <w:kern w:val="0"/>
          <w:szCs w:val="28"/>
          <w:u w:val="single"/>
        </w:rPr>
      </w:pPr>
      <w:r w:rsidRPr="00BD6AF4">
        <w:rPr>
          <w:rFonts w:hint="eastAsia"/>
          <w:kern w:val="0"/>
          <w:szCs w:val="28"/>
          <w:u w:val="single"/>
        </w:rPr>
        <w:t>進出處所</w:t>
      </w:r>
    </w:p>
    <w:p w:rsidR="0086200B" w:rsidRPr="00CB276B" w:rsidRDefault="0086200B" w:rsidP="0086200B">
      <w:pPr>
        <w:tabs>
          <w:tab w:val="left" w:pos="1418"/>
        </w:tabs>
        <w:snapToGrid w:val="0"/>
        <w:spacing w:line="400" w:lineRule="atLeast"/>
        <w:jc w:val="both"/>
        <w:rPr>
          <w:b/>
          <w:bCs/>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8</w:t>
      </w:r>
      <w:r w:rsidRPr="00CB276B">
        <w:rPr>
          <w:kern w:val="0"/>
          <w:szCs w:val="28"/>
        </w:rPr>
        <w:t>.</w:t>
      </w:r>
      <w:r w:rsidRPr="00CB276B">
        <w:rPr>
          <w:kern w:val="0"/>
          <w:szCs w:val="28"/>
        </w:rPr>
        <w:tab/>
      </w:r>
      <w:r w:rsidRPr="00CB276B">
        <w:rPr>
          <w:rFonts w:hint="eastAsia"/>
          <w:kern w:val="0"/>
          <w:szCs w:val="28"/>
        </w:rPr>
        <w:t>政府致力建設無障礙的社區／生活環境，讓殘疾人士可以自由進出所有建築物。</w:t>
      </w:r>
    </w:p>
    <w:p w:rsidR="0086200B" w:rsidRDefault="0086200B" w:rsidP="0086200B">
      <w:pPr>
        <w:tabs>
          <w:tab w:val="left" w:pos="1440"/>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lastRenderedPageBreak/>
        <w:t>9</w:t>
      </w:r>
      <w:r w:rsidRPr="00CB276B">
        <w:rPr>
          <w:kern w:val="0"/>
          <w:szCs w:val="28"/>
        </w:rPr>
        <w:t>.</w:t>
      </w:r>
      <w:r w:rsidRPr="00CB276B">
        <w:rPr>
          <w:kern w:val="0"/>
          <w:szCs w:val="28"/>
        </w:rPr>
        <w:tab/>
      </w:r>
      <w:r w:rsidRPr="00CB276B">
        <w:rPr>
          <w:rFonts w:hint="eastAsia"/>
          <w:kern w:val="0"/>
          <w:szCs w:val="28"/>
        </w:rPr>
        <w:t>屋宇署在</w:t>
      </w:r>
      <w:r w:rsidRPr="00CB276B">
        <w:rPr>
          <w:kern w:val="0"/>
          <w:szCs w:val="28"/>
        </w:rPr>
        <w:t>2014</w:t>
      </w:r>
      <w:r w:rsidRPr="00CB276B">
        <w:rPr>
          <w:rFonts w:hint="eastAsia"/>
          <w:kern w:val="0"/>
          <w:szCs w:val="28"/>
        </w:rPr>
        <w:t>年成立了讓不同類別的殘疾人士參與的技術委員會，收集持份者就《設計手冊：暢通無阻的通道</w:t>
      </w:r>
      <w:r w:rsidRPr="00CB276B">
        <w:rPr>
          <w:kern w:val="0"/>
          <w:szCs w:val="28"/>
        </w:rPr>
        <w:t>2008</w:t>
      </w:r>
      <w:r w:rsidRPr="00CB276B">
        <w:rPr>
          <w:rFonts w:hint="eastAsia"/>
          <w:kern w:val="0"/>
          <w:szCs w:val="28"/>
        </w:rPr>
        <w:t>》</w:t>
      </w:r>
      <w:r>
        <w:rPr>
          <w:rFonts w:hint="eastAsia"/>
          <w:kern w:val="0"/>
          <w:szCs w:val="28"/>
          <w:lang w:eastAsia="zh-HK"/>
        </w:rPr>
        <w:t>（《設</w:t>
      </w:r>
      <w:r>
        <w:rPr>
          <w:rFonts w:hint="eastAsia"/>
          <w:kern w:val="0"/>
          <w:szCs w:val="28"/>
        </w:rPr>
        <w:t>計</w:t>
      </w:r>
      <w:r>
        <w:rPr>
          <w:rFonts w:hint="eastAsia"/>
          <w:kern w:val="0"/>
          <w:szCs w:val="28"/>
          <w:lang w:eastAsia="zh-HK"/>
        </w:rPr>
        <w:t>手</w:t>
      </w:r>
      <w:r>
        <w:rPr>
          <w:rFonts w:hint="eastAsia"/>
          <w:kern w:val="0"/>
          <w:szCs w:val="28"/>
        </w:rPr>
        <w:t>冊</w:t>
      </w:r>
      <w:r>
        <w:rPr>
          <w:rFonts w:hint="eastAsia"/>
          <w:kern w:val="0"/>
          <w:szCs w:val="28"/>
          <w:lang w:eastAsia="zh-HK"/>
        </w:rPr>
        <w:t>》）</w:t>
      </w:r>
      <w:r w:rsidRPr="00CB276B">
        <w:rPr>
          <w:rFonts w:hint="eastAsia"/>
          <w:kern w:val="0"/>
          <w:szCs w:val="28"/>
        </w:rPr>
        <w:t>的意見。《設計手冊》臚列關於暢通無阻的通道及設施的強制及建議遵守的設計規定。技術委員會已討論了</w:t>
      </w:r>
      <w:r w:rsidRPr="00CB276B">
        <w:rPr>
          <w:kern w:val="0"/>
          <w:szCs w:val="28"/>
        </w:rPr>
        <w:t>50</w:t>
      </w:r>
      <w:r w:rsidRPr="00CB276B">
        <w:rPr>
          <w:rFonts w:hint="eastAsia"/>
          <w:kern w:val="0"/>
          <w:szCs w:val="28"/>
        </w:rPr>
        <w:t>多項改善《設計手冊》的建議，並在近年就《設計手冊》發布了超過</w:t>
      </w:r>
      <w:r w:rsidRPr="00CB276B">
        <w:rPr>
          <w:kern w:val="0"/>
          <w:szCs w:val="28"/>
        </w:rPr>
        <w:t>30</w:t>
      </w:r>
      <w:r w:rsidRPr="00CB276B">
        <w:rPr>
          <w:rFonts w:hint="eastAsia"/>
          <w:kern w:val="0"/>
          <w:szCs w:val="28"/>
        </w:rPr>
        <w:t>項修訂，包括規定在一個有</w:t>
      </w:r>
      <w:r w:rsidRPr="00CB276B">
        <w:rPr>
          <w:kern w:val="0"/>
          <w:szCs w:val="28"/>
        </w:rPr>
        <w:t>1 200</w:t>
      </w:r>
      <w:r w:rsidRPr="00CB276B">
        <w:rPr>
          <w:rFonts w:hint="eastAsia"/>
          <w:kern w:val="0"/>
          <w:szCs w:val="28"/>
        </w:rPr>
        <w:t>個座位的演奏廳內，必須提供的輪椅位數量從六個增加至</w:t>
      </w:r>
      <w:r w:rsidRPr="00CB276B">
        <w:rPr>
          <w:kern w:val="0"/>
          <w:szCs w:val="28"/>
        </w:rPr>
        <w:t>36</w:t>
      </w:r>
      <w:r w:rsidRPr="00CB276B">
        <w:rPr>
          <w:rFonts w:hint="eastAsia"/>
          <w:kern w:val="0"/>
          <w:szCs w:val="28"/>
        </w:rPr>
        <w:t>個。</w:t>
      </w:r>
    </w:p>
    <w:p w:rsidR="0086200B" w:rsidRPr="00CB276B" w:rsidRDefault="0086200B" w:rsidP="0086200B">
      <w:pPr>
        <w:tabs>
          <w:tab w:val="left" w:pos="1440"/>
        </w:tabs>
        <w:snapToGrid w:val="0"/>
        <w:spacing w:line="400" w:lineRule="atLeast"/>
        <w:jc w:val="both"/>
        <w:rPr>
          <w:b/>
          <w:bCs/>
          <w:kern w:val="0"/>
          <w:szCs w:val="28"/>
        </w:rPr>
      </w:pPr>
    </w:p>
    <w:p w:rsidR="0086200B" w:rsidRPr="00CB276B" w:rsidRDefault="0086200B" w:rsidP="0086200B">
      <w:pPr>
        <w:tabs>
          <w:tab w:val="left" w:pos="1418"/>
        </w:tabs>
        <w:snapToGrid w:val="0"/>
        <w:spacing w:line="400" w:lineRule="atLeast"/>
        <w:jc w:val="both"/>
        <w:rPr>
          <w:b/>
          <w:bCs/>
          <w:kern w:val="0"/>
          <w:szCs w:val="28"/>
        </w:rPr>
      </w:pPr>
      <w:r w:rsidRPr="00CB276B">
        <w:rPr>
          <w:rFonts w:hint="eastAsia"/>
          <w:kern w:val="0"/>
          <w:szCs w:val="28"/>
          <w:u w:val="single"/>
        </w:rPr>
        <w:t>改善政府處所的無障礙設施</w:t>
      </w:r>
    </w:p>
    <w:p w:rsidR="0086200B" w:rsidRDefault="0086200B" w:rsidP="0086200B">
      <w:pPr>
        <w:tabs>
          <w:tab w:val="left" w:pos="1440"/>
        </w:tabs>
        <w:snapToGrid w:val="0"/>
        <w:spacing w:line="400" w:lineRule="atLeast"/>
        <w:jc w:val="both"/>
        <w:rPr>
          <w:kern w:val="0"/>
          <w:szCs w:val="28"/>
        </w:rPr>
      </w:pPr>
    </w:p>
    <w:p w:rsidR="0086200B" w:rsidRPr="00CB276B" w:rsidRDefault="0086200B" w:rsidP="0086200B">
      <w:pPr>
        <w:tabs>
          <w:tab w:val="left" w:pos="1440"/>
        </w:tabs>
        <w:snapToGrid w:val="0"/>
        <w:spacing w:line="400" w:lineRule="atLeast"/>
        <w:jc w:val="both"/>
        <w:rPr>
          <w:kern w:val="0"/>
          <w:szCs w:val="28"/>
        </w:rPr>
      </w:pPr>
      <w:r>
        <w:rPr>
          <w:rFonts w:hint="eastAsia"/>
          <w:kern w:val="0"/>
          <w:szCs w:val="28"/>
        </w:rPr>
        <w:t>10.</w:t>
      </w:r>
      <w:r w:rsidRPr="00CB276B">
        <w:rPr>
          <w:kern w:val="0"/>
          <w:szCs w:val="28"/>
        </w:rPr>
        <w:tab/>
      </w:r>
      <w:r w:rsidRPr="00CB276B">
        <w:rPr>
          <w:rFonts w:hint="eastAsia"/>
          <w:kern w:val="0"/>
          <w:szCs w:val="28"/>
        </w:rPr>
        <w:t>政府繼續致力改善政府建築物的無障礙通道。於</w:t>
      </w:r>
      <w:r w:rsidRPr="00CB276B">
        <w:rPr>
          <w:kern w:val="0"/>
          <w:szCs w:val="28"/>
        </w:rPr>
        <w:t>2011</w:t>
      </w:r>
      <w:r w:rsidRPr="00CB276B">
        <w:rPr>
          <w:rFonts w:hint="eastAsia"/>
          <w:kern w:val="0"/>
          <w:szCs w:val="28"/>
        </w:rPr>
        <w:t>年至</w:t>
      </w:r>
      <w:r w:rsidRPr="00CB276B">
        <w:rPr>
          <w:kern w:val="0"/>
          <w:szCs w:val="28"/>
        </w:rPr>
        <w:t>2014</w:t>
      </w:r>
      <w:r w:rsidRPr="00CB276B">
        <w:rPr>
          <w:rFonts w:hint="eastAsia"/>
          <w:kern w:val="0"/>
          <w:szCs w:val="28"/>
        </w:rPr>
        <w:t>年進行了一項主要的改善工程計劃，為約</w:t>
      </w:r>
      <w:r w:rsidRPr="00CB276B">
        <w:rPr>
          <w:kern w:val="0"/>
          <w:szCs w:val="28"/>
        </w:rPr>
        <w:t>3 500</w:t>
      </w:r>
      <w:r w:rsidRPr="00CB276B">
        <w:rPr>
          <w:rFonts w:hint="eastAsia"/>
          <w:kern w:val="0"/>
          <w:szCs w:val="28"/>
        </w:rPr>
        <w:t>個政府處所／設施提升無障礙設施。有關計劃涵蓋市民經常出入的政府場地。</w:t>
      </w:r>
    </w:p>
    <w:p w:rsidR="0086200B" w:rsidRPr="00CB276B" w:rsidRDefault="0086200B" w:rsidP="0086200B">
      <w:pPr>
        <w:tabs>
          <w:tab w:val="left" w:pos="1440"/>
        </w:tabs>
        <w:snapToGrid w:val="0"/>
        <w:spacing w:line="400" w:lineRule="atLeast"/>
        <w:jc w:val="both"/>
        <w:rPr>
          <w:kern w:val="0"/>
          <w:szCs w:val="28"/>
        </w:rPr>
      </w:pPr>
    </w:p>
    <w:p w:rsidR="0086200B" w:rsidRPr="004A3EBF" w:rsidRDefault="0086200B" w:rsidP="0086200B">
      <w:pPr>
        <w:tabs>
          <w:tab w:val="left" w:pos="1440"/>
        </w:tabs>
        <w:snapToGrid w:val="0"/>
        <w:spacing w:line="400" w:lineRule="atLeast"/>
        <w:jc w:val="both"/>
        <w:rPr>
          <w:kern w:val="0"/>
          <w:szCs w:val="28"/>
        </w:rPr>
      </w:pPr>
      <w:r>
        <w:rPr>
          <w:rFonts w:hint="eastAsia"/>
          <w:kern w:val="0"/>
          <w:szCs w:val="28"/>
        </w:rPr>
        <w:t>11</w:t>
      </w:r>
      <w:r w:rsidRPr="00CB276B">
        <w:rPr>
          <w:kern w:val="0"/>
          <w:szCs w:val="28"/>
        </w:rPr>
        <w:t>.</w:t>
      </w:r>
      <w:r w:rsidRPr="00CB276B">
        <w:rPr>
          <w:kern w:val="0"/>
          <w:szCs w:val="28"/>
        </w:rPr>
        <w:tab/>
      </w:r>
      <w:r w:rsidRPr="00CB276B">
        <w:rPr>
          <w:rFonts w:hint="eastAsia"/>
          <w:kern w:val="0"/>
          <w:szCs w:val="28"/>
        </w:rPr>
        <w:t>個別政府部門及公共機構繼續進行改善工程為其管理的處所提供無障礙設施。例如路政署於</w:t>
      </w:r>
      <w:r w:rsidRPr="00CB276B">
        <w:rPr>
          <w:kern w:val="0"/>
          <w:szCs w:val="28"/>
        </w:rPr>
        <w:t>2012</w:t>
      </w:r>
      <w:r w:rsidRPr="00CB276B">
        <w:rPr>
          <w:rFonts w:hint="eastAsia"/>
          <w:kern w:val="0"/>
          <w:szCs w:val="28"/>
        </w:rPr>
        <w:t>年推出「人人暢道通行」的政策，擴大在公共行人通道加建無障礙通道設施（包括裝置升降機）的持續計劃，並在</w:t>
      </w:r>
      <w:r w:rsidRPr="00CB276B">
        <w:rPr>
          <w:kern w:val="0"/>
          <w:szCs w:val="28"/>
        </w:rPr>
        <w:t>2016</w:t>
      </w:r>
      <w:r w:rsidRPr="00CB276B">
        <w:rPr>
          <w:rFonts w:hint="eastAsia"/>
          <w:kern w:val="0"/>
          <w:szCs w:val="28"/>
        </w:rPr>
        <w:t>年進一步擴大計劃，不單在公共行人通道，亦在其他符合條件的行人通道加建無障礙通道設施。路政署正在全力推展計劃下共</w:t>
      </w:r>
      <w:r w:rsidRPr="00CB276B">
        <w:rPr>
          <w:kern w:val="0"/>
          <w:szCs w:val="28"/>
        </w:rPr>
        <w:t>250</w:t>
      </w:r>
      <w:r w:rsidRPr="00CB276B">
        <w:rPr>
          <w:rFonts w:hint="eastAsia"/>
          <w:kern w:val="0"/>
          <w:szCs w:val="28"/>
        </w:rPr>
        <w:t>個項目，截至</w:t>
      </w:r>
      <w:r w:rsidRPr="00CB276B">
        <w:rPr>
          <w:kern w:val="0"/>
          <w:szCs w:val="28"/>
        </w:rPr>
        <w:t>2018</w:t>
      </w:r>
      <w:r w:rsidRPr="00CB276B">
        <w:rPr>
          <w:rFonts w:hint="eastAsia"/>
          <w:kern w:val="0"/>
          <w:szCs w:val="28"/>
        </w:rPr>
        <w:t>年</w:t>
      </w:r>
      <w:r w:rsidRPr="00CB276B">
        <w:rPr>
          <w:kern w:val="0"/>
          <w:szCs w:val="28"/>
        </w:rPr>
        <w:t>3</w:t>
      </w:r>
      <w:r w:rsidRPr="00CB276B">
        <w:rPr>
          <w:rFonts w:hint="eastAsia"/>
          <w:kern w:val="0"/>
          <w:szCs w:val="28"/>
        </w:rPr>
        <w:t>月底，</w:t>
      </w:r>
      <w:r w:rsidRPr="00CB276B">
        <w:rPr>
          <w:kern w:val="0"/>
          <w:szCs w:val="28"/>
        </w:rPr>
        <w:t>78</w:t>
      </w:r>
      <w:r w:rsidRPr="00CB276B">
        <w:rPr>
          <w:rFonts w:hint="eastAsia"/>
          <w:kern w:val="0"/>
          <w:szCs w:val="28"/>
        </w:rPr>
        <w:t>個項目已經完成，</w:t>
      </w:r>
      <w:r w:rsidRPr="00CB276B">
        <w:rPr>
          <w:kern w:val="0"/>
          <w:szCs w:val="28"/>
        </w:rPr>
        <w:t>112</w:t>
      </w:r>
      <w:r w:rsidRPr="00CB276B">
        <w:rPr>
          <w:rFonts w:hint="eastAsia"/>
          <w:kern w:val="0"/>
          <w:szCs w:val="28"/>
        </w:rPr>
        <w:t>個項目正在施工，其餘</w:t>
      </w:r>
      <w:r w:rsidRPr="00CB276B">
        <w:rPr>
          <w:kern w:val="0"/>
          <w:szCs w:val="28"/>
        </w:rPr>
        <w:t>60</w:t>
      </w:r>
      <w:r w:rsidRPr="00CB276B">
        <w:rPr>
          <w:rFonts w:hint="eastAsia"/>
          <w:kern w:val="0"/>
          <w:szCs w:val="28"/>
        </w:rPr>
        <w:t>個項目處於勘測和設計等不同階段。有關加建項目的支出約為</w:t>
      </w:r>
      <w:r w:rsidRPr="00CB276B">
        <w:rPr>
          <w:kern w:val="0"/>
          <w:szCs w:val="28"/>
        </w:rPr>
        <w:t>32.6</w:t>
      </w:r>
      <w:r w:rsidRPr="00CB276B">
        <w:rPr>
          <w:rFonts w:hint="eastAsia"/>
          <w:kern w:val="0"/>
          <w:szCs w:val="28"/>
        </w:rPr>
        <w:t>億元。康樂及文化事務署</w:t>
      </w:r>
      <w:r>
        <w:rPr>
          <w:rFonts w:hint="eastAsia"/>
          <w:kern w:val="0"/>
          <w:szCs w:val="28"/>
        </w:rPr>
        <w:t>（</w:t>
      </w:r>
      <w:r w:rsidRPr="00CB276B">
        <w:rPr>
          <w:rFonts w:hint="eastAsia"/>
          <w:kern w:val="0"/>
          <w:szCs w:val="28"/>
        </w:rPr>
        <w:t>康文署</w:t>
      </w:r>
      <w:r>
        <w:rPr>
          <w:rFonts w:hint="eastAsia"/>
          <w:kern w:val="0"/>
          <w:szCs w:val="28"/>
        </w:rPr>
        <w:t>）</w:t>
      </w:r>
      <w:r w:rsidRPr="00CB276B">
        <w:rPr>
          <w:rFonts w:hint="eastAsia"/>
          <w:kern w:val="0"/>
          <w:szCs w:val="28"/>
        </w:rPr>
        <w:t>為殘疾人士提供暢通無阻通道前往文化及康樂場地。這些無障礙設施包括為輪椅使用者而設的座位／位置、階梯升降機和斜道；為視障人士而設的凹凸紋引導徑、點字標誌和載客升降機廣播裝置；以及為聽障人士而設的感應圈系統等。</w:t>
      </w:r>
    </w:p>
    <w:p w:rsidR="002E06E5" w:rsidRDefault="002E06E5" w:rsidP="0086200B">
      <w:pPr>
        <w:tabs>
          <w:tab w:val="left" w:pos="1440"/>
        </w:tabs>
        <w:snapToGrid w:val="0"/>
        <w:spacing w:line="400" w:lineRule="atLeast"/>
        <w:jc w:val="both"/>
        <w:rPr>
          <w:b/>
          <w:kern w:val="0"/>
          <w:szCs w:val="28"/>
        </w:rPr>
        <w:sectPr w:rsidR="002E06E5" w:rsidSect="0086200B">
          <w:footerReference w:type="default" r:id="rId21"/>
          <w:footerReference w:type="first" r:id="rId22"/>
          <w:pgSz w:w="11906" w:h="16838"/>
          <w:pgMar w:top="1440" w:right="1800" w:bottom="1440" w:left="1800" w:header="720" w:footer="720" w:gutter="0"/>
          <w:pgNumType w:start="1"/>
          <w:cols w:space="425"/>
          <w:docGrid w:type="lines" w:linePitch="381"/>
        </w:sectPr>
      </w:pPr>
    </w:p>
    <w:p w:rsidR="002E06E5" w:rsidRPr="00A91674" w:rsidRDefault="002E06E5" w:rsidP="002E06E5">
      <w:pPr>
        <w:snapToGrid w:val="0"/>
        <w:spacing w:line="400" w:lineRule="atLeast"/>
        <w:jc w:val="right"/>
        <w:rPr>
          <w:b/>
          <w:bCs/>
          <w:kern w:val="0"/>
          <w:szCs w:val="28"/>
        </w:rPr>
      </w:pPr>
      <w:r w:rsidRPr="00A91674">
        <w:rPr>
          <w:rFonts w:hint="eastAsia"/>
          <w:b/>
          <w:bCs/>
          <w:kern w:val="0"/>
          <w:szCs w:val="28"/>
        </w:rPr>
        <w:lastRenderedPageBreak/>
        <w:t>附件</w:t>
      </w:r>
      <w:r w:rsidRPr="00A91674">
        <w:rPr>
          <w:rFonts w:hint="eastAsia"/>
          <w:b/>
          <w:bCs/>
          <w:kern w:val="0"/>
          <w:szCs w:val="28"/>
        </w:rPr>
        <w:t>2</w:t>
      </w:r>
      <w:r>
        <w:rPr>
          <w:b/>
          <w:bCs/>
          <w:kern w:val="0"/>
          <w:szCs w:val="28"/>
        </w:rPr>
        <w:t>G</w:t>
      </w:r>
    </w:p>
    <w:p w:rsidR="002E06E5" w:rsidRDefault="002E06E5" w:rsidP="002E06E5"/>
    <w:p w:rsidR="002E06E5" w:rsidRPr="00A91674" w:rsidRDefault="002E06E5" w:rsidP="002E06E5">
      <w:pPr>
        <w:tabs>
          <w:tab w:val="left" w:pos="1440"/>
        </w:tabs>
        <w:snapToGrid w:val="0"/>
        <w:spacing w:line="400" w:lineRule="atLeast"/>
        <w:jc w:val="center"/>
        <w:rPr>
          <w:b/>
          <w:bCs/>
          <w:kern w:val="0"/>
          <w:szCs w:val="28"/>
        </w:rPr>
      </w:pPr>
      <w:r w:rsidRPr="00A91674">
        <w:rPr>
          <w:rFonts w:hint="eastAsia"/>
          <w:b/>
          <w:bCs/>
          <w:kern w:val="0"/>
          <w:szCs w:val="28"/>
        </w:rPr>
        <w:t>全面檢討處理免遣返聲請的策略</w:t>
      </w:r>
    </w:p>
    <w:p w:rsidR="002E06E5" w:rsidRPr="00A91674" w:rsidRDefault="002E06E5" w:rsidP="002E06E5">
      <w:pPr>
        <w:tabs>
          <w:tab w:val="left" w:pos="1440"/>
        </w:tabs>
        <w:snapToGrid w:val="0"/>
        <w:spacing w:line="400" w:lineRule="atLeast"/>
        <w:jc w:val="center"/>
        <w:rPr>
          <w:b/>
          <w:bCs/>
          <w:kern w:val="0"/>
          <w:szCs w:val="28"/>
          <w:u w:val="single"/>
        </w:rPr>
      </w:pPr>
    </w:p>
    <w:p w:rsidR="002E06E5" w:rsidRPr="00314294" w:rsidRDefault="002E06E5" w:rsidP="002E06E5">
      <w:pPr>
        <w:tabs>
          <w:tab w:val="left" w:pos="1440"/>
        </w:tabs>
        <w:snapToGrid w:val="0"/>
        <w:spacing w:line="400" w:lineRule="atLeast"/>
        <w:jc w:val="both"/>
        <w:rPr>
          <w:bCs/>
          <w:kern w:val="0"/>
          <w:szCs w:val="28"/>
        </w:rPr>
      </w:pPr>
      <w:r>
        <w:rPr>
          <w:rFonts w:hint="eastAsia"/>
          <w:bCs/>
          <w:kern w:val="0"/>
          <w:szCs w:val="28"/>
        </w:rPr>
        <w:t>1.</w:t>
      </w:r>
      <w:r w:rsidRPr="00314294">
        <w:rPr>
          <w:rFonts w:hint="eastAsia"/>
          <w:bCs/>
          <w:kern w:val="0"/>
          <w:szCs w:val="28"/>
        </w:rPr>
        <w:tab/>
      </w:r>
      <w:r w:rsidRPr="00314294">
        <w:rPr>
          <w:rFonts w:hint="eastAsia"/>
          <w:bCs/>
          <w:kern w:val="0"/>
          <w:szCs w:val="28"/>
        </w:rPr>
        <w:t>自</w:t>
      </w:r>
      <w:r w:rsidRPr="00314294">
        <w:rPr>
          <w:rFonts w:hint="eastAsia"/>
          <w:bCs/>
          <w:kern w:val="0"/>
          <w:szCs w:val="28"/>
        </w:rPr>
        <w:t>2014</w:t>
      </w:r>
      <w:r w:rsidRPr="00314294">
        <w:rPr>
          <w:rFonts w:hint="eastAsia"/>
          <w:bCs/>
          <w:kern w:val="0"/>
          <w:szCs w:val="28"/>
        </w:rPr>
        <w:t>年</w:t>
      </w:r>
      <w:r w:rsidRPr="00314294">
        <w:rPr>
          <w:rFonts w:hint="eastAsia"/>
          <w:bCs/>
          <w:kern w:val="0"/>
          <w:szCs w:val="28"/>
        </w:rPr>
        <w:t>3</w:t>
      </w:r>
      <w:r w:rsidRPr="00314294">
        <w:rPr>
          <w:rFonts w:hint="eastAsia"/>
          <w:bCs/>
          <w:kern w:val="0"/>
          <w:szCs w:val="28"/>
        </w:rPr>
        <w:t>月，政府實施統一審核機制，接獲的免遣返聲請由實施前三年平均每年</w:t>
      </w:r>
      <w:r w:rsidRPr="00314294">
        <w:rPr>
          <w:rFonts w:hint="eastAsia"/>
          <w:bCs/>
          <w:kern w:val="0"/>
          <w:szCs w:val="28"/>
        </w:rPr>
        <w:t>1</w:t>
      </w:r>
      <w:r>
        <w:rPr>
          <w:bCs/>
          <w:kern w:val="0"/>
          <w:szCs w:val="28"/>
        </w:rPr>
        <w:t> </w:t>
      </w:r>
      <w:r w:rsidRPr="00314294">
        <w:rPr>
          <w:rFonts w:hint="eastAsia"/>
          <w:bCs/>
          <w:kern w:val="0"/>
          <w:szCs w:val="28"/>
        </w:rPr>
        <w:t>032</w:t>
      </w:r>
      <w:r w:rsidRPr="00314294">
        <w:rPr>
          <w:rFonts w:hint="eastAsia"/>
          <w:bCs/>
          <w:kern w:val="0"/>
          <w:szCs w:val="28"/>
        </w:rPr>
        <w:t>宗大幅上升至</w:t>
      </w:r>
      <w:r w:rsidRPr="00314294">
        <w:rPr>
          <w:rFonts w:hint="eastAsia"/>
          <w:bCs/>
          <w:kern w:val="0"/>
          <w:szCs w:val="28"/>
        </w:rPr>
        <w:t>2014</w:t>
      </w:r>
      <w:r w:rsidRPr="00314294">
        <w:rPr>
          <w:rFonts w:hint="eastAsia"/>
          <w:bCs/>
          <w:kern w:val="0"/>
          <w:szCs w:val="28"/>
        </w:rPr>
        <w:t>年的</w:t>
      </w:r>
      <w:r w:rsidRPr="00314294">
        <w:rPr>
          <w:rFonts w:hint="eastAsia"/>
          <w:bCs/>
          <w:kern w:val="0"/>
          <w:szCs w:val="28"/>
        </w:rPr>
        <w:t>4</w:t>
      </w:r>
      <w:r>
        <w:rPr>
          <w:bCs/>
          <w:kern w:val="0"/>
          <w:szCs w:val="28"/>
        </w:rPr>
        <w:t> </w:t>
      </w:r>
      <w:r w:rsidRPr="00314294">
        <w:rPr>
          <w:rFonts w:hint="eastAsia"/>
          <w:bCs/>
          <w:kern w:val="0"/>
          <w:szCs w:val="28"/>
        </w:rPr>
        <w:t>634</w:t>
      </w:r>
      <w:r w:rsidRPr="00314294">
        <w:rPr>
          <w:rFonts w:hint="eastAsia"/>
          <w:bCs/>
          <w:kern w:val="0"/>
          <w:szCs w:val="28"/>
        </w:rPr>
        <w:t>宗（</w:t>
      </w:r>
      <w:r w:rsidRPr="00314294">
        <w:rPr>
          <w:rFonts w:hint="eastAsia"/>
          <w:bCs/>
          <w:kern w:val="0"/>
          <w:szCs w:val="28"/>
        </w:rPr>
        <w:t>4.5</w:t>
      </w:r>
      <w:r w:rsidRPr="00314294">
        <w:rPr>
          <w:rFonts w:hint="eastAsia"/>
          <w:bCs/>
          <w:kern w:val="0"/>
          <w:szCs w:val="28"/>
        </w:rPr>
        <w:t>倍）及</w:t>
      </w:r>
      <w:r w:rsidRPr="00314294">
        <w:rPr>
          <w:rFonts w:hint="eastAsia"/>
          <w:bCs/>
          <w:kern w:val="0"/>
          <w:szCs w:val="28"/>
        </w:rPr>
        <w:t>2015</w:t>
      </w:r>
      <w:r w:rsidRPr="00314294">
        <w:rPr>
          <w:rFonts w:hint="eastAsia"/>
          <w:bCs/>
          <w:kern w:val="0"/>
          <w:szCs w:val="28"/>
        </w:rPr>
        <w:t>年的</w:t>
      </w:r>
      <w:r w:rsidRPr="00314294">
        <w:rPr>
          <w:rFonts w:hint="eastAsia"/>
          <w:bCs/>
          <w:kern w:val="0"/>
          <w:szCs w:val="28"/>
        </w:rPr>
        <w:t>5</w:t>
      </w:r>
      <w:r>
        <w:rPr>
          <w:bCs/>
          <w:kern w:val="0"/>
          <w:szCs w:val="28"/>
        </w:rPr>
        <w:t> </w:t>
      </w:r>
      <w:r w:rsidRPr="00314294">
        <w:rPr>
          <w:rFonts w:hint="eastAsia"/>
          <w:bCs/>
          <w:kern w:val="0"/>
          <w:szCs w:val="28"/>
        </w:rPr>
        <w:t>053</w:t>
      </w:r>
      <w:r w:rsidRPr="00314294">
        <w:rPr>
          <w:rFonts w:hint="eastAsia"/>
          <w:bCs/>
          <w:kern w:val="0"/>
          <w:szCs w:val="28"/>
        </w:rPr>
        <w:t>宗（接近</w:t>
      </w:r>
      <w:r w:rsidRPr="00314294">
        <w:rPr>
          <w:rFonts w:hint="eastAsia"/>
          <w:bCs/>
          <w:kern w:val="0"/>
          <w:szCs w:val="28"/>
        </w:rPr>
        <w:t>5</w:t>
      </w:r>
      <w:r w:rsidRPr="00314294">
        <w:rPr>
          <w:rFonts w:hint="eastAsia"/>
          <w:bCs/>
          <w:kern w:val="0"/>
          <w:szCs w:val="28"/>
        </w:rPr>
        <w:t>倍）。至</w:t>
      </w:r>
      <w:r w:rsidRPr="00314294">
        <w:rPr>
          <w:rFonts w:hint="eastAsia"/>
          <w:bCs/>
          <w:kern w:val="0"/>
          <w:szCs w:val="28"/>
        </w:rPr>
        <w:t>2016</w:t>
      </w:r>
      <w:r w:rsidRPr="00314294">
        <w:rPr>
          <w:rFonts w:hint="eastAsia"/>
          <w:bCs/>
          <w:kern w:val="0"/>
          <w:szCs w:val="28"/>
        </w:rPr>
        <w:t>年年初，有超過</w:t>
      </w:r>
      <w:r w:rsidRPr="00314294">
        <w:rPr>
          <w:rFonts w:hint="eastAsia"/>
          <w:bCs/>
          <w:kern w:val="0"/>
          <w:szCs w:val="28"/>
        </w:rPr>
        <w:t>11</w:t>
      </w:r>
      <w:r>
        <w:rPr>
          <w:bCs/>
          <w:kern w:val="0"/>
          <w:szCs w:val="28"/>
        </w:rPr>
        <w:t> </w:t>
      </w:r>
      <w:r w:rsidRPr="00314294">
        <w:rPr>
          <w:rFonts w:hint="eastAsia"/>
          <w:bCs/>
          <w:kern w:val="0"/>
          <w:szCs w:val="28"/>
        </w:rPr>
        <w:t>000</w:t>
      </w:r>
      <w:r w:rsidRPr="00314294">
        <w:rPr>
          <w:rFonts w:hint="eastAsia"/>
          <w:bCs/>
          <w:kern w:val="0"/>
          <w:szCs w:val="28"/>
        </w:rPr>
        <w:t>宗聲請尚待入境處決定。在此背景下，政府於</w:t>
      </w:r>
      <w:r w:rsidRPr="00314294">
        <w:rPr>
          <w:rFonts w:hint="eastAsia"/>
          <w:bCs/>
          <w:kern w:val="0"/>
          <w:szCs w:val="28"/>
        </w:rPr>
        <w:t>2016</w:t>
      </w:r>
      <w:r w:rsidRPr="00314294">
        <w:rPr>
          <w:rFonts w:hint="eastAsia"/>
          <w:bCs/>
          <w:kern w:val="0"/>
          <w:szCs w:val="28"/>
        </w:rPr>
        <w:t>年初就處理免遣返聲請的策略針對四個範疇展開全面檢討，包括</w:t>
      </w:r>
      <w:r w:rsidRPr="00314294">
        <w:rPr>
          <w:rFonts w:hint="eastAsia"/>
          <w:bCs/>
          <w:kern w:val="0"/>
          <w:szCs w:val="28"/>
        </w:rPr>
        <w:t>(a)</w:t>
      </w:r>
      <w:r w:rsidRPr="00314294">
        <w:rPr>
          <w:rFonts w:hint="eastAsia"/>
          <w:bCs/>
          <w:kern w:val="0"/>
          <w:szCs w:val="28"/>
        </w:rPr>
        <w:t>防止可能提出聲請的人抵港；</w:t>
      </w:r>
      <w:r w:rsidRPr="00314294">
        <w:rPr>
          <w:rFonts w:hint="eastAsia"/>
          <w:bCs/>
          <w:kern w:val="0"/>
          <w:szCs w:val="28"/>
        </w:rPr>
        <w:t>(b)</w:t>
      </w:r>
      <w:r w:rsidRPr="00314294">
        <w:rPr>
          <w:rFonts w:hint="eastAsia"/>
          <w:bCs/>
          <w:kern w:val="0"/>
          <w:szCs w:val="28"/>
        </w:rPr>
        <w:t>加快就等候聲請展開審核程序，和縮短每宗個案的審核時間，以及加快處理上訴；</w:t>
      </w:r>
      <w:r w:rsidRPr="00314294">
        <w:rPr>
          <w:rFonts w:hint="eastAsia"/>
          <w:bCs/>
          <w:kern w:val="0"/>
          <w:szCs w:val="28"/>
        </w:rPr>
        <w:t>(c)</w:t>
      </w:r>
      <w:r w:rsidRPr="00314294">
        <w:rPr>
          <w:rFonts w:hint="eastAsia"/>
          <w:bCs/>
          <w:kern w:val="0"/>
          <w:szCs w:val="28"/>
        </w:rPr>
        <w:t>加快將聲請被拒的人遣送離開香港；及</w:t>
      </w:r>
      <w:r w:rsidRPr="00314294">
        <w:rPr>
          <w:rFonts w:hint="eastAsia"/>
          <w:bCs/>
          <w:kern w:val="0"/>
          <w:szCs w:val="28"/>
        </w:rPr>
        <w:t>(d)</w:t>
      </w:r>
      <w:r w:rsidRPr="00314294">
        <w:rPr>
          <w:rFonts w:hint="eastAsia"/>
          <w:bCs/>
          <w:kern w:val="0"/>
          <w:szCs w:val="28"/>
        </w:rPr>
        <w:t>研究羈留政策和加強針對非法勞工及其他刑事罪行的執法。</w:t>
      </w:r>
    </w:p>
    <w:p w:rsidR="002E06E5" w:rsidRPr="00314294" w:rsidRDefault="002E06E5" w:rsidP="002E06E5">
      <w:pPr>
        <w:tabs>
          <w:tab w:val="left" w:pos="1440"/>
        </w:tabs>
        <w:snapToGrid w:val="0"/>
        <w:spacing w:line="400" w:lineRule="atLeast"/>
        <w:jc w:val="both"/>
        <w:rPr>
          <w:bCs/>
          <w:kern w:val="0"/>
          <w:szCs w:val="28"/>
        </w:rPr>
      </w:pPr>
    </w:p>
    <w:p w:rsidR="002E06E5" w:rsidRPr="00314294" w:rsidRDefault="002E06E5" w:rsidP="002E06E5">
      <w:pPr>
        <w:tabs>
          <w:tab w:val="left" w:pos="1440"/>
        </w:tabs>
        <w:snapToGrid w:val="0"/>
        <w:spacing w:line="400" w:lineRule="atLeast"/>
        <w:jc w:val="both"/>
        <w:rPr>
          <w:bCs/>
          <w:kern w:val="0"/>
          <w:szCs w:val="28"/>
        </w:rPr>
      </w:pPr>
      <w:r>
        <w:rPr>
          <w:bCs/>
          <w:kern w:val="0"/>
          <w:szCs w:val="28"/>
        </w:rPr>
        <w:t>2.</w:t>
      </w:r>
      <w:r w:rsidRPr="00314294">
        <w:rPr>
          <w:rFonts w:hint="eastAsia"/>
          <w:bCs/>
          <w:kern w:val="0"/>
          <w:szCs w:val="28"/>
        </w:rPr>
        <w:tab/>
      </w:r>
      <w:r w:rsidRPr="00314294">
        <w:rPr>
          <w:rFonts w:hint="eastAsia"/>
          <w:bCs/>
          <w:kern w:val="0"/>
          <w:szCs w:val="28"/>
        </w:rPr>
        <w:t>到目前為止，各方面展開或落實的多項措施已取得一定成效。於</w:t>
      </w:r>
      <w:r w:rsidRPr="00314294">
        <w:rPr>
          <w:rFonts w:hint="eastAsia"/>
          <w:bCs/>
          <w:kern w:val="0"/>
          <w:szCs w:val="28"/>
        </w:rPr>
        <w:t>2018</w:t>
      </w:r>
      <w:r w:rsidRPr="00314294">
        <w:rPr>
          <w:rFonts w:hint="eastAsia"/>
          <w:bCs/>
          <w:kern w:val="0"/>
          <w:szCs w:val="28"/>
        </w:rPr>
        <w:t>年新接獲的免遣返聲請較</w:t>
      </w:r>
      <w:r w:rsidRPr="00314294">
        <w:rPr>
          <w:rFonts w:hint="eastAsia"/>
          <w:bCs/>
          <w:kern w:val="0"/>
          <w:szCs w:val="28"/>
        </w:rPr>
        <w:t>2015</w:t>
      </w:r>
      <w:r w:rsidRPr="00314294">
        <w:rPr>
          <w:rFonts w:hint="eastAsia"/>
          <w:bCs/>
          <w:kern w:val="0"/>
          <w:szCs w:val="28"/>
        </w:rPr>
        <w:t>年的高峰期大幅回落近八成。</w:t>
      </w:r>
      <w:r>
        <w:rPr>
          <w:rFonts w:hint="eastAsia"/>
          <w:bCs/>
          <w:kern w:val="0"/>
          <w:szCs w:val="28"/>
          <w:lang w:eastAsia="zh-HK"/>
        </w:rPr>
        <w:t>酷</w:t>
      </w:r>
      <w:r>
        <w:rPr>
          <w:rFonts w:hint="eastAsia"/>
          <w:bCs/>
          <w:kern w:val="0"/>
          <w:szCs w:val="28"/>
        </w:rPr>
        <w:t>刑</w:t>
      </w:r>
      <w:r>
        <w:rPr>
          <w:rFonts w:hint="eastAsia"/>
          <w:bCs/>
          <w:kern w:val="0"/>
          <w:szCs w:val="28"/>
          <w:lang w:eastAsia="zh-HK"/>
        </w:rPr>
        <w:t>聲請上訴委</w:t>
      </w:r>
      <w:r>
        <w:rPr>
          <w:rFonts w:hint="eastAsia"/>
          <w:bCs/>
          <w:kern w:val="0"/>
          <w:szCs w:val="28"/>
        </w:rPr>
        <w:t>員會（</w:t>
      </w:r>
      <w:r w:rsidRPr="00314294">
        <w:rPr>
          <w:rFonts w:hint="eastAsia"/>
          <w:bCs/>
          <w:kern w:val="0"/>
          <w:szCs w:val="28"/>
        </w:rPr>
        <w:t>上訴委員會</w:t>
      </w:r>
      <w:r>
        <w:rPr>
          <w:rFonts w:hint="eastAsia"/>
          <w:bCs/>
          <w:kern w:val="0"/>
          <w:szCs w:val="28"/>
        </w:rPr>
        <w:t>）</w:t>
      </w:r>
      <w:r w:rsidRPr="00314294">
        <w:rPr>
          <w:rFonts w:hint="eastAsia"/>
          <w:bCs/>
          <w:kern w:val="0"/>
          <w:szCs w:val="28"/>
        </w:rPr>
        <w:t>在</w:t>
      </w:r>
      <w:r w:rsidRPr="00314294">
        <w:rPr>
          <w:rFonts w:hint="eastAsia"/>
          <w:bCs/>
          <w:kern w:val="0"/>
          <w:szCs w:val="28"/>
        </w:rPr>
        <w:t>2018</w:t>
      </w:r>
      <w:r w:rsidRPr="00314294">
        <w:rPr>
          <w:rFonts w:hint="eastAsia"/>
          <w:bCs/>
          <w:kern w:val="0"/>
          <w:szCs w:val="28"/>
        </w:rPr>
        <w:t>年作出決定的數目亦較</w:t>
      </w:r>
      <w:r w:rsidRPr="00314294">
        <w:rPr>
          <w:rFonts w:hint="eastAsia"/>
          <w:bCs/>
          <w:kern w:val="0"/>
          <w:szCs w:val="28"/>
        </w:rPr>
        <w:t>2016</w:t>
      </w:r>
      <w:r w:rsidRPr="00314294">
        <w:rPr>
          <w:rFonts w:hint="eastAsia"/>
          <w:bCs/>
          <w:kern w:val="0"/>
          <w:szCs w:val="28"/>
        </w:rPr>
        <w:t>年的增加</w:t>
      </w:r>
      <w:r w:rsidRPr="00314294">
        <w:rPr>
          <w:rFonts w:hint="eastAsia"/>
          <w:bCs/>
          <w:kern w:val="0"/>
          <w:szCs w:val="28"/>
        </w:rPr>
        <w:t>6</w:t>
      </w:r>
      <w:r w:rsidRPr="00314294">
        <w:rPr>
          <w:rFonts w:hint="eastAsia"/>
          <w:bCs/>
          <w:kern w:val="0"/>
          <w:szCs w:val="28"/>
        </w:rPr>
        <w:t>倍。截至</w:t>
      </w:r>
      <w:r w:rsidRPr="00314294">
        <w:rPr>
          <w:rFonts w:hint="eastAsia"/>
          <w:bCs/>
          <w:kern w:val="0"/>
          <w:szCs w:val="28"/>
        </w:rPr>
        <w:t>2018</w:t>
      </w:r>
      <w:r w:rsidRPr="00314294">
        <w:rPr>
          <w:rFonts w:hint="eastAsia"/>
          <w:bCs/>
          <w:kern w:val="0"/>
          <w:szCs w:val="28"/>
        </w:rPr>
        <w:t>年年底，尚待入境處完成審核的免遣返聲請共有</w:t>
      </w:r>
      <w:r w:rsidRPr="00314294">
        <w:rPr>
          <w:rFonts w:hint="eastAsia"/>
          <w:bCs/>
          <w:kern w:val="0"/>
          <w:szCs w:val="28"/>
        </w:rPr>
        <w:t>546</w:t>
      </w:r>
      <w:r w:rsidRPr="00314294">
        <w:rPr>
          <w:rFonts w:hint="eastAsia"/>
          <w:bCs/>
          <w:kern w:val="0"/>
          <w:szCs w:val="28"/>
        </w:rPr>
        <w:t>宗，較</w:t>
      </w:r>
      <w:r w:rsidRPr="00314294">
        <w:rPr>
          <w:rFonts w:hint="eastAsia"/>
          <w:bCs/>
          <w:kern w:val="0"/>
          <w:szCs w:val="28"/>
        </w:rPr>
        <w:t>2016</w:t>
      </w:r>
      <w:r w:rsidRPr="00314294">
        <w:rPr>
          <w:rFonts w:hint="eastAsia"/>
          <w:bCs/>
          <w:kern w:val="0"/>
          <w:szCs w:val="28"/>
        </w:rPr>
        <w:t>年年初的高峰期回落九成半。至於尚待處理的上訴個案則有</w:t>
      </w:r>
      <w:r w:rsidRPr="00314294">
        <w:rPr>
          <w:rFonts w:hint="eastAsia"/>
          <w:bCs/>
          <w:kern w:val="0"/>
          <w:szCs w:val="28"/>
        </w:rPr>
        <w:t>6</w:t>
      </w:r>
      <w:r>
        <w:rPr>
          <w:bCs/>
          <w:kern w:val="0"/>
          <w:szCs w:val="28"/>
        </w:rPr>
        <w:t> </w:t>
      </w:r>
      <w:r w:rsidRPr="00314294">
        <w:rPr>
          <w:rFonts w:hint="eastAsia"/>
          <w:bCs/>
          <w:kern w:val="0"/>
          <w:szCs w:val="28"/>
        </w:rPr>
        <w:t>500</w:t>
      </w:r>
      <w:r w:rsidRPr="00314294">
        <w:rPr>
          <w:rFonts w:hint="eastAsia"/>
          <w:bCs/>
          <w:kern w:val="0"/>
          <w:szCs w:val="28"/>
        </w:rPr>
        <w:t>多宗，預計上訴委員會應可於兩至三年內完成處理積壓個案。</w:t>
      </w:r>
    </w:p>
    <w:p w:rsidR="002E06E5" w:rsidRPr="00314294" w:rsidRDefault="002E06E5" w:rsidP="002E06E5">
      <w:pPr>
        <w:tabs>
          <w:tab w:val="left" w:pos="1440"/>
        </w:tabs>
        <w:snapToGrid w:val="0"/>
        <w:spacing w:line="400" w:lineRule="atLeast"/>
        <w:jc w:val="both"/>
        <w:rPr>
          <w:bCs/>
          <w:kern w:val="0"/>
          <w:szCs w:val="28"/>
        </w:rPr>
      </w:pPr>
    </w:p>
    <w:p w:rsidR="002E06E5" w:rsidRPr="00314294" w:rsidRDefault="002E06E5" w:rsidP="002E06E5">
      <w:pPr>
        <w:tabs>
          <w:tab w:val="left" w:pos="1440"/>
        </w:tabs>
        <w:snapToGrid w:val="0"/>
        <w:spacing w:line="400" w:lineRule="atLeast"/>
        <w:jc w:val="both"/>
        <w:rPr>
          <w:bCs/>
          <w:kern w:val="0"/>
          <w:szCs w:val="28"/>
        </w:rPr>
      </w:pPr>
      <w:r>
        <w:rPr>
          <w:rFonts w:hint="eastAsia"/>
          <w:bCs/>
          <w:kern w:val="0"/>
          <w:szCs w:val="28"/>
        </w:rPr>
        <w:t>3</w:t>
      </w:r>
      <w:r>
        <w:rPr>
          <w:bCs/>
          <w:kern w:val="0"/>
          <w:szCs w:val="28"/>
        </w:rPr>
        <w:t>.</w:t>
      </w:r>
      <w:r w:rsidRPr="00314294">
        <w:rPr>
          <w:rFonts w:hint="eastAsia"/>
          <w:bCs/>
          <w:kern w:val="0"/>
          <w:szCs w:val="28"/>
        </w:rPr>
        <w:tab/>
      </w:r>
      <w:r w:rsidRPr="00314294">
        <w:rPr>
          <w:rFonts w:hint="eastAsia"/>
          <w:bCs/>
          <w:kern w:val="0"/>
          <w:szCs w:val="28"/>
        </w:rPr>
        <w:t>作為全面檢討的一部分，政府將會提出修訂《入境條例》</w:t>
      </w:r>
      <w:r>
        <w:rPr>
          <w:rFonts w:hint="eastAsia"/>
          <w:bCs/>
          <w:kern w:val="0"/>
          <w:szCs w:val="28"/>
        </w:rPr>
        <w:t>（</w:t>
      </w:r>
      <w:r>
        <w:rPr>
          <w:rFonts w:hint="eastAsia"/>
          <w:bCs/>
          <w:kern w:val="0"/>
          <w:szCs w:val="28"/>
          <w:lang w:eastAsia="zh-HK"/>
        </w:rPr>
        <w:t>第</w:t>
      </w:r>
      <w:r>
        <w:rPr>
          <w:rFonts w:hint="eastAsia"/>
          <w:bCs/>
          <w:kern w:val="0"/>
          <w:szCs w:val="28"/>
        </w:rPr>
        <w:t>115</w:t>
      </w:r>
      <w:r>
        <w:rPr>
          <w:rFonts w:hint="eastAsia"/>
          <w:bCs/>
          <w:kern w:val="0"/>
          <w:szCs w:val="28"/>
          <w:lang w:eastAsia="zh-HK"/>
        </w:rPr>
        <w:t>章</w:t>
      </w:r>
      <w:r>
        <w:rPr>
          <w:rFonts w:hint="eastAsia"/>
          <w:bCs/>
          <w:kern w:val="0"/>
          <w:szCs w:val="28"/>
        </w:rPr>
        <w:t>）</w:t>
      </w:r>
      <w:r w:rsidRPr="00314294">
        <w:rPr>
          <w:rFonts w:hint="eastAsia"/>
          <w:bCs/>
          <w:kern w:val="0"/>
          <w:szCs w:val="28"/>
        </w:rPr>
        <w:t>的建議，以加快審核程序及訂明相關事宜，包括訂明審核程序、收緊時限、防止各種拖延手法，並加強入境處羈留、遣送及執法方面的權力。我們的目標是在</w:t>
      </w:r>
      <w:r w:rsidRPr="00314294">
        <w:rPr>
          <w:rFonts w:hint="eastAsia"/>
          <w:bCs/>
          <w:kern w:val="0"/>
          <w:szCs w:val="28"/>
        </w:rPr>
        <w:t>2019</w:t>
      </w:r>
      <w:r w:rsidRPr="00314294">
        <w:rPr>
          <w:rFonts w:hint="eastAsia"/>
          <w:bCs/>
          <w:kern w:val="0"/>
          <w:szCs w:val="28"/>
        </w:rPr>
        <w:t>年上半年向立法會提交條例草案。</w:t>
      </w:r>
    </w:p>
    <w:p w:rsidR="002E06E5" w:rsidRDefault="002E06E5" w:rsidP="008375BB">
      <w:pPr>
        <w:jc w:val="both"/>
        <w:sectPr w:rsidR="002E06E5" w:rsidSect="0086200B">
          <w:pgSz w:w="11906" w:h="16838"/>
          <w:pgMar w:top="1440" w:right="1800" w:bottom="1440" w:left="1800" w:header="720" w:footer="720" w:gutter="0"/>
          <w:pgNumType w:start="1"/>
          <w:cols w:space="425"/>
          <w:docGrid w:type="lines" w:linePitch="381"/>
        </w:sectPr>
      </w:pPr>
    </w:p>
    <w:p w:rsidR="002E06E5" w:rsidRDefault="002E06E5" w:rsidP="002E06E5">
      <w:pPr>
        <w:snapToGrid w:val="0"/>
        <w:jc w:val="right"/>
        <w:rPr>
          <w:b/>
          <w:bCs/>
          <w:kern w:val="0"/>
          <w:szCs w:val="28"/>
        </w:rPr>
      </w:pPr>
      <w:r w:rsidRPr="00BE1072">
        <w:rPr>
          <w:rFonts w:hint="eastAsia"/>
          <w:b/>
          <w:bCs/>
          <w:kern w:val="0"/>
          <w:szCs w:val="28"/>
          <w:lang w:eastAsia="zh-HK"/>
        </w:rPr>
        <w:lastRenderedPageBreak/>
        <w:t>附件</w:t>
      </w:r>
      <w:r w:rsidRPr="00BE1072">
        <w:rPr>
          <w:rFonts w:hint="eastAsia"/>
          <w:b/>
          <w:bCs/>
          <w:kern w:val="0"/>
          <w:szCs w:val="28"/>
        </w:rPr>
        <w:t>2H</w:t>
      </w:r>
    </w:p>
    <w:p w:rsidR="002E06E5" w:rsidRDefault="002E06E5" w:rsidP="002E06E5">
      <w:pPr>
        <w:snapToGrid w:val="0"/>
        <w:jc w:val="right"/>
        <w:rPr>
          <w:b/>
          <w:bCs/>
          <w:kern w:val="0"/>
          <w:szCs w:val="28"/>
        </w:rPr>
      </w:pPr>
    </w:p>
    <w:p w:rsidR="002E06E5" w:rsidRDefault="002E06E5" w:rsidP="002E06E5">
      <w:pPr>
        <w:snapToGrid w:val="0"/>
        <w:jc w:val="center"/>
        <w:rPr>
          <w:b/>
          <w:kern w:val="0"/>
          <w:szCs w:val="28"/>
        </w:rPr>
      </w:pPr>
      <w:r w:rsidRPr="00CB276B">
        <w:rPr>
          <w:b/>
          <w:kern w:val="0"/>
          <w:szCs w:val="28"/>
        </w:rPr>
        <w:t>免遣返聲請</w:t>
      </w:r>
    </w:p>
    <w:p w:rsidR="002E06E5" w:rsidRDefault="002E06E5" w:rsidP="002E06E5">
      <w:pPr>
        <w:snapToGrid w:val="0"/>
        <w:jc w:val="center"/>
        <w:rPr>
          <w:b/>
          <w:kern w:val="0"/>
          <w:szCs w:val="28"/>
        </w:rPr>
      </w:pPr>
    </w:p>
    <w:p w:rsidR="002E06E5" w:rsidRPr="002D0502" w:rsidRDefault="002E06E5" w:rsidP="002E06E5">
      <w:pPr>
        <w:tabs>
          <w:tab w:val="left" w:pos="1440"/>
        </w:tabs>
        <w:snapToGrid w:val="0"/>
        <w:spacing w:line="400" w:lineRule="atLeast"/>
        <w:jc w:val="both"/>
        <w:rPr>
          <w:rFonts w:cs="Times New Roman"/>
          <w:bCs/>
          <w:kern w:val="0"/>
          <w:szCs w:val="28"/>
          <w:u w:val="single"/>
        </w:rPr>
      </w:pPr>
      <w:r w:rsidRPr="002D0502">
        <w:rPr>
          <w:rFonts w:cs="Times New Roman" w:hint="eastAsia"/>
          <w:bCs/>
          <w:kern w:val="0"/>
          <w:szCs w:val="28"/>
          <w:u w:val="single"/>
        </w:rPr>
        <w:t>在港工作許可</w:t>
      </w:r>
    </w:p>
    <w:p w:rsidR="002E06E5" w:rsidRPr="002D0502" w:rsidRDefault="002E06E5" w:rsidP="002E06E5">
      <w:pPr>
        <w:tabs>
          <w:tab w:val="left" w:pos="1440"/>
        </w:tabs>
        <w:snapToGrid w:val="0"/>
        <w:spacing w:line="400" w:lineRule="atLeast"/>
        <w:jc w:val="both"/>
        <w:rPr>
          <w:rFonts w:cs="Times New Roman"/>
          <w:bCs/>
          <w:kern w:val="0"/>
          <w:szCs w:val="28"/>
        </w:rPr>
      </w:pPr>
    </w:p>
    <w:p w:rsidR="002E06E5" w:rsidRPr="002D0502" w:rsidRDefault="002E06E5" w:rsidP="002E06E5">
      <w:pPr>
        <w:tabs>
          <w:tab w:val="left" w:pos="1440"/>
        </w:tabs>
        <w:snapToGrid w:val="0"/>
        <w:spacing w:line="400" w:lineRule="atLeast"/>
        <w:jc w:val="both"/>
        <w:rPr>
          <w:rFonts w:cs="Times New Roman"/>
          <w:bCs/>
          <w:kern w:val="0"/>
          <w:szCs w:val="28"/>
        </w:rPr>
      </w:pPr>
      <w:r>
        <w:rPr>
          <w:rFonts w:cs="Times New Roman"/>
          <w:bCs/>
          <w:kern w:val="0"/>
          <w:szCs w:val="28"/>
        </w:rPr>
        <w:t>1.</w:t>
      </w:r>
      <w:r w:rsidRPr="002D0502">
        <w:rPr>
          <w:rFonts w:cs="Times New Roman" w:hint="eastAsia"/>
          <w:bCs/>
          <w:kern w:val="0"/>
          <w:szCs w:val="28"/>
        </w:rPr>
        <w:tab/>
      </w:r>
      <w:r w:rsidRPr="002D0502">
        <w:rPr>
          <w:rFonts w:cs="Times New Roman" w:hint="eastAsia"/>
          <w:bCs/>
          <w:kern w:val="0"/>
          <w:szCs w:val="28"/>
        </w:rPr>
        <w:t>無論免遣返聲請結果如何，入境處都不會批准聲請人在港</w:t>
      </w:r>
      <w:r w:rsidRPr="002D0502">
        <w:rPr>
          <w:rFonts w:cs="Times New Roman"/>
          <w:bCs/>
          <w:kern w:val="0"/>
          <w:szCs w:val="28"/>
        </w:rPr>
        <w:t>合法定居</w:t>
      </w:r>
      <w:r w:rsidRPr="002D0502">
        <w:rPr>
          <w:rFonts w:cs="Times New Roman" w:hint="eastAsia"/>
          <w:bCs/>
          <w:kern w:val="0"/>
          <w:szCs w:val="28"/>
        </w:rPr>
        <w:t>，</w:t>
      </w:r>
      <w:r w:rsidRPr="002D0502">
        <w:rPr>
          <w:rFonts w:cs="Times New Roman" w:hint="eastAsia"/>
          <w:bCs/>
          <w:kern w:val="0"/>
          <w:szCs w:val="28"/>
          <w:lang w:eastAsia="zh-HK"/>
        </w:rPr>
        <w:t>其</w:t>
      </w:r>
      <w:r w:rsidRPr="002D0502">
        <w:rPr>
          <w:rFonts w:cs="Times New Roman" w:hint="eastAsia"/>
          <w:bCs/>
          <w:kern w:val="0"/>
          <w:szCs w:val="28"/>
        </w:rPr>
        <w:t>入境身份維持不變。終審法院在</w:t>
      </w:r>
      <w:r w:rsidRPr="002D0502">
        <w:rPr>
          <w:rFonts w:cs="Times New Roman" w:hint="eastAsia"/>
          <w:bCs/>
          <w:kern w:val="0"/>
          <w:szCs w:val="28"/>
        </w:rPr>
        <w:t>2014</w:t>
      </w:r>
      <w:r w:rsidRPr="002D0502">
        <w:rPr>
          <w:rFonts w:cs="Times New Roman" w:hint="eastAsia"/>
          <w:bCs/>
          <w:kern w:val="0"/>
          <w:szCs w:val="28"/>
        </w:rPr>
        <w:t>年一項裁決中，確認免遣返聲請人，包括聲請獲確立的人，在憲法或其他法律下均無權在香港工作。儘管如此，聲請獲確立人士均可向入境處提出工作申請。入境處會在極其特殊的情況下，酌情考慮他們的申請。</w:t>
      </w:r>
    </w:p>
    <w:p w:rsidR="002E06E5" w:rsidRPr="002D0502" w:rsidRDefault="002E06E5" w:rsidP="002E06E5">
      <w:pPr>
        <w:tabs>
          <w:tab w:val="left" w:pos="1440"/>
        </w:tabs>
        <w:snapToGrid w:val="0"/>
        <w:spacing w:line="400" w:lineRule="atLeast"/>
        <w:jc w:val="both"/>
        <w:rPr>
          <w:rFonts w:cs="Times New Roman"/>
          <w:bCs/>
          <w:kern w:val="0"/>
          <w:szCs w:val="28"/>
        </w:rPr>
      </w:pPr>
    </w:p>
    <w:p w:rsidR="002E06E5" w:rsidRPr="002D0502" w:rsidRDefault="002E06E5" w:rsidP="002E06E5">
      <w:pPr>
        <w:tabs>
          <w:tab w:val="left" w:pos="1440"/>
        </w:tabs>
        <w:snapToGrid w:val="0"/>
        <w:spacing w:line="400" w:lineRule="atLeast"/>
        <w:jc w:val="both"/>
        <w:rPr>
          <w:rFonts w:cs="Times New Roman"/>
          <w:bCs/>
          <w:kern w:val="0"/>
          <w:szCs w:val="28"/>
          <w:u w:val="single"/>
        </w:rPr>
      </w:pPr>
      <w:r w:rsidRPr="002D0502">
        <w:rPr>
          <w:rFonts w:cs="Times New Roman" w:hint="eastAsia"/>
          <w:bCs/>
          <w:kern w:val="0"/>
          <w:szCs w:val="28"/>
          <w:u w:val="single"/>
        </w:rPr>
        <w:t>人道援助</w:t>
      </w:r>
    </w:p>
    <w:p w:rsidR="002E06E5" w:rsidRPr="002D0502" w:rsidRDefault="002E06E5" w:rsidP="002E06E5">
      <w:pPr>
        <w:tabs>
          <w:tab w:val="left" w:pos="1440"/>
        </w:tabs>
        <w:snapToGrid w:val="0"/>
        <w:spacing w:line="400" w:lineRule="atLeast"/>
        <w:jc w:val="both"/>
        <w:rPr>
          <w:rFonts w:cs="Times New Roman"/>
          <w:bCs/>
          <w:kern w:val="0"/>
          <w:szCs w:val="28"/>
        </w:rPr>
      </w:pPr>
    </w:p>
    <w:p w:rsidR="002E06E5" w:rsidRPr="002D0502" w:rsidRDefault="002E06E5" w:rsidP="002E06E5">
      <w:pPr>
        <w:tabs>
          <w:tab w:val="left" w:pos="1440"/>
        </w:tabs>
        <w:snapToGrid w:val="0"/>
        <w:spacing w:line="400" w:lineRule="atLeast"/>
        <w:jc w:val="both"/>
        <w:rPr>
          <w:rFonts w:cs="Times New Roman"/>
          <w:bCs/>
          <w:kern w:val="0"/>
          <w:szCs w:val="28"/>
        </w:rPr>
      </w:pPr>
      <w:r w:rsidRPr="002D0502">
        <w:rPr>
          <w:rFonts w:cs="Times New Roman"/>
          <w:bCs/>
          <w:kern w:val="0"/>
          <w:szCs w:val="28"/>
        </w:rPr>
        <w:t>2.</w:t>
      </w:r>
      <w:r w:rsidRPr="002D0502">
        <w:rPr>
          <w:rFonts w:cs="Times New Roman" w:hint="eastAsia"/>
          <w:bCs/>
          <w:kern w:val="0"/>
          <w:szCs w:val="28"/>
        </w:rPr>
        <w:tab/>
      </w:r>
      <w:r w:rsidRPr="002D0502">
        <w:rPr>
          <w:rFonts w:cs="Times New Roman" w:hint="eastAsia"/>
          <w:bCs/>
          <w:kern w:val="0"/>
          <w:szCs w:val="28"/>
        </w:rPr>
        <w:t>自</w:t>
      </w:r>
      <w:r w:rsidRPr="002D0502">
        <w:rPr>
          <w:rFonts w:cs="Times New Roman" w:hint="eastAsia"/>
          <w:bCs/>
          <w:kern w:val="0"/>
          <w:szCs w:val="28"/>
        </w:rPr>
        <w:t>2006</w:t>
      </w:r>
      <w:r w:rsidRPr="002D0502">
        <w:rPr>
          <w:rFonts w:cs="Times New Roman" w:hint="eastAsia"/>
          <w:bCs/>
          <w:kern w:val="0"/>
          <w:szCs w:val="28"/>
        </w:rPr>
        <w:t>年，政府委託非政府機構向在港的免遣返聲請人提供人道援助（包括食物、住宿、公用設施支出、交通津貼，及其他日用品），讓</w:t>
      </w:r>
      <w:r w:rsidRPr="002D0502">
        <w:rPr>
          <w:rFonts w:cs="Times New Roman" w:hint="eastAsia"/>
          <w:bCs/>
          <w:kern w:val="0"/>
          <w:szCs w:val="28"/>
          <w:lang w:eastAsia="zh-HK"/>
        </w:rPr>
        <w:t>其</w:t>
      </w:r>
      <w:r w:rsidRPr="002D0502">
        <w:rPr>
          <w:rFonts w:cs="Times New Roman" w:hint="eastAsia"/>
          <w:bCs/>
          <w:kern w:val="0"/>
          <w:szCs w:val="28"/>
        </w:rPr>
        <w:t>不致陷於困境，同時</w:t>
      </w:r>
      <w:r w:rsidRPr="002D0502">
        <w:rPr>
          <w:rFonts w:cs="Times New Roman" w:hint="eastAsia"/>
          <w:bCs/>
          <w:kern w:val="0"/>
          <w:szCs w:val="28"/>
          <w:lang w:eastAsia="zh-HK"/>
        </w:rPr>
        <w:t>避</w:t>
      </w:r>
      <w:r w:rsidRPr="002D0502">
        <w:rPr>
          <w:rFonts w:cs="Times New Roman" w:hint="eastAsia"/>
          <w:bCs/>
          <w:kern w:val="0"/>
          <w:szCs w:val="28"/>
        </w:rPr>
        <w:t>免產生磁石效應，</w:t>
      </w:r>
      <w:r w:rsidRPr="002D0502">
        <w:rPr>
          <w:rFonts w:cs="Times New Roman" w:hint="eastAsia"/>
          <w:bCs/>
          <w:kern w:val="0"/>
          <w:szCs w:val="28"/>
          <w:lang w:eastAsia="zh-HK"/>
        </w:rPr>
        <w:t>嚴</w:t>
      </w:r>
      <w:r w:rsidRPr="002D0502">
        <w:rPr>
          <w:rFonts w:cs="Times New Roman" w:hint="eastAsia"/>
          <w:bCs/>
          <w:kern w:val="0"/>
          <w:szCs w:val="28"/>
        </w:rPr>
        <w:t>重</w:t>
      </w:r>
      <w:r w:rsidRPr="002D0502">
        <w:rPr>
          <w:rFonts w:cs="Times New Roman" w:hint="eastAsia"/>
          <w:bCs/>
          <w:kern w:val="0"/>
          <w:szCs w:val="28"/>
          <w:lang w:eastAsia="zh-HK"/>
        </w:rPr>
        <w:t>影</w:t>
      </w:r>
      <w:r w:rsidRPr="002D0502">
        <w:rPr>
          <w:rFonts w:cs="Times New Roman" w:hint="eastAsia"/>
          <w:bCs/>
          <w:kern w:val="0"/>
          <w:szCs w:val="28"/>
        </w:rPr>
        <w:t>響香港現有援助計劃的承擔能力及入境管制。透過公平公開的招標程序，社署委託香港國際社會服務社提供有關援助。服務社會因應聲請人的需要、健康情況及可運用的資源等因素，評估合資格的援助項目和援助水平。</w:t>
      </w:r>
    </w:p>
    <w:p w:rsidR="002E06E5" w:rsidRPr="002D0502" w:rsidRDefault="002E06E5" w:rsidP="002E06E5">
      <w:pPr>
        <w:tabs>
          <w:tab w:val="left" w:pos="1440"/>
        </w:tabs>
        <w:snapToGrid w:val="0"/>
        <w:spacing w:line="400" w:lineRule="atLeast"/>
        <w:jc w:val="both"/>
        <w:rPr>
          <w:rFonts w:cs="Times New Roman"/>
          <w:bCs/>
          <w:kern w:val="0"/>
          <w:szCs w:val="28"/>
        </w:rPr>
      </w:pPr>
    </w:p>
    <w:p w:rsidR="002E06E5" w:rsidRPr="002D0502" w:rsidRDefault="002E06E5" w:rsidP="002E06E5">
      <w:pPr>
        <w:tabs>
          <w:tab w:val="left" w:pos="1440"/>
        </w:tabs>
        <w:snapToGrid w:val="0"/>
        <w:spacing w:line="400" w:lineRule="atLeast"/>
        <w:jc w:val="both"/>
        <w:rPr>
          <w:rFonts w:cs="Times New Roman"/>
          <w:bCs/>
          <w:kern w:val="0"/>
          <w:szCs w:val="28"/>
        </w:rPr>
      </w:pPr>
      <w:r w:rsidRPr="002D0502">
        <w:rPr>
          <w:rFonts w:cs="Times New Roman" w:hint="eastAsia"/>
          <w:bCs/>
          <w:kern w:val="0"/>
          <w:szCs w:val="28"/>
        </w:rPr>
        <w:t>3</w:t>
      </w:r>
      <w:r>
        <w:rPr>
          <w:rFonts w:cs="Times New Roman"/>
          <w:bCs/>
          <w:kern w:val="0"/>
          <w:szCs w:val="28"/>
        </w:rPr>
        <w:t>.</w:t>
      </w:r>
      <w:r w:rsidRPr="002D0502">
        <w:rPr>
          <w:rFonts w:cs="Times New Roman" w:hint="eastAsia"/>
          <w:bCs/>
          <w:kern w:val="0"/>
          <w:szCs w:val="28"/>
        </w:rPr>
        <w:tab/>
      </w:r>
      <w:r w:rsidRPr="002D0502">
        <w:rPr>
          <w:rFonts w:cs="Times New Roman" w:hint="eastAsia"/>
          <w:bCs/>
          <w:kern w:val="0"/>
          <w:szCs w:val="28"/>
        </w:rPr>
        <w:t>另外，政府為六至十五歲合資格學童提供免費普及基礎教育。適齡兒童須具有居港權或持有入境處所發出的有效文件，方可在港</w:t>
      </w:r>
      <w:r w:rsidRPr="002D0502">
        <w:rPr>
          <w:rFonts w:cs="Times New Roman" w:hint="eastAsia"/>
          <w:bCs/>
          <w:kern w:val="0"/>
          <w:szCs w:val="28"/>
          <w:lang w:eastAsia="zh-HK"/>
        </w:rPr>
        <w:t>就學</w:t>
      </w:r>
      <w:r w:rsidRPr="002D0502">
        <w:rPr>
          <w:rFonts w:cs="Times New Roman" w:hint="eastAsia"/>
          <w:bCs/>
          <w:kern w:val="0"/>
          <w:szCs w:val="28"/>
        </w:rPr>
        <w:t>。處於入學年齡的免遣返聲請人，若短期內不會被遣</w:t>
      </w:r>
      <w:r w:rsidRPr="002D0502">
        <w:rPr>
          <w:rFonts w:cs="Times New Roman" w:hint="eastAsia"/>
          <w:bCs/>
          <w:kern w:val="0"/>
          <w:szCs w:val="28"/>
          <w:lang w:eastAsia="zh-HK"/>
        </w:rPr>
        <w:t>返</w:t>
      </w:r>
      <w:r w:rsidRPr="002D0502">
        <w:rPr>
          <w:rFonts w:cs="Times New Roman" w:hint="eastAsia"/>
          <w:bCs/>
          <w:kern w:val="0"/>
          <w:szCs w:val="28"/>
        </w:rPr>
        <w:t>，而入境處對</w:t>
      </w:r>
      <w:r w:rsidRPr="002D0502">
        <w:rPr>
          <w:rFonts w:cs="Times New Roman" w:hint="eastAsia"/>
          <w:bCs/>
          <w:kern w:val="0"/>
          <w:szCs w:val="28"/>
          <w:lang w:eastAsia="zh-HK"/>
        </w:rPr>
        <w:t>他</w:t>
      </w:r>
      <w:r w:rsidRPr="002D0502">
        <w:rPr>
          <w:rFonts w:cs="Times New Roman" w:hint="eastAsia"/>
          <w:bCs/>
          <w:kern w:val="0"/>
          <w:szCs w:val="28"/>
        </w:rPr>
        <w:t>們的入學申請沒有意見，教育局會按</w:t>
      </w:r>
      <w:r w:rsidRPr="002D0502">
        <w:rPr>
          <w:rFonts w:cs="Times New Roman" w:hint="eastAsia"/>
          <w:bCs/>
          <w:kern w:val="0"/>
          <w:szCs w:val="28"/>
          <w:lang w:eastAsia="zh-HK"/>
        </w:rPr>
        <w:t>其</w:t>
      </w:r>
      <w:r w:rsidRPr="002D0502">
        <w:rPr>
          <w:rFonts w:cs="Times New Roman" w:hint="eastAsia"/>
          <w:bCs/>
          <w:kern w:val="0"/>
          <w:szCs w:val="28"/>
        </w:rPr>
        <w:t>居住地區及學習程度，安排他們入讀合適的學校。教育局在</w:t>
      </w:r>
      <w:r w:rsidRPr="002D0502">
        <w:rPr>
          <w:rFonts w:cs="Times New Roman" w:hint="eastAsia"/>
          <w:bCs/>
          <w:kern w:val="0"/>
          <w:szCs w:val="28"/>
        </w:rPr>
        <w:t>2017</w:t>
      </w:r>
      <w:r w:rsidRPr="002D0502">
        <w:rPr>
          <w:rFonts w:cs="Times New Roman" w:hint="eastAsia"/>
          <w:bCs/>
          <w:kern w:val="0"/>
          <w:szCs w:val="28"/>
        </w:rPr>
        <w:t>年就</w:t>
      </w:r>
      <w:r w:rsidRPr="002D0502">
        <w:rPr>
          <w:rFonts w:cs="Times New Roman" w:hint="eastAsia"/>
          <w:bCs/>
          <w:kern w:val="0"/>
          <w:szCs w:val="28"/>
        </w:rPr>
        <w:t>193</w:t>
      </w:r>
      <w:r w:rsidRPr="002D0502">
        <w:rPr>
          <w:rFonts w:cs="Times New Roman" w:hint="eastAsia"/>
          <w:bCs/>
          <w:kern w:val="0"/>
          <w:szCs w:val="28"/>
        </w:rPr>
        <w:t>宗入學申請諮詢入境處，當中</w:t>
      </w:r>
      <w:r w:rsidRPr="002D0502">
        <w:rPr>
          <w:rFonts w:cs="Times New Roman" w:hint="eastAsia"/>
          <w:bCs/>
          <w:kern w:val="0"/>
          <w:szCs w:val="28"/>
        </w:rPr>
        <w:t>189</w:t>
      </w:r>
      <w:r w:rsidRPr="002D0502">
        <w:rPr>
          <w:rFonts w:cs="Times New Roman" w:hint="eastAsia"/>
          <w:bCs/>
          <w:kern w:val="0"/>
          <w:szCs w:val="28"/>
        </w:rPr>
        <w:t>宗（</w:t>
      </w:r>
      <w:r w:rsidRPr="002D0502">
        <w:rPr>
          <w:rFonts w:cs="Times New Roman" w:hint="eastAsia"/>
          <w:bCs/>
          <w:kern w:val="0"/>
          <w:szCs w:val="28"/>
        </w:rPr>
        <w:t>98%</w:t>
      </w:r>
      <w:r w:rsidRPr="002D0502">
        <w:rPr>
          <w:rFonts w:cs="Times New Roman" w:hint="eastAsia"/>
          <w:bCs/>
          <w:kern w:val="0"/>
          <w:szCs w:val="28"/>
        </w:rPr>
        <w:t>）獲安排學位，讓免遣返聲請人的適齡就學子女在港</w:t>
      </w:r>
      <w:r w:rsidRPr="002D0502">
        <w:rPr>
          <w:rFonts w:cs="Times New Roman" w:hint="eastAsia"/>
          <w:bCs/>
          <w:kern w:val="0"/>
          <w:szCs w:val="28"/>
          <w:lang w:eastAsia="zh-HK"/>
        </w:rPr>
        <w:t>就學</w:t>
      </w:r>
      <w:r w:rsidRPr="002D0502">
        <w:rPr>
          <w:rFonts w:cs="Times New Roman" w:hint="eastAsia"/>
          <w:bCs/>
          <w:kern w:val="0"/>
          <w:szCs w:val="28"/>
        </w:rPr>
        <w:t>。</w:t>
      </w:r>
    </w:p>
    <w:p w:rsidR="002E06E5" w:rsidRDefault="002E06E5" w:rsidP="008375BB">
      <w:pPr>
        <w:jc w:val="both"/>
        <w:sectPr w:rsidR="002E06E5" w:rsidSect="002E06E5">
          <w:footerReference w:type="default" r:id="rId23"/>
          <w:pgSz w:w="11906" w:h="16838"/>
          <w:pgMar w:top="1440" w:right="1800" w:bottom="1440" w:left="1800" w:header="720" w:footer="720" w:gutter="0"/>
          <w:pgNumType w:start="1"/>
          <w:cols w:space="425"/>
          <w:docGrid w:type="lines" w:linePitch="381"/>
        </w:sectPr>
      </w:pPr>
    </w:p>
    <w:p w:rsidR="00CA23C5" w:rsidRDefault="00CA23C5" w:rsidP="00CA23C5">
      <w:pPr>
        <w:spacing w:line="0" w:lineRule="atLeast"/>
        <w:jc w:val="right"/>
        <w:rPr>
          <w:b/>
          <w:szCs w:val="28"/>
        </w:rPr>
      </w:pPr>
      <w:r w:rsidRPr="004A0F49">
        <w:rPr>
          <w:rFonts w:ascii="標楷體" w:hAnsi="標楷體" w:hint="eastAsia"/>
          <w:b/>
          <w:szCs w:val="28"/>
          <w:lang w:eastAsia="zh-HK"/>
        </w:rPr>
        <w:lastRenderedPageBreak/>
        <w:t>附件</w:t>
      </w:r>
      <w:r w:rsidRPr="0022358A">
        <w:rPr>
          <w:rFonts w:hint="eastAsia"/>
          <w:b/>
          <w:szCs w:val="28"/>
        </w:rPr>
        <w:t>3A</w:t>
      </w:r>
    </w:p>
    <w:p w:rsidR="00CA23C5" w:rsidRPr="008F537E" w:rsidRDefault="00CA23C5" w:rsidP="00CA23C5">
      <w:pPr>
        <w:spacing w:line="0" w:lineRule="atLeast"/>
        <w:jc w:val="right"/>
        <w:rPr>
          <w:b/>
          <w:szCs w:val="28"/>
          <w:u w:val="single"/>
          <w:lang w:eastAsia="zh-HK"/>
        </w:rPr>
      </w:pPr>
    </w:p>
    <w:p w:rsidR="00CA23C5" w:rsidRPr="0022358A" w:rsidRDefault="00CA23C5" w:rsidP="00CA23C5">
      <w:pPr>
        <w:spacing w:line="0" w:lineRule="atLeast"/>
        <w:jc w:val="center"/>
        <w:rPr>
          <w:b/>
          <w:szCs w:val="28"/>
          <w:lang w:eastAsia="zh-HK"/>
        </w:rPr>
      </w:pPr>
      <w:r w:rsidRPr="00194FA2">
        <w:rPr>
          <w:rFonts w:ascii="標楷體" w:hAnsi="標楷體" w:hint="eastAsia"/>
          <w:b/>
          <w:szCs w:val="28"/>
          <w:lang w:eastAsia="zh-HK"/>
        </w:rPr>
        <w:t>婦</w:t>
      </w:r>
      <w:r w:rsidRPr="002E662A">
        <w:rPr>
          <w:rFonts w:hint="eastAsia"/>
          <w:b/>
          <w:szCs w:val="28"/>
        </w:rPr>
        <w:t>女事務</w:t>
      </w:r>
      <w:r w:rsidRPr="002E662A">
        <w:rPr>
          <w:rFonts w:ascii="標楷體" w:hAnsi="標楷體" w:hint="eastAsia"/>
          <w:b/>
          <w:szCs w:val="28"/>
          <w:lang w:eastAsia="zh-HK"/>
        </w:rPr>
        <w:t>委</w:t>
      </w:r>
      <w:r w:rsidRPr="002E662A">
        <w:rPr>
          <w:rFonts w:hint="eastAsia"/>
          <w:b/>
          <w:szCs w:val="28"/>
        </w:rPr>
        <w:t>員</w:t>
      </w:r>
      <w:r w:rsidRPr="00194FA2">
        <w:rPr>
          <w:rFonts w:ascii="標楷體" w:hAnsi="標楷體" w:hint="eastAsia"/>
          <w:b/>
          <w:szCs w:val="28"/>
          <w:lang w:eastAsia="zh-HK"/>
        </w:rPr>
        <w:t>會</w:t>
      </w:r>
      <w:r>
        <w:rPr>
          <w:rFonts w:ascii="標楷體" w:hAnsi="標楷體" w:hint="eastAsia"/>
          <w:b/>
          <w:szCs w:val="28"/>
        </w:rPr>
        <w:t>（</w:t>
      </w:r>
      <w:r w:rsidRPr="00194FA2">
        <w:rPr>
          <w:rFonts w:ascii="標楷體" w:hAnsi="標楷體" w:hint="eastAsia"/>
          <w:b/>
          <w:szCs w:val="28"/>
          <w:lang w:eastAsia="zh-HK"/>
        </w:rPr>
        <w:t>婦委會</w:t>
      </w:r>
      <w:r>
        <w:rPr>
          <w:rFonts w:ascii="標楷體" w:hAnsi="標楷體" w:hint="eastAsia"/>
          <w:b/>
          <w:szCs w:val="28"/>
        </w:rPr>
        <w:t>）</w:t>
      </w:r>
      <w:r w:rsidRPr="00194FA2">
        <w:rPr>
          <w:rFonts w:ascii="標楷體" w:hAnsi="標楷體" w:hint="eastAsia"/>
          <w:b/>
          <w:szCs w:val="28"/>
          <w:lang w:eastAsia="zh-HK"/>
        </w:rPr>
        <w:t>的工作撮要</w:t>
      </w:r>
    </w:p>
    <w:p w:rsidR="00CA23C5" w:rsidRDefault="00CA23C5" w:rsidP="00CA23C5">
      <w:pPr>
        <w:spacing w:line="276" w:lineRule="auto"/>
        <w:jc w:val="center"/>
        <w:rPr>
          <w:szCs w:val="28"/>
          <w:highlight w:val="magenta"/>
          <w:u w:val="single"/>
          <w:lang w:eastAsia="zh-HK"/>
        </w:rPr>
      </w:pPr>
    </w:p>
    <w:p w:rsidR="00CA23C5" w:rsidRPr="00194FA2" w:rsidRDefault="00CA23C5" w:rsidP="00CA23C5">
      <w:pPr>
        <w:tabs>
          <w:tab w:val="left" w:pos="720"/>
          <w:tab w:val="left" w:pos="1440"/>
        </w:tabs>
        <w:snapToGrid w:val="0"/>
        <w:spacing w:line="360" w:lineRule="atLeast"/>
        <w:jc w:val="both"/>
        <w:rPr>
          <w:szCs w:val="28"/>
          <w:u w:val="single"/>
          <w:lang w:eastAsia="zh-HK"/>
        </w:rPr>
      </w:pPr>
      <w:r w:rsidRPr="00194FA2">
        <w:rPr>
          <w:szCs w:val="28"/>
          <w:u w:val="single"/>
          <w:lang w:eastAsia="zh-HK"/>
        </w:rPr>
        <w:t>資助婦女發展計劃</w:t>
      </w:r>
    </w:p>
    <w:p w:rsidR="00CA23C5" w:rsidRPr="00194FA2" w:rsidRDefault="00CA23C5" w:rsidP="00CA23C5">
      <w:pPr>
        <w:spacing w:line="276" w:lineRule="auto"/>
        <w:jc w:val="both"/>
        <w:rPr>
          <w:szCs w:val="28"/>
          <w:u w:val="single"/>
          <w:lang w:eastAsia="zh-HK"/>
        </w:rPr>
      </w:pPr>
    </w:p>
    <w:p w:rsidR="00CA23C5" w:rsidRPr="008F537E" w:rsidRDefault="00CA23C5" w:rsidP="00CA23C5">
      <w:pPr>
        <w:tabs>
          <w:tab w:val="left" w:pos="720"/>
          <w:tab w:val="left" w:pos="1440"/>
        </w:tabs>
        <w:snapToGrid w:val="0"/>
        <w:spacing w:line="360" w:lineRule="atLeast"/>
        <w:jc w:val="both"/>
        <w:rPr>
          <w:szCs w:val="28"/>
          <w:lang w:eastAsia="zh-HK"/>
        </w:rPr>
      </w:pPr>
      <w:r w:rsidRPr="00194FA2">
        <w:rPr>
          <w:szCs w:val="28"/>
          <w:lang w:eastAsia="zh-HK"/>
        </w:rPr>
        <w:t>1.</w:t>
      </w:r>
      <w:r w:rsidRPr="00194FA2">
        <w:rPr>
          <w:szCs w:val="28"/>
          <w:lang w:eastAsia="zh-HK"/>
        </w:rPr>
        <w:tab/>
      </w:r>
      <w:r w:rsidRPr="00194FA2">
        <w:rPr>
          <w:szCs w:val="28"/>
          <w:lang w:eastAsia="zh-HK"/>
        </w:rPr>
        <w:tab/>
      </w:r>
      <w:r w:rsidRPr="00194FA2">
        <w:rPr>
          <w:szCs w:val="28"/>
        </w:rPr>
        <w:t>為鼓勵於社區層面舉辦促進婦女發展的計劃和活動，婦委會自</w:t>
      </w:r>
      <w:r w:rsidRPr="00194FA2">
        <w:rPr>
          <w:szCs w:val="28"/>
        </w:rPr>
        <w:t>2012</w:t>
      </w:r>
      <w:r w:rsidRPr="00194FA2">
        <w:rPr>
          <w:szCs w:val="28"/>
        </w:rPr>
        <w:t>年起推出資助</w:t>
      </w:r>
      <w:r w:rsidRPr="001B69F7">
        <w:rPr>
          <w:rFonts w:hint="eastAsia"/>
          <w:szCs w:val="28"/>
        </w:rPr>
        <w:t>婦女發展</w:t>
      </w:r>
      <w:r w:rsidRPr="00194FA2">
        <w:rPr>
          <w:szCs w:val="28"/>
        </w:rPr>
        <w:t>計劃邀請婦女團體和提供婦女服務的非政府機構提交申請。</w:t>
      </w:r>
    </w:p>
    <w:p w:rsidR="00CA23C5" w:rsidRPr="0022358A" w:rsidRDefault="00CA23C5" w:rsidP="00CA23C5">
      <w:pPr>
        <w:spacing w:line="276" w:lineRule="auto"/>
        <w:jc w:val="both"/>
        <w:rPr>
          <w:szCs w:val="28"/>
          <w:lang w:eastAsia="zh-HK"/>
        </w:rPr>
      </w:pPr>
    </w:p>
    <w:p w:rsidR="00CA23C5" w:rsidRPr="0022358A" w:rsidRDefault="00CA23C5" w:rsidP="00CA23C5">
      <w:pPr>
        <w:tabs>
          <w:tab w:val="left" w:pos="720"/>
          <w:tab w:val="left" w:pos="1440"/>
        </w:tabs>
        <w:snapToGrid w:val="0"/>
        <w:spacing w:line="360" w:lineRule="atLeast"/>
        <w:jc w:val="both"/>
        <w:rPr>
          <w:szCs w:val="28"/>
          <w:lang w:eastAsia="zh-HK"/>
        </w:rPr>
      </w:pPr>
      <w:r w:rsidRPr="0022358A">
        <w:rPr>
          <w:rFonts w:hint="eastAsia"/>
          <w:szCs w:val="28"/>
          <w:lang w:eastAsia="zh-HK"/>
        </w:rPr>
        <w:t>2.</w:t>
      </w:r>
      <w:r w:rsidRPr="0022358A">
        <w:rPr>
          <w:rFonts w:hint="eastAsia"/>
          <w:szCs w:val="28"/>
          <w:lang w:eastAsia="zh-HK"/>
        </w:rPr>
        <w:tab/>
      </w:r>
      <w:r w:rsidRPr="0022358A">
        <w:rPr>
          <w:szCs w:val="28"/>
          <w:lang w:eastAsia="zh-HK"/>
        </w:rPr>
        <w:tab/>
      </w:r>
      <w:r w:rsidRPr="00194FA2">
        <w:rPr>
          <w:szCs w:val="28"/>
          <w:lang w:eastAsia="zh-HK"/>
        </w:rPr>
        <w:t>有論者及婦委會建議政府應為資助計劃提供更多資源，以資助婦女團體和非政府機構舉辦更多項目。就此，由</w:t>
      </w:r>
      <w:r w:rsidRPr="00194FA2">
        <w:rPr>
          <w:szCs w:val="28"/>
          <w:lang w:eastAsia="zh-HK"/>
        </w:rPr>
        <w:t>2018-19</w:t>
      </w:r>
      <w:r w:rsidRPr="00194FA2">
        <w:rPr>
          <w:szCs w:val="28"/>
          <w:lang w:eastAsia="zh-HK"/>
        </w:rPr>
        <w:t>年起，香港特區政府每年撥給資助計劃的撥款由</w:t>
      </w:r>
      <w:r w:rsidRPr="00194FA2">
        <w:rPr>
          <w:szCs w:val="28"/>
          <w:lang w:eastAsia="zh-HK"/>
        </w:rPr>
        <w:t>200</w:t>
      </w:r>
      <w:r w:rsidRPr="00194FA2">
        <w:rPr>
          <w:szCs w:val="28"/>
          <w:lang w:eastAsia="zh-HK"/>
        </w:rPr>
        <w:t>萬元加倍至</w:t>
      </w:r>
      <w:r w:rsidRPr="00194FA2">
        <w:rPr>
          <w:szCs w:val="28"/>
          <w:lang w:eastAsia="zh-HK"/>
        </w:rPr>
        <w:t>400</w:t>
      </w:r>
      <w:r w:rsidRPr="00194FA2">
        <w:rPr>
          <w:szCs w:val="28"/>
          <w:lang w:eastAsia="zh-HK"/>
        </w:rPr>
        <w:t>萬元。</w:t>
      </w:r>
    </w:p>
    <w:p w:rsidR="00CA23C5" w:rsidRPr="0022358A" w:rsidRDefault="00CA23C5" w:rsidP="00CA23C5">
      <w:pPr>
        <w:tabs>
          <w:tab w:val="left" w:pos="720"/>
          <w:tab w:val="left" w:pos="1440"/>
        </w:tabs>
        <w:snapToGrid w:val="0"/>
        <w:spacing w:line="360" w:lineRule="atLeast"/>
        <w:jc w:val="both"/>
        <w:rPr>
          <w:szCs w:val="28"/>
          <w:u w:val="single"/>
          <w:lang w:eastAsia="zh-HK"/>
        </w:rPr>
      </w:pPr>
    </w:p>
    <w:p w:rsidR="00CA23C5" w:rsidRPr="00194FA2" w:rsidRDefault="00CA23C5" w:rsidP="00CA23C5">
      <w:pPr>
        <w:tabs>
          <w:tab w:val="left" w:pos="720"/>
          <w:tab w:val="left" w:pos="1440"/>
        </w:tabs>
        <w:snapToGrid w:val="0"/>
        <w:spacing w:line="360" w:lineRule="atLeast"/>
        <w:jc w:val="both"/>
        <w:rPr>
          <w:szCs w:val="28"/>
          <w:u w:val="single"/>
          <w:lang w:eastAsia="zh-HK"/>
        </w:rPr>
      </w:pPr>
      <w:r w:rsidRPr="00194FA2">
        <w:rPr>
          <w:szCs w:val="28"/>
          <w:u w:val="single"/>
          <w:lang w:eastAsia="zh-HK"/>
        </w:rPr>
        <w:t>婦女參與公共事務</w:t>
      </w:r>
    </w:p>
    <w:p w:rsidR="00CA23C5" w:rsidRPr="00194FA2" w:rsidRDefault="00CA23C5" w:rsidP="00CA23C5">
      <w:pPr>
        <w:tabs>
          <w:tab w:val="left" w:pos="720"/>
          <w:tab w:val="left" w:pos="1440"/>
        </w:tabs>
        <w:snapToGrid w:val="0"/>
        <w:spacing w:line="360" w:lineRule="atLeast"/>
        <w:jc w:val="both"/>
        <w:rPr>
          <w:szCs w:val="28"/>
          <w:lang w:eastAsia="zh-HK"/>
        </w:rPr>
      </w:pPr>
    </w:p>
    <w:p w:rsidR="00CA23C5" w:rsidRPr="00194FA2" w:rsidRDefault="00CA23C5" w:rsidP="00CA23C5">
      <w:pPr>
        <w:tabs>
          <w:tab w:val="left" w:pos="720"/>
          <w:tab w:val="left" w:pos="1440"/>
        </w:tabs>
        <w:snapToGrid w:val="0"/>
        <w:spacing w:line="360" w:lineRule="atLeast"/>
        <w:jc w:val="both"/>
        <w:rPr>
          <w:szCs w:val="28"/>
          <w:lang w:eastAsia="zh-HK"/>
        </w:rPr>
      </w:pPr>
      <w:r w:rsidRPr="00194FA2">
        <w:rPr>
          <w:szCs w:val="28"/>
          <w:lang w:eastAsia="zh-HK"/>
        </w:rPr>
        <w:t>3.</w:t>
      </w:r>
      <w:r w:rsidRPr="00194FA2">
        <w:rPr>
          <w:szCs w:val="28"/>
          <w:lang w:eastAsia="zh-HK"/>
        </w:rPr>
        <w:tab/>
      </w:r>
      <w:r w:rsidRPr="00194FA2">
        <w:rPr>
          <w:szCs w:val="28"/>
          <w:lang w:eastAsia="zh-HK"/>
        </w:rPr>
        <w:tab/>
      </w:r>
      <w:r w:rsidRPr="00194FA2">
        <w:rPr>
          <w:szCs w:val="28"/>
          <w:lang w:eastAsia="zh-HK"/>
        </w:rPr>
        <w:t>作為賦予女性權力的重要一環，政府繼續加強和促進婦女參與政府的諮詢和法定機構，讓更多女性參與政策和決策過程。按婦委會建議，香港特區政府在</w:t>
      </w:r>
      <w:r w:rsidRPr="00194FA2">
        <w:rPr>
          <w:szCs w:val="28"/>
          <w:lang w:eastAsia="zh-HK"/>
        </w:rPr>
        <w:t>2015</w:t>
      </w:r>
      <w:r w:rsidRPr="00194FA2">
        <w:rPr>
          <w:szCs w:val="28"/>
          <w:lang w:eastAsia="zh-HK"/>
        </w:rPr>
        <w:t>年施政報告中宣布，將政府的諮詢和法定機構的女性成員的委任基準由</w:t>
      </w:r>
      <w:r w:rsidRPr="00194FA2">
        <w:rPr>
          <w:szCs w:val="28"/>
          <w:lang w:eastAsia="zh-HK"/>
        </w:rPr>
        <w:t>30</w:t>
      </w:r>
      <w:r>
        <w:rPr>
          <w:szCs w:val="28"/>
          <w:lang w:eastAsia="zh-HK"/>
        </w:rPr>
        <w:t>%</w:t>
      </w:r>
      <w:r w:rsidR="00473141">
        <w:rPr>
          <w:szCs w:val="28"/>
          <w:lang w:eastAsia="zh-HK"/>
        </w:rPr>
        <w:t xml:space="preserve"> </w:t>
      </w:r>
      <w:r w:rsidRPr="00194FA2">
        <w:rPr>
          <w:szCs w:val="28"/>
          <w:lang w:eastAsia="zh-HK"/>
        </w:rPr>
        <w:t>提高至</w:t>
      </w:r>
      <w:r w:rsidRPr="00194FA2">
        <w:rPr>
          <w:szCs w:val="28"/>
          <w:lang w:eastAsia="zh-HK"/>
        </w:rPr>
        <w:t>35</w:t>
      </w:r>
      <w:r>
        <w:rPr>
          <w:szCs w:val="28"/>
          <w:lang w:eastAsia="zh-HK"/>
        </w:rPr>
        <w:t>%</w:t>
      </w:r>
      <w:r w:rsidRPr="00194FA2">
        <w:rPr>
          <w:szCs w:val="28"/>
          <w:lang w:eastAsia="zh-HK"/>
        </w:rPr>
        <w:t>，以進一步顯示香港特區政府在這方面的決心。截至</w:t>
      </w:r>
      <w:r w:rsidRPr="00194FA2">
        <w:rPr>
          <w:szCs w:val="28"/>
          <w:lang w:eastAsia="zh-HK"/>
        </w:rPr>
        <w:t>2018</w:t>
      </w:r>
      <w:r w:rsidRPr="00194FA2">
        <w:rPr>
          <w:szCs w:val="28"/>
          <w:lang w:eastAsia="zh-HK"/>
        </w:rPr>
        <w:t>年</w:t>
      </w:r>
      <w:r w:rsidRPr="00194FA2">
        <w:rPr>
          <w:szCs w:val="28"/>
          <w:lang w:eastAsia="zh-HK"/>
        </w:rPr>
        <w:t>6</w:t>
      </w:r>
      <w:r w:rsidRPr="00194FA2">
        <w:rPr>
          <w:szCs w:val="28"/>
          <w:lang w:eastAsia="zh-HK"/>
        </w:rPr>
        <w:t>月，女性在政府任命的諮詢和法定機構中的非官方成員的參與率為</w:t>
      </w:r>
      <w:r w:rsidRPr="00194FA2">
        <w:rPr>
          <w:szCs w:val="28"/>
          <w:lang w:eastAsia="zh-HK"/>
        </w:rPr>
        <w:t>33</w:t>
      </w:r>
      <w:r>
        <w:rPr>
          <w:szCs w:val="28"/>
          <w:lang w:eastAsia="zh-HK"/>
        </w:rPr>
        <w:t>%</w:t>
      </w:r>
      <w:r w:rsidRPr="00194FA2">
        <w:rPr>
          <w:szCs w:val="28"/>
          <w:lang w:eastAsia="zh-HK"/>
        </w:rPr>
        <w:t>。</w:t>
      </w:r>
    </w:p>
    <w:p w:rsidR="00CA23C5" w:rsidRPr="00194FA2" w:rsidRDefault="00CA23C5" w:rsidP="00CA23C5">
      <w:pPr>
        <w:tabs>
          <w:tab w:val="left" w:pos="720"/>
          <w:tab w:val="left" w:pos="1440"/>
        </w:tabs>
        <w:snapToGrid w:val="0"/>
        <w:spacing w:line="360" w:lineRule="atLeast"/>
        <w:jc w:val="both"/>
        <w:rPr>
          <w:szCs w:val="28"/>
          <w:u w:val="single"/>
          <w:lang w:eastAsia="zh-HK"/>
        </w:rPr>
      </w:pPr>
    </w:p>
    <w:p w:rsidR="00CA23C5" w:rsidRPr="00194FA2" w:rsidRDefault="00CA23C5" w:rsidP="00CA23C5">
      <w:pPr>
        <w:tabs>
          <w:tab w:val="left" w:pos="720"/>
          <w:tab w:val="left" w:pos="1440"/>
        </w:tabs>
        <w:snapToGrid w:val="0"/>
        <w:spacing w:line="360" w:lineRule="atLeast"/>
        <w:jc w:val="both"/>
        <w:rPr>
          <w:szCs w:val="28"/>
          <w:u w:val="single"/>
          <w:lang w:eastAsia="zh-HK"/>
        </w:rPr>
      </w:pPr>
      <w:r w:rsidRPr="00194FA2">
        <w:rPr>
          <w:szCs w:val="28"/>
          <w:u w:val="single"/>
          <w:lang w:eastAsia="zh-HK"/>
        </w:rPr>
        <w:t>性別主流化</w:t>
      </w:r>
    </w:p>
    <w:p w:rsidR="00CA23C5" w:rsidRPr="00194FA2" w:rsidRDefault="00CA23C5" w:rsidP="00CA23C5">
      <w:pPr>
        <w:tabs>
          <w:tab w:val="left" w:pos="720"/>
          <w:tab w:val="left" w:pos="1440"/>
        </w:tabs>
        <w:snapToGrid w:val="0"/>
        <w:spacing w:line="360" w:lineRule="atLeast"/>
        <w:jc w:val="both"/>
        <w:rPr>
          <w:szCs w:val="28"/>
          <w:u w:val="single"/>
          <w:lang w:eastAsia="zh-HK"/>
        </w:rPr>
      </w:pPr>
    </w:p>
    <w:p w:rsidR="00CA23C5" w:rsidRPr="00194FA2" w:rsidRDefault="00CA23C5" w:rsidP="00CA23C5">
      <w:pPr>
        <w:tabs>
          <w:tab w:val="left" w:pos="720"/>
          <w:tab w:val="left" w:pos="1440"/>
        </w:tabs>
        <w:snapToGrid w:val="0"/>
        <w:spacing w:line="360" w:lineRule="atLeast"/>
        <w:jc w:val="both"/>
        <w:rPr>
          <w:szCs w:val="28"/>
          <w:lang w:eastAsia="zh-HK"/>
        </w:rPr>
      </w:pPr>
      <w:r w:rsidRPr="00194FA2">
        <w:rPr>
          <w:szCs w:val="28"/>
          <w:lang w:eastAsia="zh-HK"/>
        </w:rPr>
        <w:t>4.</w:t>
      </w:r>
      <w:r w:rsidRPr="00194FA2">
        <w:rPr>
          <w:szCs w:val="28"/>
          <w:lang w:eastAsia="zh-HK"/>
        </w:rPr>
        <w:tab/>
      </w:r>
      <w:r w:rsidRPr="00194FA2">
        <w:rPr>
          <w:szCs w:val="28"/>
          <w:lang w:eastAsia="zh-HK"/>
        </w:rPr>
        <w:tab/>
      </w:r>
      <w:r w:rsidRPr="00194FA2">
        <w:rPr>
          <w:szCs w:val="28"/>
          <w:lang w:eastAsia="zh-HK"/>
        </w:rPr>
        <w:t>香港特區政府重視性別主流化。在</w:t>
      </w:r>
      <w:r w:rsidRPr="00194FA2">
        <w:rPr>
          <w:szCs w:val="28"/>
          <w:lang w:eastAsia="zh-HK"/>
        </w:rPr>
        <w:t>2015</w:t>
      </w:r>
      <w:r w:rsidRPr="00194FA2">
        <w:rPr>
          <w:szCs w:val="28"/>
          <w:lang w:eastAsia="zh-HK"/>
        </w:rPr>
        <w:t>年施政報告中，政府接納婦委會的建議，從</w:t>
      </w:r>
      <w:r w:rsidRPr="00194FA2">
        <w:rPr>
          <w:szCs w:val="28"/>
          <w:lang w:eastAsia="zh-HK"/>
        </w:rPr>
        <w:t>2015-16</w:t>
      </w:r>
      <w:r w:rsidRPr="00194FA2">
        <w:rPr>
          <w:szCs w:val="28"/>
          <w:lang w:eastAsia="zh-HK"/>
        </w:rPr>
        <w:t>年開始，所有決策局和部門均須參考婦委會制定的性別主流化檢查清單，並在制訂政府主要政策和措施的過程中應用性別主流化。</w:t>
      </w:r>
      <w:r w:rsidRPr="00194FA2">
        <w:rPr>
          <w:szCs w:val="28"/>
          <w:lang w:eastAsia="zh-HK"/>
        </w:rPr>
        <w:t xml:space="preserve"> </w:t>
      </w:r>
    </w:p>
    <w:p w:rsidR="00CA23C5" w:rsidRPr="00194FA2" w:rsidRDefault="00CA23C5" w:rsidP="00CA23C5">
      <w:pPr>
        <w:tabs>
          <w:tab w:val="left" w:pos="720"/>
          <w:tab w:val="left" w:pos="1440"/>
        </w:tabs>
        <w:snapToGrid w:val="0"/>
        <w:spacing w:line="360" w:lineRule="atLeast"/>
        <w:jc w:val="both"/>
        <w:rPr>
          <w:szCs w:val="28"/>
          <w:u w:val="single"/>
          <w:lang w:eastAsia="zh-HK"/>
        </w:rPr>
      </w:pPr>
    </w:p>
    <w:p w:rsidR="00CA23C5" w:rsidRPr="00194FA2" w:rsidRDefault="00CA23C5" w:rsidP="00CA23C5">
      <w:pPr>
        <w:tabs>
          <w:tab w:val="left" w:pos="720"/>
          <w:tab w:val="left" w:pos="1440"/>
        </w:tabs>
        <w:snapToGrid w:val="0"/>
        <w:spacing w:line="360" w:lineRule="atLeast"/>
        <w:jc w:val="both"/>
        <w:rPr>
          <w:szCs w:val="28"/>
          <w:lang w:eastAsia="zh-HK"/>
        </w:rPr>
      </w:pPr>
      <w:r w:rsidRPr="00194FA2">
        <w:rPr>
          <w:szCs w:val="28"/>
          <w:lang w:eastAsia="zh-HK"/>
        </w:rPr>
        <w:t>5.</w:t>
      </w:r>
      <w:r w:rsidRPr="00194FA2">
        <w:rPr>
          <w:szCs w:val="28"/>
          <w:lang w:eastAsia="zh-HK"/>
        </w:rPr>
        <w:tab/>
      </w:r>
      <w:r w:rsidRPr="00194FA2">
        <w:rPr>
          <w:szCs w:val="28"/>
          <w:lang w:eastAsia="zh-HK"/>
        </w:rPr>
        <w:tab/>
      </w:r>
      <w:r w:rsidRPr="00194FA2">
        <w:rPr>
          <w:szCs w:val="28"/>
          <w:lang w:eastAsia="zh-HK"/>
        </w:rPr>
        <w:t>為配合政府內的性別主流化措施，婦委會協助香港特區政府於</w:t>
      </w:r>
      <w:r w:rsidRPr="00194FA2">
        <w:rPr>
          <w:szCs w:val="28"/>
          <w:lang w:eastAsia="zh-HK"/>
        </w:rPr>
        <w:t>2003</w:t>
      </w:r>
      <w:r w:rsidRPr="00194FA2">
        <w:rPr>
          <w:szCs w:val="28"/>
          <w:lang w:eastAsia="zh-HK"/>
        </w:rPr>
        <w:t>年成立性別課題聯絡人網絡。每個政策局和部門均委任了一名首長級公務員擔任聯絡／相關人員，以協助提升對性別課題的意識和理解，並在其工作範疇促進性別主流化的措施。我們在將性別課題聯絡人網絡由政府擴展至區議會、社會福利界的非政府組織及上市公司方面亦取得了相當的進展。</w:t>
      </w:r>
    </w:p>
    <w:p w:rsidR="00CA23C5" w:rsidRDefault="00CA23C5" w:rsidP="00CA23C5">
      <w:pPr>
        <w:tabs>
          <w:tab w:val="left" w:pos="720"/>
          <w:tab w:val="left" w:pos="1440"/>
        </w:tabs>
        <w:snapToGrid w:val="0"/>
        <w:spacing w:line="360" w:lineRule="atLeast"/>
        <w:jc w:val="both"/>
        <w:rPr>
          <w:szCs w:val="28"/>
          <w:u w:val="single"/>
          <w:lang w:eastAsia="zh-HK"/>
        </w:rPr>
      </w:pPr>
    </w:p>
    <w:p w:rsidR="00CA23C5" w:rsidRPr="00194FA2" w:rsidRDefault="00CA23C5" w:rsidP="00CA23C5">
      <w:pPr>
        <w:tabs>
          <w:tab w:val="left" w:pos="720"/>
          <w:tab w:val="left" w:pos="1440"/>
        </w:tabs>
        <w:snapToGrid w:val="0"/>
        <w:spacing w:line="360" w:lineRule="atLeast"/>
        <w:jc w:val="both"/>
        <w:rPr>
          <w:szCs w:val="28"/>
          <w:u w:val="single"/>
          <w:lang w:eastAsia="zh-HK"/>
        </w:rPr>
      </w:pPr>
      <w:r w:rsidRPr="00194FA2">
        <w:rPr>
          <w:szCs w:val="28"/>
          <w:u w:val="single"/>
          <w:lang w:eastAsia="zh-HK"/>
        </w:rPr>
        <w:lastRenderedPageBreak/>
        <w:t>自在人生自學計劃</w:t>
      </w:r>
    </w:p>
    <w:p w:rsidR="00CA23C5" w:rsidRPr="00194FA2" w:rsidRDefault="00CA23C5" w:rsidP="00CA23C5">
      <w:pPr>
        <w:tabs>
          <w:tab w:val="left" w:pos="720"/>
          <w:tab w:val="left" w:pos="1440"/>
        </w:tabs>
        <w:snapToGrid w:val="0"/>
        <w:spacing w:line="360" w:lineRule="atLeast"/>
        <w:jc w:val="both"/>
        <w:rPr>
          <w:szCs w:val="28"/>
          <w:u w:val="single"/>
          <w:lang w:eastAsia="zh-HK"/>
        </w:rPr>
      </w:pPr>
    </w:p>
    <w:p w:rsidR="00CA23C5" w:rsidRPr="00194FA2" w:rsidRDefault="00CA23C5" w:rsidP="00CA23C5">
      <w:pPr>
        <w:tabs>
          <w:tab w:val="left" w:pos="720"/>
          <w:tab w:val="left" w:pos="1440"/>
        </w:tabs>
        <w:snapToGrid w:val="0"/>
        <w:spacing w:line="360" w:lineRule="atLeast"/>
        <w:jc w:val="both"/>
        <w:rPr>
          <w:szCs w:val="28"/>
          <w:lang w:eastAsia="zh-HK"/>
        </w:rPr>
      </w:pPr>
      <w:r w:rsidRPr="00194FA2">
        <w:rPr>
          <w:szCs w:val="28"/>
          <w:lang w:eastAsia="zh-HK"/>
        </w:rPr>
        <w:t>6.</w:t>
      </w:r>
      <w:r w:rsidRPr="00194FA2">
        <w:rPr>
          <w:szCs w:val="28"/>
          <w:lang w:eastAsia="zh-HK"/>
        </w:rPr>
        <w:tab/>
      </w:r>
      <w:r w:rsidRPr="00194FA2">
        <w:rPr>
          <w:szCs w:val="28"/>
          <w:lang w:eastAsia="zh-HK"/>
        </w:rPr>
        <w:tab/>
      </w:r>
      <w:r w:rsidRPr="00194FA2">
        <w:rPr>
          <w:szCs w:val="28"/>
          <w:lang w:eastAsia="zh-HK"/>
        </w:rPr>
        <w:t>婦委會繼續推行</w:t>
      </w:r>
      <w:r w:rsidRPr="00B348F0">
        <w:rPr>
          <w:rFonts w:hint="eastAsia"/>
          <w:szCs w:val="28"/>
          <w:lang w:eastAsia="zh-HK"/>
        </w:rPr>
        <w:t>自在人生</w:t>
      </w:r>
      <w:r w:rsidRPr="00194FA2">
        <w:rPr>
          <w:szCs w:val="28"/>
          <w:lang w:eastAsia="zh-HK"/>
        </w:rPr>
        <w:t>自學計劃，一項專為女性而設的大型學習計劃。截至</w:t>
      </w:r>
      <w:r w:rsidRPr="00194FA2">
        <w:rPr>
          <w:szCs w:val="28"/>
          <w:lang w:eastAsia="zh-HK"/>
        </w:rPr>
        <w:t>2019</w:t>
      </w:r>
      <w:r w:rsidRPr="00194FA2">
        <w:rPr>
          <w:szCs w:val="28"/>
          <w:lang w:eastAsia="zh-HK"/>
        </w:rPr>
        <w:t>年</w:t>
      </w:r>
      <w:r w:rsidRPr="00194FA2">
        <w:rPr>
          <w:szCs w:val="28"/>
          <w:lang w:eastAsia="zh-HK"/>
        </w:rPr>
        <w:t>1</w:t>
      </w:r>
      <w:r w:rsidRPr="00194FA2">
        <w:rPr>
          <w:szCs w:val="28"/>
          <w:lang w:eastAsia="zh-HK"/>
        </w:rPr>
        <w:t>月，計劃錄得超過</w:t>
      </w:r>
      <w:r w:rsidRPr="00194FA2">
        <w:rPr>
          <w:szCs w:val="28"/>
          <w:lang w:eastAsia="zh-HK"/>
        </w:rPr>
        <w:t>103 000</w:t>
      </w:r>
      <w:r w:rsidRPr="00194FA2">
        <w:rPr>
          <w:szCs w:val="28"/>
          <w:lang w:eastAsia="zh-HK"/>
        </w:rPr>
        <w:t>的累積報讀人次。</w:t>
      </w:r>
    </w:p>
    <w:p w:rsidR="00CA23C5" w:rsidRPr="00194FA2" w:rsidRDefault="00CA23C5" w:rsidP="00CA23C5">
      <w:pPr>
        <w:tabs>
          <w:tab w:val="left" w:pos="720"/>
          <w:tab w:val="left" w:pos="1440"/>
        </w:tabs>
        <w:snapToGrid w:val="0"/>
        <w:spacing w:line="360" w:lineRule="atLeast"/>
        <w:jc w:val="both"/>
        <w:rPr>
          <w:szCs w:val="28"/>
          <w:lang w:eastAsia="zh-HK"/>
        </w:rPr>
      </w:pPr>
    </w:p>
    <w:p w:rsidR="00CA23C5" w:rsidRPr="00194FA2" w:rsidRDefault="00CA23C5" w:rsidP="00CA23C5">
      <w:pPr>
        <w:tabs>
          <w:tab w:val="left" w:pos="720"/>
          <w:tab w:val="left" w:pos="1440"/>
        </w:tabs>
        <w:snapToGrid w:val="0"/>
        <w:spacing w:line="360" w:lineRule="atLeast"/>
        <w:jc w:val="both"/>
        <w:rPr>
          <w:szCs w:val="28"/>
          <w:u w:val="single"/>
          <w:lang w:eastAsia="zh-HK"/>
        </w:rPr>
      </w:pPr>
      <w:r w:rsidRPr="00194FA2">
        <w:rPr>
          <w:szCs w:val="28"/>
          <w:u w:val="single"/>
          <w:lang w:eastAsia="zh-HK"/>
        </w:rPr>
        <w:t>公眾教育</w:t>
      </w:r>
    </w:p>
    <w:p w:rsidR="00CA23C5" w:rsidRPr="00194FA2" w:rsidRDefault="00CA23C5" w:rsidP="00CA23C5">
      <w:pPr>
        <w:tabs>
          <w:tab w:val="left" w:pos="720"/>
          <w:tab w:val="left" w:pos="1440"/>
        </w:tabs>
        <w:snapToGrid w:val="0"/>
        <w:spacing w:line="360" w:lineRule="atLeast"/>
        <w:jc w:val="both"/>
        <w:rPr>
          <w:szCs w:val="28"/>
          <w:u w:val="single"/>
          <w:lang w:eastAsia="zh-HK"/>
        </w:rPr>
      </w:pPr>
    </w:p>
    <w:p w:rsidR="00CA23C5" w:rsidRPr="008F62C0" w:rsidRDefault="00CA23C5" w:rsidP="00CA23C5">
      <w:pPr>
        <w:tabs>
          <w:tab w:val="left" w:pos="720"/>
          <w:tab w:val="left" w:pos="1440"/>
        </w:tabs>
        <w:snapToGrid w:val="0"/>
        <w:spacing w:line="360" w:lineRule="atLeast"/>
        <w:jc w:val="both"/>
        <w:rPr>
          <w:spacing w:val="-2"/>
          <w:szCs w:val="28"/>
          <w:lang w:eastAsia="zh-HK"/>
        </w:rPr>
      </w:pPr>
      <w:r w:rsidRPr="00194FA2">
        <w:rPr>
          <w:szCs w:val="28"/>
          <w:lang w:eastAsia="zh-HK"/>
        </w:rPr>
        <w:t>7.</w:t>
      </w:r>
      <w:r w:rsidRPr="00194FA2">
        <w:rPr>
          <w:szCs w:val="28"/>
          <w:lang w:eastAsia="zh-HK"/>
        </w:rPr>
        <w:tab/>
      </w:r>
      <w:r w:rsidRPr="00194FA2">
        <w:rPr>
          <w:szCs w:val="28"/>
          <w:lang w:eastAsia="zh-HK"/>
        </w:rPr>
        <w:tab/>
      </w:r>
      <w:r w:rsidRPr="00194FA2">
        <w:rPr>
          <w:szCs w:val="28"/>
          <w:lang w:eastAsia="zh-HK"/>
        </w:rPr>
        <w:t>為減少性別偏見及定型，婦委會定期推出公眾教育和宣傳計劃，包括國際婦女節慶祝酒會、製作電視特輯、及於</w:t>
      </w:r>
      <w:r w:rsidRPr="00194FA2">
        <w:rPr>
          <w:szCs w:val="28"/>
          <w:lang w:eastAsia="zh-HK"/>
        </w:rPr>
        <w:t>2012</w:t>
      </w:r>
      <w:r w:rsidRPr="00194FA2">
        <w:rPr>
          <w:szCs w:val="28"/>
          <w:lang w:eastAsia="zh-HK"/>
        </w:rPr>
        <w:t>和</w:t>
      </w:r>
      <w:r w:rsidRPr="00194FA2">
        <w:rPr>
          <w:szCs w:val="28"/>
          <w:lang w:eastAsia="zh-HK"/>
        </w:rPr>
        <w:t>2017</w:t>
      </w:r>
      <w:r w:rsidRPr="008F62C0">
        <w:rPr>
          <w:spacing w:val="-2"/>
          <w:szCs w:val="28"/>
          <w:lang w:eastAsia="zh-HK"/>
        </w:rPr>
        <w:t>年分別舉辦了以「凝聚婦女智慧</w:t>
      </w:r>
      <w:r w:rsidRPr="008F62C0">
        <w:rPr>
          <w:spacing w:val="-2"/>
          <w:szCs w:val="28"/>
          <w:lang w:eastAsia="zh-HK"/>
        </w:rPr>
        <w:t xml:space="preserve"> </w:t>
      </w:r>
      <w:r w:rsidRPr="008F62C0">
        <w:rPr>
          <w:spacing w:val="-2"/>
          <w:szCs w:val="28"/>
          <w:lang w:eastAsia="zh-HK"/>
        </w:rPr>
        <w:t>邁向美好未來」及「發揮婦女潛能</w:t>
      </w:r>
      <w:r w:rsidRPr="008F62C0">
        <w:rPr>
          <w:spacing w:val="-2"/>
          <w:szCs w:val="28"/>
          <w:lang w:eastAsia="zh-HK"/>
        </w:rPr>
        <w:t xml:space="preserve"> </w:t>
      </w:r>
      <w:r w:rsidRPr="008F62C0">
        <w:rPr>
          <w:spacing w:val="-2"/>
          <w:szCs w:val="28"/>
          <w:lang w:eastAsia="zh-HK"/>
        </w:rPr>
        <w:t>促進全面發展」為主題的大型研討會。兩次會議均吸引了超過</w:t>
      </w:r>
      <w:r w:rsidRPr="008F62C0">
        <w:rPr>
          <w:spacing w:val="-2"/>
          <w:szCs w:val="28"/>
          <w:lang w:eastAsia="zh-HK"/>
        </w:rPr>
        <w:t>500</w:t>
      </w:r>
      <w:r w:rsidRPr="008F62C0">
        <w:rPr>
          <w:spacing w:val="-2"/>
          <w:szCs w:val="28"/>
          <w:lang w:eastAsia="zh-HK"/>
        </w:rPr>
        <w:t>多名來自香港、內地和海外的參加者。</w:t>
      </w:r>
    </w:p>
    <w:p w:rsidR="005C4451" w:rsidRDefault="005C4451" w:rsidP="00CA23C5">
      <w:pPr>
        <w:tabs>
          <w:tab w:val="left" w:pos="720"/>
          <w:tab w:val="left" w:pos="1440"/>
        </w:tabs>
        <w:snapToGrid w:val="0"/>
        <w:spacing w:line="360" w:lineRule="atLeast"/>
        <w:jc w:val="both"/>
        <w:rPr>
          <w:szCs w:val="28"/>
          <w:lang w:eastAsia="zh-HK"/>
        </w:rPr>
        <w:sectPr w:rsidR="005C4451" w:rsidSect="00CA23C5">
          <w:footerReference w:type="default" r:id="rId24"/>
          <w:pgSz w:w="11906" w:h="16838"/>
          <w:pgMar w:top="1440" w:right="1800" w:bottom="1440" w:left="1800" w:header="720" w:footer="720" w:gutter="0"/>
          <w:pgNumType w:start="1"/>
          <w:cols w:space="425"/>
          <w:docGrid w:type="lines" w:linePitch="381"/>
        </w:sectPr>
      </w:pPr>
    </w:p>
    <w:p w:rsidR="005C4451" w:rsidRPr="008F1AC8" w:rsidRDefault="005C4451" w:rsidP="005C4451">
      <w:pPr>
        <w:autoSpaceDE w:val="0"/>
        <w:autoSpaceDN w:val="0"/>
        <w:spacing w:line="0" w:lineRule="atLeast"/>
        <w:ind w:right="193"/>
        <w:jc w:val="right"/>
        <w:outlineLvl w:val="0"/>
        <w:rPr>
          <w:rFonts w:cs="Times New Roman"/>
          <w:b/>
          <w:bCs/>
          <w:kern w:val="0"/>
          <w:szCs w:val="28"/>
          <w:lang w:val="zh-TW" w:bidi="zh-TW"/>
        </w:rPr>
      </w:pPr>
      <w:r w:rsidRPr="008F1AC8">
        <w:rPr>
          <w:rFonts w:cs="Times New Roman"/>
          <w:b/>
          <w:bCs/>
          <w:kern w:val="0"/>
          <w:szCs w:val="28"/>
          <w:lang w:val="zh-TW" w:bidi="zh-TW"/>
        </w:rPr>
        <w:lastRenderedPageBreak/>
        <w:t>附件</w:t>
      </w:r>
      <w:r w:rsidRPr="008F1AC8">
        <w:rPr>
          <w:rFonts w:cs="Times New Roman"/>
          <w:b/>
          <w:bCs/>
          <w:kern w:val="0"/>
          <w:szCs w:val="28"/>
          <w:lang w:val="zh-TW" w:bidi="zh-TW"/>
        </w:rPr>
        <w:t>6A</w:t>
      </w:r>
    </w:p>
    <w:p w:rsidR="005C4451" w:rsidRPr="008F1AC8" w:rsidRDefault="005C4451" w:rsidP="005C4451">
      <w:pPr>
        <w:autoSpaceDE w:val="0"/>
        <w:autoSpaceDN w:val="0"/>
        <w:spacing w:line="0" w:lineRule="atLeast"/>
        <w:ind w:right="193"/>
        <w:jc w:val="right"/>
        <w:outlineLvl w:val="0"/>
        <w:rPr>
          <w:rFonts w:cs="Times New Roman"/>
          <w:b/>
          <w:bCs/>
          <w:kern w:val="0"/>
          <w:szCs w:val="28"/>
          <w:lang w:val="zh-TW" w:bidi="zh-TW"/>
        </w:rPr>
      </w:pPr>
    </w:p>
    <w:p w:rsidR="005C4451" w:rsidRPr="008F1AC8" w:rsidRDefault="005C4451" w:rsidP="005C4451">
      <w:pPr>
        <w:autoSpaceDE w:val="0"/>
        <w:autoSpaceDN w:val="0"/>
        <w:spacing w:line="0" w:lineRule="atLeast"/>
        <w:jc w:val="center"/>
        <w:rPr>
          <w:rFonts w:cs="Times New Roman"/>
          <w:b/>
          <w:kern w:val="0"/>
          <w:szCs w:val="28"/>
          <w:lang w:val="zh-TW" w:bidi="zh-TW"/>
        </w:rPr>
      </w:pPr>
      <w:r w:rsidRPr="008F1AC8">
        <w:rPr>
          <w:rFonts w:cs="Times New Roman"/>
          <w:b/>
          <w:kern w:val="0"/>
          <w:szCs w:val="28"/>
          <w:lang w:val="zh-TW" w:bidi="zh-TW"/>
        </w:rPr>
        <w:t>有關就業、失業及就業不足情況的統計數字</w:t>
      </w:r>
    </w:p>
    <w:p w:rsidR="005C4451" w:rsidRPr="008F1AC8" w:rsidRDefault="005C4451" w:rsidP="005C4451">
      <w:pPr>
        <w:autoSpaceDE w:val="0"/>
        <w:autoSpaceDN w:val="0"/>
        <w:spacing w:line="0" w:lineRule="atLeast"/>
        <w:jc w:val="center"/>
        <w:rPr>
          <w:rFonts w:cs="Times New Roman"/>
          <w:b/>
          <w:kern w:val="0"/>
          <w:szCs w:val="28"/>
          <w:lang w:val="zh-TW" w:bidi="zh-TW"/>
        </w:rPr>
      </w:pPr>
    </w:p>
    <w:p w:rsidR="005C4451" w:rsidRPr="008F1AC8" w:rsidRDefault="005C4451" w:rsidP="005C4451">
      <w:pPr>
        <w:autoSpaceDE w:val="0"/>
        <w:autoSpaceDN w:val="0"/>
        <w:spacing w:line="0" w:lineRule="atLeast"/>
        <w:rPr>
          <w:rFonts w:cs="Times New Roman"/>
          <w:b/>
          <w:kern w:val="0"/>
          <w:szCs w:val="28"/>
          <w:lang w:val="zh-TW" w:bidi="zh-TW"/>
        </w:rPr>
      </w:pPr>
      <w:r w:rsidRPr="008F1AC8">
        <w:rPr>
          <w:rFonts w:cs="Times New Roman"/>
          <w:b/>
          <w:w w:val="95"/>
          <w:kern w:val="0"/>
          <w:szCs w:val="28"/>
          <w:lang w:val="zh-TW" w:bidi="zh-TW"/>
        </w:rPr>
        <w:t>就業情況</w:t>
      </w:r>
    </w:p>
    <w:p w:rsidR="005C4451" w:rsidRPr="008F1AC8" w:rsidRDefault="005C4451" w:rsidP="005C4451">
      <w:pPr>
        <w:autoSpaceDE w:val="0"/>
        <w:autoSpaceDN w:val="0"/>
        <w:spacing w:before="9"/>
        <w:rPr>
          <w:rFonts w:cs="Times New Roman"/>
          <w:b/>
          <w:kern w:val="0"/>
          <w:szCs w:val="28"/>
          <w:lang w:val="zh-TW" w:bidi="zh-TW"/>
        </w:rPr>
      </w:pPr>
    </w:p>
    <w:tbl>
      <w:tblPr>
        <w:tblStyle w:val="TableNormal"/>
        <w:tblW w:w="1061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44"/>
        <w:gridCol w:w="1477"/>
        <w:gridCol w:w="1478"/>
        <w:gridCol w:w="1478"/>
        <w:gridCol w:w="1477"/>
        <w:gridCol w:w="1478"/>
        <w:gridCol w:w="1478"/>
      </w:tblGrid>
      <w:tr w:rsidR="005C4451" w:rsidRPr="008F1AC8" w:rsidTr="00656420">
        <w:trPr>
          <w:trHeight w:val="800"/>
        </w:trPr>
        <w:tc>
          <w:tcPr>
            <w:tcW w:w="1744" w:type="dxa"/>
            <w:tcBorders>
              <w:left w:val="single" w:sz="12" w:space="0" w:color="auto"/>
              <w:bottom w:val="single" w:sz="12" w:space="0" w:color="000000"/>
              <w:right w:val="single" w:sz="4" w:space="0" w:color="000000"/>
            </w:tcBorders>
          </w:tcPr>
          <w:p w:rsidR="005C4451" w:rsidRPr="008F1AC8" w:rsidRDefault="005C4451" w:rsidP="00656420">
            <w:pPr>
              <w:spacing w:before="223"/>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期間</w:t>
            </w:r>
          </w:p>
        </w:tc>
        <w:tc>
          <w:tcPr>
            <w:tcW w:w="1477"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1987</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7"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p>
        </w:tc>
        <w:tc>
          <w:tcPr>
            <w:tcW w:w="1478"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1992</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7"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p>
        </w:tc>
        <w:tc>
          <w:tcPr>
            <w:tcW w:w="1478"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1997</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7" w:lineRule="exact"/>
              <w:jc w:val="center"/>
              <w:rPr>
                <w:rFonts w:ascii="Times New Roman" w:eastAsia="標楷體" w:hAnsi="Times New Roman" w:cs="Times New Roman"/>
                <w:b/>
                <w:sz w:val="28"/>
                <w:szCs w:val="28"/>
                <w:lang w:val="zh-TW" w:eastAsia="zh-HK" w:bidi="zh-TW"/>
              </w:rPr>
            </w:pPr>
            <w:r w:rsidRPr="008F1AC8">
              <w:rPr>
                <w:rFonts w:ascii="Times New Roman" w:eastAsia="標楷體" w:hAnsi="Times New Roman" w:cs="Times New Roman"/>
                <w:b/>
                <w:sz w:val="28"/>
                <w:szCs w:val="28"/>
                <w:lang w:val="zh-TW" w:bidi="zh-TW"/>
              </w:rPr>
              <w:t>第四季</w:t>
            </w:r>
          </w:p>
        </w:tc>
        <w:tc>
          <w:tcPr>
            <w:tcW w:w="1477"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2002</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7" w:lineRule="exact"/>
              <w:jc w:val="center"/>
              <w:rPr>
                <w:rFonts w:ascii="Times New Roman" w:eastAsia="標楷體" w:hAnsi="Times New Roman" w:cs="Times New Roman"/>
                <w:b/>
                <w:sz w:val="28"/>
                <w:szCs w:val="28"/>
                <w:lang w:val="zh-TW" w:eastAsia="zh-HK"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lang w:val="zh-TW" w:bidi="zh-TW"/>
              </w:rPr>
              <w:t>*</w:t>
            </w:r>
          </w:p>
        </w:tc>
        <w:tc>
          <w:tcPr>
            <w:tcW w:w="1478" w:type="dxa"/>
            <w:tcBorders>
              <w:left w:val="single" w:sz="4" w:space="0" w:color="000000"/>
              <w:bottom w:val="single" w:sz="12" w:space="0" w:color="000000"/>
              <w:right w:val="single" w:sz="6"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2009</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7" w:lineRule="exact"/>
              <w:jc w:val="center"/>
              <w:rPr>
                <w:rFonts w:ascii="Times New Roman" w:eastAsia="標楷體" w:hAnsi="Times New Roman" w:cs="Times New Roman"/>
                <w:b/>
                <w:sz w:val="28"/>
                <w:szCs w:val="28"/>
                <w:lang w:val="zh-TW" w:eastAsia="zh-HK"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vertAlign w:val="superscript"/>
                <w:lang w:val="zh-TW" w:bidi="zh-TW"/>
              </w:rPr>
              <w:t>^</w:t>
            </w:r>
          </w:p>
        </w:tc>
        <w:tc>
          <w:tcPr>
            <w:tcW w:w="1478" w:type="dxa"/>
            <w:tcBorders>
              <w:left w:val="single" w:sz="6" w:space="0" w:color="000000"/>
              <w:bottom w:val="single" w:sz="12"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eastAsia="zh-HK" w:bidi="zh-TW"/>
              </w:rPr>
              <w:t>2018</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22"/>
              <w:jc w:val="center"/>
              <w:rPr>
                <w:rFonts w:ascii="Times New Roman" w:eastAsia="標楷體" w:hAnsi="Times New Roman" w:cs="Times New Roman"/>
                <w:b/>
                <w:sz w:val="28"/>
                <w:szCs w:val="28"/>
                <w:lang w:val="zh-TW" w:eastAsia="zh-HK"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vertAlign w:val="superscript"/>
                <w:lang w:val="zh-TW" w:bidi="zh-TW"/>
              </w:rPr>
              <w:t>@</w:t>
            </w:r>
          </w:p>
        </w:tc>
      </w:tr>
      <w:tr w:rsidR="005C4451" w:rsidRPr="008F1AC8" w:rsidTr="00656420">
        <w:trPr>
          <w:trHeight w:val="351"/>
        </w:trPr>
        <w:tc>
          <w:tcPr>
            <w:tcW w:w="1744" w:type="dxa"/>
            <w:tcBorders>
              <w:left w:val="single" w:sz="12" w:space="0" w:color="auto"/>
              <w:bottom w:val="nil"/>
              <w:right w:val="single" w:sz="4" w:space="0" w:color="000000"/>
            </w:tcBorders>
            <w:vAlign w:val="center"/>
          </w:tcPr>
          <w:p w:rsidR="005C4451" w:rsidRPr="008F1AC8" w:rsidRDefault="005C4451" w:rsidP="005C4451">
            <w:pPr>
              <w:spacing w:before="22" w:line="244" w:lineRule="auto"/>
              <w:ind w:right="42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w w:val="95"/>
                <w:sz w:val="28"/>
                <w:szCs w:val="28"/>
                <w:lang w:val="zh-TW" w:bidi="zh-TW"/>
              </w:rPr>
              <w:t>勞動人口</w:t>
            </w:r>
          </w:p>
        </w:tc>
        <w:tc>
          <w:tcPr>
            <w:tcW w:w="1477" w:type="dxa"/>
            <w:tcBorders>
              <w:left w:val="single" w:sz="4" w:space="0" w:color="000000"/>
              <w:bottom w:val="nil"/>
              <w:right w:val="single" w:sz="4" w:space="0" w:color="000000"/>
            </w:tcBorders>
            <w:vAlign w:val="center"/>
          </w:tcPr>
          <w:p w:rsidR="005C4451" w:rsidRPr="008F1AC8" w:rsidRDefault="005C4451" w:rsidP="005C4451">
            <w:pPr>
              <w:spacing w:before="74"/>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782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8" w:type="dxa"/>
            <w:tcBorders>
              <w:left w:val="single" w:sz="4" w:space="0" w:color="000000"/>
              <w:bottom w:val="nil"/>
              <w:right w:val="single" w:sz="4" w:space="0" w:color="000000"/>
            </w:tcBorders>
            <w:vAlign w:val="center"/>
          </w:tcPr>
          <w:p w:rsidR="005C4451" w:rsidRPr="008F1AC8" w:rsidRDefault="005C4451" w:rsidP="005C4451">
            <w:pPr>
              <w:spacing w:before="74"/>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817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100</w:t>
            </w:r>
          </w:p>
        </w:tc>
        <w:tc>
          <w:tcPr>
            <w:tcW w:w="1478" w:type="dxa"/>
            <w:tcBorders>
              <w:left w:val="single" w:sz="4" w:space="0" w:color="000000"/>
              <w:bottom w:val="nil"/>
              <w:right w:val="single" w:sz="4" w:space="0" w:color="000000"/>
            </w:tcBorders>
            <w:vAlign w:val="center"/>
          </w:tcPr>
          <w:p w:rsidR="005C4451" w:rsidRPr="008F1AC8" w:rsidRDefault="005C4451" w:rsidP="005C4451">
            <w:pPr>
              <w:spacing w:before="74"/>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296</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7" w:type="dxa"/>
            <w:tcBorders>
              <w:left w:val="single" w:sz="4" w:space="0" w:color="000000"/>
              <w:bottom w:val="nil"/>
              <w:right w:val="single" w:sz="4" w:space="0" w:color="000000"/>
            </w:tcBorders>
            <w:vAlign w:val="center"/>
          </w:tcPr>
          <w:p w:rsidR="005C4451" w:rsidRPr="008F1AC8" w:rsidRDefault="005C4451" w:rsidP="005C4451">
            <w:pPr>
              <w:spacing w:before="74"/>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eastAsia="zh-HK" w:bidi="zh-TW"/>
              </w:rPr>
              <w:t>492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eastAsia="zh-HK" w:bidi="zh-TW"/>
              </w:rPr>
              <w:t>0</w:t>
            </w:r>
            <w:r w:rsidRPr="008F1AC8">
              <w:rPr>
                <w:rFonts w:ascii="Times New Roman" w:eastAsia="標楷體" w:hAnsi="Times New Roman" w:cs="Times New Roman"/>
                <w:sz w:val="28"/>
                <w:szCs w:val="28"/>
                <w:lang w:val="zh-TW" w:bidi="zh-TW"/>
              </w:rPr>
              <w:t>00</w:t>
            </w:r>
          </w:p>
        </w:tc>
        <w:tc>
          <w:tcPr>
            <w:tcW w:w="1478" w:type="dxa"/>
            <w:tcBorders>
              <w:left w:val="single" w:sz="4" w:space="0" w:color="000000"/>
              <w:bottom w:val="nil"/>
              <w:right w:val="single" w:sz="6" w:space="0" w:color="000000"/>
            </w:tcBorders>
            <w:vAlign w:val="center"/>
          </w:tcPr>
          <w:p w:rsidR="005C4451" w:rsidRPr="008F1AC8" w:rsidRDefault="005C4451" w:rsidP="005C4451">
            <w:pPr>
              <w:spacing w:before="74"/>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w:t>
            </w:r>
            <w:r w:rsidRPr="008F1AC8">
              <w:rPr>
                <w:rFonts w:ascii="Times New Roman" w:eastAsia="標楷體" w:hAnsi="Times New Roman" w:cs="Times New Roman"/>
                <w:sz w:val="28"/>
                <w:szCs w:val="28"/>
                <w:lang w:val="zh-TW" w:eastAsia="zh-HK" w:bidi="zh-TW"/>
              </w:rPr>
              <w:t>32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eastAsia="zh-HK" w:bidi="zh-TW"/>
              </w:rPr>
              <w:t>2</w:t>
            </w:r>
            <w:r w:rsidRPr="008F1AC8">
              <w:rPr>
                <w:rFonts w:ascii="Times New Roman" w:eastAsia="標楷體" w:hAnsi="Times New Roman" w:cs="Times New Roman"/>
                <w:sz w:val="28"/>
                <w:szCs w:val="28"/>
                <w:lang w:val="zh-TW" w:bidi="zh-TW"/>
              </w:rPr>
              <w:t>00</w:t>
            </w:r>
          </w:p>
        </w:tc>
        <w:tc>
          <w:tcPr>
            <w:tcW w:w="1478" w:type="dxa"/>
            <w:tcBorders>
              <w:left w:val="single" w:sz="6" w:space="0" w:color="000000"/>
              <w:bottom w:val="nil"/>
            </w:tcBorders>
            <w:vAlign w:val="center"/>
          </w:tcPr>
          <w:p w:rsidR="005C4451" w:rsidRPr="008F1AC8" w:rsidRDefault="005C4451" w:rsidP="005C4451">
            <w:pPr>
              <w:spacing w:before="74"/>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978</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000</w:t>
            </w:r>
          </w:p>
        </w:tc>
      </w:tr>
      <w:tr w:rsidR="005C4451" w:rsidRPr="008F1AC8" w:rsidTr="00656420">
        <w:trPr>
          <w:trHeight w:val="485"/>
        </w:trPr>
        <w:tc>
          <w:tcPr>
            <w:tcW w:w="1744" w:type="dxa"/>
            <w:tcBorders>
              <w:top w:val="nil"/>
              <w:left w:val="single" w:sz="12" w:space="0" w:color="auto"/>
              <w:bottom w:val="nil"/>
              <w:right w:val="single" w:sz="4" w:space="0" w:color="000000"/>
            </w:tcBorders>
            <w:vAlign w:val="center"/>
          </w:tcPr>
          <w:p w:rsidR="005C4451" w:rsidRPr="008F1AC8" w:rsidRDefault="005C4451" w:rsidP="005C4451">
            <w:pPr>
              <w:spacing w:before="22" w:line="244" w:lineRule="auto"/>
              <w:ind w:right="421"/>
              <w:jc w:val="center"/>
              <w:rPr>
                <w:rFonts w:ascii="Times New Roman" w:eastAsia="標楷體" w:hAnsi="Times New Roman" w:cs="Times New Roman"/>
                <w:w w:val="95"/>
                <w:sz w:val="28"/>
                <w:szCs w:val="28"/>
                <w:lang w:val="zh-TW" w:bidi="zh-TW"/>
              </w:rPr>
            </w:pPr>
            <w:r w:rsidRPr="008F1AC8">
              <w:rPr>
                <w:rFonts w:ascii="Times New Roman" w:eastAsia="標楷體" w:hAnsi="Times New Roman" w:cs="Times New Roman"/>
                <w:w w:val="95"/>
                <w:sz w:val="28"/>
                <w:szCs w:val="28"/>
                <w:lang w:val="zh-TW" w:bidi="zh-TW"/>
              </w:rPr>
              <w:t>就業人數</w:t>
            </w:r>
          </w:p>
        </w:tc>
        <w:tc>
          <w:tcPr>
            <w:tcW w:w="1477"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735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760</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221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300</w:t>
            </w:r>
          </w:p>
        </w:tc>
        <w:tc>
          <w:tcPr>
            <w:tcW w:w="1477"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241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400</w:t>
            </w:r>
          </w:p>
        </w:tc>
        <w:tc>
          <w:tcPr>
            <w:tcW w:w="1478" w:type="dxa"/>
            <w:tcBorders>
              <w:top w:val="nil"/>
              <w:left w:val="single" w:sz="4" w:space="0" w:color="000000"/>
              <w:bottom w:val="nil"/>
              <w:right w:val="single" w:sz="6" w:space="0" w:color="000000"/>
            </w:tcBorders>
            <w:vAlign w:val="center"/>
          </w:tcPr>
          <w:p w:rsidR="005C4451" w:rsidRPr="008F1AC8" w:rsidRDefault="005C4451" w:rsidP="005C4451">
            <w:pPr>
              <w:spacing w:before="77"/>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460</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800</w:t>
            </w:r>
          </w:p>
        </w:tc>
        <w:tc>
          <w:tcPr>
            <w:tcW w:w="1478" w:type="dxa"/>
            <w:tcBorders>
              <w:top w:val="nil"/>
              <w:left w:val="single" w:sz="6" w:space="0" w:color="000000"/>
              <w:bottom w:val="nil"/>
            </w:tcBorders>
            <w:vAlign w:val="center"/>
          </w:tcPr>
          <w:p w:rsidR="005C4451" w:rsidRPr="008F1AC8" w:rsidRDefault="005C4451" w:rsidP="005C4451">
            <w:pPr>
              <w:spacing w:before="77"/>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872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r>
      <w:tr w:rsidR="005C4451" w:rsidRPr="008F1AC8" w:rsidTr="00656420">
        <w:trPr>
          <w:trHeight w:val="385"/>
        </w:trPr>
        <w:tc>
          <w:tcPr>
            <w:tcW w:w="1744" w:type="dxa"/>
            <w:tcBorders>
              <w:top w:val="nil"/>
              <w:left w:val="single" w:sz="12" w:space="0" w:color="auto"/>
              <w:bottom w:val="nil"/>
              <w:right w:val="single" w:sz="4" w:space="0" w:color="000000"/>
            </w:tcBorders>
            <w:vAlign w:val="center"/>
          </w:tcPr>
          <w:p w:rsidR="005C4451" w:rsidRPr="008F1AC8" w:rsidRDefault="005C4451" w:rsidP="00656420">
            <w:pPr>
              <w:spacing w:before="2" w:line="244" w:lineRule="auto"/>
              <w:ind w:left="195" w:right="224"/>
              <w:rPr>
                <w:rFonts w:ascii="Times New Roman" w:eastAsia="標楷體" w:hAnsi="Times New Roman" w:cs="Times New Roman"/>
                <w:w w:val="95"/>
                <w:sz w:val="28"/>
                <w:szCs w:val="28"/>
                <w:lang w:val="zh-TW" w:bidi="zh-TW"/>
              </w:rPr>
            </w:pPr>
            <w:r w:rsidRPr="008F1AC8">
              <w:rPr>
                <w:rFonts w:ascii="Times New Roman" w:eastAsia="標楷體" w:hAnsi="Times New Roman" w:cs="Times New Roman"/>
                <w:sz w:val="28"/>
                <w:szCs w:val="28"/>
                <w:lang w:val="zh-TW" w:bidi="zh-TW"/>
              </w:rPr>
              <w:t>男性</w:t>
            </w:r>
          </w:p>
        </w:tc>
        <w:tc>
          <w:tcPr>
            <w:tcW w:w="1477" w:type="dxa"/>
            <w:tcBorders>
              <w:top w:val="nil"/>
              <w:left w:val="single" w:sz="4" w:space="0" w:color="000000"/>
              <w:bottom w:val="nil"/>
              <w:right w:val="single" w:sz="4" w:space="0" w:color="000000"/>
            </w:tcBorders>
            <w:vAlign w:val="center"/>
          </w:tcPr>
          <w:p w:rsidR="005C4451" w:rsidRPr="008F1AC8" w:rsidRDefault="005C4451" w:rsidP="005C4451">
            <w:pPr>
              <w:spacing w:before="79"/>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716</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spacing w:before="79"/>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750</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spacing w:before="79"/>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925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400</w:t>
            </w:r>
          </w:p>
        </w:tc>
        <w:tc>
          <w:tcPr>
            <w:tcW w:w="1477" w:type="dxa"/>
            <w:tcBorders>
              <w:top w:val="nil"/>
              <w:left w:val="single" w:sz="4" w:space="0" w:color="000000"/>
              <w:bottom w:val="nil"/>
              <w:right w:val="single" w:sz="4" w:space="0" w:color="000000"/>
            </w:tcBorders>
          </w:tcPr>
          <w:p w:rsidR="005C4451" w:rsidRPr="008F1AC8" w:rsidRDefault="005C4451" w:rsidP="005C4451">
            <w:pPr>
              <w:spacing w:before="79"/>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792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8" w:type="dxa"/>
            <w:tcBorders>
              <w:top w:val="nil"/>
              <w:left w:val="single" w:sz="4" w:space="0" w:color="000000"/>
              <w:bottom w:val="nil"/>
              <w:right w:val="single" w:sz="6" w:space="0" w:color="000000"/>
            </w:tcBorders>
          </w:tcPr>
          <w:p w:rsidR="005C4451" w:rsidRPr="008F1AC8" w:rsidRDefault="005C4451" w:rsidP="005C4451">
            <w:pPr>
              <w:spacing w:before="79"/>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821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6" w:space="0" w:color="000000"/>
              <w:bottom w:val="nil"/>
            </w:tcBorders>
            <w:vAlign w:val="center"/>
          </w:tcPr>
          <w:p w:rsidR="005C4451" w:rsidRPr="008F1AC8" w:rsidRDefault="005C4451" w:rsidP="005C4451">
            <w:pPr>
              <w:spacing w:before="79"/>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937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r>
      <w:tr w:rsidR="005C4451" w:rsidRPr="008F1AC8" w:rsidTr="00656420">
        <w:trPr>
          <w:trHeight w:val="368"/>
        </w:trPr>
        <w:tc>
          <w:tcPr>
            <w:tcW w:w="1744" w:type="dxa"/>
            <w:tcBorders>
              <w:top w:val="nil"/>
              <w:left w:val="single" w:sz="12" w:space="0" w:color="auto"/>
              <w:bottom w:val="nil"/>
              <w:right w:val="single" w:sz="4" w:space="0" w:color="000000"/>
            </w:tcBorders>
            <w:vAlign w:val="center"/>
          </w:tcPr>
          <w:p w:rsidR="005C4451" w:rsidRPr="008F1AC8" w:rsidRDefault="005C4451" w:rsidP="00656420">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女性</w:t>
            </w:r>
          </w:p>
        </w:tc>
        <w:tc>
          <w:tcPr>
            <w:tcW w:w="1477"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018</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295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7" w:type="dxa"/>
            <w:tcBorders>
              <w:top w:val="nil"/>
              <w:left w:val="single" w:sz="4" w:space="0" w:color="000000"/>
              <w:bottom w:val="nil"/>
              <w:right w:val="single" w:sz="4" w:space="0" w:color="000000"/>
            </w:tcBorders>
          </w:tcPr>
          <w:p w:rsidR="005C4451" w:rsidRPr="008F1AC8" w:rsidRDefault="005C4451" w:rsidP="005C4451">
            <w:pPr>
              <w:spacing w:before="77"/>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448</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6" w:space="0" w:color="000000"/>
            </w:tcBorders>
          </w:tcPr>
          <w:p w:rsidR="005C4451" w:rsidRPr="008F1AC8" w:rsidRDefault="005C4451" w:rsidP="005C4451">
            <w:pPr>
              <w:spacing w:before="77"/>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639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300</w:t>
            </w:r>
          </w:p>
        </w:tc>
        <w:tc>
          <w:tcPr>
            <w:tcW w:w="1478" w:type="dxa"/>
            <w:tcBorders>
              <w:top w:val="nil"/>
              <w:left w:val="single" w:sz="6" w:space="0" w:color="000000"/>
              <w:bottom w:val="nil"/>
            </w:tcBorders>
            <w:vAlign w:val="center"/>
          </w:tcPr>
          <w:p w:rsidR="005C4451" w:rsidRPr="008F1AC8" w:rsidRDefault="005C4451" w:rsidP="005C4451">
            <w:pPr>
              <w:spacing w:before="77"/>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935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000</w:t>
            </w:r>
          </w:p>
        </w:tc>
      </w:tr>
      <w:tr w:rsidR="005C4451" w:rsidRPr="008F1AC8" w:rsidTr="00656420">
        <w:trPr>
          <w:trHeight w:val="552"/>
        </w:trPr>
        <w:tc>
          <w:tcPr>
            <w:tcW w:w="1744" w:type="dxa"/>
            <w:tcBorders>
              <w:top w:val="nil"/>
              <w:left w:val="single" w:sz="12" w:space="0" w:color="auto"/>
              <w:bottom w:val="nil"/>
              <w:right w:val="single" w:sz="4" w:space="0" w:color="000000"/>
            </w:tcBorders>
            <w:vAlign w:val="center"/>
          </w:tcPr>
          <w:p w:rsidR="005C4451" w:rsidRPr="008F1AC8" w:rsidRDefault="005C4451" w:rsidP="00656420">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20</w:t>
            </w:r>
            <w:r w:rsidRPr="008F1AC8">
              <w:rPr>
                <w:rFonts w:ascii="Times New Roman" w:eastAsia="標楷體" w:hAnsi="Times New Roman" w:cs="Times New Roman"/>
                <w:sz w:val="28"/>
                <w:szCs w:val="28"/>
                <w:lang w:val="zh-TW" w:bidi="zh-TW"/>
              </w:rPr>
              <w:t>歲</w:t>
            </w:r>
          </w:p>
          <w:p w:rsidR="005C4451" w:rsidRPr="008F1AC8" w:rsidRDefault="005C4451" w:rsidP="00656420">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以下人士</w:t>
            </w:r>
          </w:p>
        </w:tc>
        <w:tc>
          <w:tcPr>
            <w:tcW w:w="1477" w:type="dxa"/>
            <w:tcBorders>
              <w:top w:val="nil"/>
              <w:left w:val="single" w:sz="4" w:space="0" w:color="000000"/>
              <w:bottom w:val="nil"/>
              <w:right w:val="single" w:sz="4" w:space="0" w:color="000000"/>
            </w:tcBorders>
            <w:vAlign w:val="center"/>
          </w:tcPr>
          <w:p w:rsidR="005C4451" w:rsidRPr="008F1AC8" w:rsidRDefault="005C4451" w:rsidP="005C4451">
            <w:pPr>
              <w:ind w:right="14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127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ind w:right="14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103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800</w:t>
            </w:r>
          </w:p>
        </w:tc>
        <w:tc>
          <w:tcPr>
            <w:tcW w:w="1478" w:type="dxa"/>
            <w:tcBorders>
              <w:top w:val="nil"/>
              <w:left w:val="single" w:sz="4" w:space="0" w:color="000000"/>
              <w:bottom w:val="nil"/>
              <w:right w:val="single" w:sz="4" w:space="0" w:color="000000"/>
            </w:tcBorders>
            <w:vAlign w:val="center"/>
          </w:tcPr>
          <w:p w:rsidR="005C4451" w:rsidRPr="008F1AC8" w:rsidRDefault="005C4451" w:rsidP="005C4451">
            <w:pPr>
              <w:ind w:right="14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84</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700</w:t>
            </w:r>
          </w:p>
        </w:tc>
        <w:tc>
          <w:tcPr>
            <w:tcW w:w="1477" w:type="dxa"/>
            <w:tcBorders>
              <w:top w:val="nil"/>
              <w:left w:val="single" w:sz="4" w:space="0" w:color="000000"/>
              <w:bottom w:val="nil"/>
              <w:right w:val="single" w:sz="4" w:space="0" w:color="000000"/>
            </w:tcBorders>
            <w:vAlign w:val="center"/>
          </w:tcPr>
          <w:p w:rsidR="005C4451" w:rsidRPr="008F1AC8" w:rsidRDefault="005C4451" w:rsidP="005C4451">
            <w:pPr>
              <w:ind w:right="14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53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6" w:space="0" w:color="000000"/>
            </w:tcBorders>
            <w:vAlign w:val="center"/>
          </w:tcPr>
          <w:p w:rsidR="005C4451" w:rsidRPr="008F1AC8" w:rsidRDefault="005C4451" w:rsidP="005C4451">
            <w:pPr>
              <w:ind w:right="14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c>
          <w:tcPr>
            <w:tcW w:w="1478" w:type="dxa"/>
            <w:tcBorders>
              <w:top w:val="nil"/>
              <w:left w:val="single" w:sz="6" w:space="0" w:color="000000"/>
              <w:bottom w:val="nil"/>
            </w:tcBorders>
            <w:vAlign w:val="center"/>
          </w:tcPr>
          <w:p w:rsidR="005C4451" w:rsidRPr="008F1AC8" w:rsidRDefault="005C4451" w:rsidP="005C4451">
            <w:pPr>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100</w:t>
            </w:r>
          </w:p>
        </w:tc>
      </w:tr>
      <w:tr w:rsidR="005C4451" w:rsidRPr="008F1AC8" w:rsidTr="00656420">
        <w:trPr>
          <w:trHeight w:val="819"/>
        </w:trPr>
        <w:tc>
          <w:tcPr>
            <w:tcW w:w="1744" w:type="dxa"/>
            <w:tcBorders>
              <w:top w:val="nil"/>
              <w:left w:val="single" w:sz="12" w:space="0" w:color="auto"/>
              <w:right w:val="single" w:sz="4" w:space="0" w:color="000000"/>
            </w:tcBorders>
            <w:vAlign w:val="center"/>
          </w:tcPr>
          <w:p w:rsidR="005C4451" w:rsidRPr="008F1AC8" w:rsidRDefault="005C4451" w:rsidP="00656420">
            <w:pPr>
              <w:spacing w:before="2" w:line="244" w:lineRule="auto"/>
              <w:ind w:left="195" w:right="224"/>
              <w:rPr>
                <w:rFonts w:ascii="Times New Roman" w:eastAsia="標楷體" w:hAnsi="Times New Roman" w:cs="Times New Roman"/>
                <w:sz w:val="28"/>
                <w:szCs w:val="28"/>
                <w:lang w:val="zh-TW" w:eastAsia="zh-HK" w:bidi="zh-TW"/>
              </w:rPr>
            </w:pPr>
            <w:r w:rsidRPr="008F1AC8">
              <w:rPr>
                <w:rFonts w:ascii="Times New Roman" w:eastAsia="標楷體" w:hAnsi="Times New Roman" w:cs="Times New Roman"/>
                <w:sz w:val="28"/>
                <w:szCs w:val="28"/>
                <w:lang w:val="zh-TW" w:bidi="zh-TW"/>
              </w:rPr>
              <w:t>60</w:t>
            </w:r>
            <w:r w:rsidRPr="008F1AC8">
              <w:rPr>
                <w:rFonts w:ascii="Times New Roman" w:eastAsia="標楷體" w:hAnsi="Times New Roman" w:cs="Times New Roman"/>
                <w:sz w:val="28"/>
                <w:szCs w:val="28"/>
                <w:lang w:val="zh-TW" w:bidi="zh-TW"/>
              </w:rPr>
              <w:t>歲或</w:t>
            </w:r>
          </w:p>
          <w:p w:rsidR="005C4451" w:rsidRPr="008F1AC8" w:rsidRDefault="005C4451" w:rsidP="00656420">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以上人士</w:t>
            </w:r>
          </w:p>
        </w:tc>
        <w:tc>
          <w:tcPr>
            <w:tcW w:w="1477" w:type="dxa"/>
            <w:tcBorders>
              <w:top w:val="nil"/>
              <w:left w:val="single" w:sz="4" w:space="0" w:color="000000"/>
              <w:right w:val="single" w:sz="4" w:space="0" w:color="000000"/>
            </w:tcBorders>
            <w:vAlign w:val="center"/>
          </w:tcPr>
          <w:p w:rsidR="005C4451" w:rsidRPr="008F1AC8" w:rsidRDefault="005C4451" w:rsidP="005C4451">
            <w:pPr>
              <w:ind w:right="148"/>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sz w:val="28"/>
                <w:szCs w:val="28"/>
                <w:lang w:val="zh-TW" w:bidi="zh-TW"/>
              </w:rPr>
              <w:t>172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8" w:type="dxa"/>
            <w:tcBorders>
              <w:top w:val="nil"/>
              <w:left w:val="single" w:sz="4" w:space="0" w:color="000000"/>
              <w:right w:val="single" w:sz="4" w:space="0" w:color="000000"/>
            </w:tcBorders>
            <w:vAlign w:val="center"/>
          </w:tcPr>
          <w:p w:rsidR="005C4451" w:rsidRPr="008F1AC8" w:rsidRDefault="005C4451" w:rsidP="005C4451">
            <w:pPr>
              <w:ind w:right="148"/>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sz w:val="28"/>
                <w:szCs w:val="28"/>
                <w:lang w:val="zh-TW" w:bidi="zh-TW"/>
              </w:rPr>
              <w:t>157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100</w:t>
            </w:r>
          </w:p>
        </w:tc>
        <w:tc>
          <w:tcPr>
            <w:tcW w:w="1478" w:type="dxa"/>
            <w:tcBorders>
              <w:top w:val="nil"/>
              <w:left w:val="single" w:sz="4" w:space="0" w:color="000000"/>
              <w:right w:val="single" w:sz="4" w:space="0" w:color="000000"/>
            </w:tcBorders>
            <w:vAlign w:val="center"/>
          </w:tcPr>
          <w:p w:rsidR="005C4451" w:rsidRPr="008F1AC8" w:rsidRDefault="005C4451" w:rsidP="005C4451">
            <w:pPr>
              <w:ind w:right="147"/>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sz w:val="28"/>
                <w:szCs w:val="28"/>
                <w:lang w:val="zh-TW" w:bidi="zh-TW"/>
              </w:rPr>
              <w:t>124</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7" w:type="dxa"/>
            <w:tcBorders>
              <w:top w:val="nil"/>
              <w:left w:val="single" w:sz="4" w:space="0" w:color="000000"/>
              <w:right w:val="single" w:sz="4" w:space="0" w:color="000000"/>
            </w:tcBorders>
            <w:vAlign w:val="center"/>
          </w:tcPr>
          <w:p w:rsidR="005C4451" w:rsidRPr="008F1AC8" w:rsidRDefault="005C4451" w:rsidP="005C4451">
            <w:pPr>
              <w:ind w:right="14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114</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100</w:t>
            </w:r>
          </w:p>
        </w:tc>
        <w:tc>
          <w:tcPr>
            <w:tcW w:w="1478" w:type="dxa"/>
            <w:tcBorders>
              <w:top w:val="nil"/>
              <w:left w:val="single" w:sz="4" w:space="0" w:color="000000"/>
              <w:right w:val="single" w:sz="6" w:space="0" w:color="000000"/>
            </w:tcBorders>
            <w:vAlign w:val="center"/>
          </w:tcPr>
          <w:p w:rsidR="005C4451" w:rsidRPr="008F1AC8" w:rsidRDefault="005C4451" w:rsidP="005C4451">
            <w:pPr>
              <w:ind w:right="13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161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8" w:type="dxa"/>
            <w:tcBorders>
              <w:top w:val="nil"/>
              <w:left w:val="single" w:sz="6" w:space="0" w:color="000000"/>
            </w:tcBorders>
            <w:vAlign w:val="center"/>
          </w:tcPr>
          <w:p w:rsidR="005C4451" w:rsidRPr="008F1AC8" w:rsidRDefault="005C4451" w:rsidP="005C4451">
            <w:pPr>
              <w:ind w:right="136"/>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sz w:val="28"/>
                <w:szCs w:val="28"/>
                <w:lang w:val="zh-TW" w:bidi="zh-TW"/>
              </w:rPr>
              <w:t>397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000</w:t>
            </w:r>
          </w:p>
        </w:tc>
      </w:tr>
    </w:tbl>
    <w:p w:rsidR="005C4451" w:rsidRPr="008F1AC8" w:rsidRDefault="005C4451" w:rsidP="005C4451">
      <w:pPr>
        <w:autoSpaceDE w:val="0"/>
        <w:autoSpaceDN w:val="0"/>
        <w:spacing w:before="3"/>
        <w:rPr>
          <w:rFonts w:cs="Times New Roman"/>
          <w:b/>
          <w:kern w:val="0"/>
          <w:szCs w:val="28"/>
          <w:lang w:val="zh-TW" w:bidi="zh-TW"/>
        </w:rPr>
      </w:pPr>
    </w:p>
    <w:p w:rsidR="005C4451" w:rsidRPr="008F1AC8" w:rsidRDefault="005C4451" w:rsidP="005C4451">
      <w:pPr>
        <w:autoSpaceDE w:val="0"/>
        <w:autoSpaceDN w:val="0"/>
        <w:spacing w:before="44"/>
        <w:rPr>
          <w:rFonts w:cs="Times New Roman"/>
          <w:b/>
          <w:kern w:val="0"/>
          <w:szCs w:val="28"/>
          <w:lang w:val="zh-TW" w:bidi="zh-TW"/>
        </w:rPr>
      </w:pPr>
      <w:r w:rsidRPr="008F1AC8">
        <w:rPr>
          <w:rFonts w:cs="Times New Roman"/>
          <w:b/>
          <w:w w:val="95"/>
          <w:kern w:val="0"/>
          <w:szCs w:val="28"/>
          <w:lang w:val="zh-TW" w:bidi="zh-TW"/>
        </w:rPr>
        <w:t>失業情況</w:t>
      </w:r>
    </w:p>
    <w:p w:rsidR="005C4451" w:rsidRPr="008F1AC8" w:rsidRDefault="005C4451" w:rsidP="005C4451">
      <w:pPr>
        <w:autoSpaceDE w:val="0"/>
        <w:autoSpaceDN w:val="0"/>
        <w:spacing w:before="8"/>
        <w:rPr>
          <w:rFonts w:cs="Times New Roman"/>
          <w:b/>
          <w:kern w:val="0"/>
          <w:szCs w:val="28"/>
          <w:lang w:val="zh-TW" w:bidi="zh-TW"/>
        </w:rPr>
      </w:pPr>
    </w:p>
    <w:tbl>
      <w:tblPr>
        <w:tblStyle w:val="TableNormal"/>
        <w:tblW w:w="1061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44"/>
        <w:gridCol w:w="1477"/>
        <w:gridCol w:w="1478"/>
        <w:gridCol w:w="1478"/>
        <w:gridCol w:w="1477"/>
        <w:gridCol w:w="1478"/>
        <w:gridCol w:w="1478"/>
      </w:tblGrid>
      <w:tr w:rsidR="005C4451" w:rsidRPr="008F1AC8" w:rsidTr="00656420">
        <w:trPr>
          <w:trHeight w:val="800"/>
        </w:trPr>
        <w:tc>
          <w:tcPr>
            <w:tcW w:w="1744" w:type="dxa"/>
            <w:tcBorders>
              <w:bottom w:val="single" w:sz="12" w:space="0" w:color="000000"/>
              <w:right w:val="single" w:sz="4" w:space="0" w:color="000000"/>
            </w:tcBorders>
          </w:tcPr>
          <w:p w:rsidR="005C4451" w:rsidRPr="008F1AC8" w:rsidRDefault="005C4451" w:rsidP="00656420">
            <w:pPr>
              <w:spacing w:before="2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期間</w:t>
            </w:r>
          </w:p>
        </w:tc>
        <w:tc>
          <w:tcPr>
            <w:tcW w:w="1477"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1987</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8"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p>
        </w:tc>
        <w:tc>
          <w:tcPr>
            <w:tcW w:w="1478"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1992</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8"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p>
        </w:tc>
        <w:tc>
          <w:tcPr>
            <w:tcW w:w="1478"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1997</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8" w:lineRule="exact"/>
              <w:jc w:val="center"/>
              <w:rPr>
                <w:rFonts w:ascii="Times New Roman" w:eastAsia="標楷體" w:hAnsi="Times New Roman" w:cs="Times New Roman"/>
                <w:b/>
                <w:sz w:val="28"/>
                <w:szCs w:val="28"/>
                <w:lang w:val="zh-TW" w:eastAsia="zh-HK" w:bidi="zh-TW"/>
              </w:rPr>
            </w:pPr>
            <w:r w:rsidRPr="008F1AC8">
              <w:rPr>
                <w:rFonts w:ascii="Times New Roman" w:eastAsia="標楷體" w:hAnsi="Times New Roman" w:cs="Times New Roman"/>
                <w:b/>
                <w:sz w:val="28"/>
                <w:szCs w:val="28"/>
                <w:lang w:val="zh-TW" w:bidi="zh-TW"/>
              </w:rPr>
              <w:t>第四季</w:t>
            </w:r>
          </w:p>
        </w:tc>
        <w:tc>
          <w:tcPr>
            <w:tcW w:w="1477" w:type="dxa"/>
            <w:tcBorders>
              <w:left w:val="single" w:sz="4" w:space="0" w:color="000000"/>
              <w:bottom w:val="single" w:sz="12" w:space="0" w:color="000000"/>
              <w:right w:val="single" w:sz="4"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2002</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8"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lang w:val="zh-TW" w:bidi="zh-TW"/>
              </w:rPr>
              <w:t>*</w:t>
            </w:r>
          </w:p>
        </w:tc>
        <w:tc>
          <w:tcPr>
            <w:tcW w:w="1478" w:type="dxa"/>
            <w:tcBorders>
              <w:left w:val="single" w:sz="4" w:space="0" w:color="000000"/>
              <w:bottom w:val="single" w:sz="12" w:space="0" w:color="000000"/>
              <w:right w:val="single" w:sz="6"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2009</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9" w:line="358"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vertAlign w:val="superscript"/>
                <w:lang w:val="zh-TW" w:bidi="zh-TW"/>
              </w:rPr>
              <w:t>^</w:t>
            </w:r>
          </w:p>
        </w:tc>
        <w:tc>
          <w:tcPr>
            <w:tcW w:w="1478" w:type="dxa"/>
            <w:tcBorders>
              <w:left w:val="single" w:sz="6" w:space="0" w:color="000000"/>
              <w:bottom w:val="single" w:sz="12" w:space="0" w:color="000000"/>
            </w:tcBorders>
          </w:tcPr>
          <w:p w:rsidR="005C4451" w:rsidRPr="008F1AC8" w:rsidRDefault="005C4451" w:rsidP="00656420">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eastAsia="zh-HK" w:bidi="zh-TW"/>
              </w:rPr>
              <w:t>2018</w:t>
            </w:r>
            <w:r w:rsidRPr="008F1AC8">
              <w:rPr>
                <w:rFonts w:ascii="Times New Roman" w:eastAsia="標楷體" w:hAnsi="Times New Roman" w:cs="Times New Roman"/>
                <w:b/>
                <w:sz w:val="28"/>
                <w:szCs w:val="28"/>
                <w:lang w:val="zh-TW" w:bidi="zh-TW"/>
              </w:rPr>
              <w:t>年</w:t>
            </w:r>
          </w:p>
          <w:p w:rsidR="005C4451" w:rsidRPr="008F1AC8" w:rsidRDefault="005C4451" w:rsidP="00656420">
            <w:pPr>
              <w:spacing w:before="21"/>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vertAlign w:val="superscript"/>
                <w:lang w:val="zh-TW" w:bidi="zh-TW"/>
              </w:rPr>
              <w:t>@</w:t>
            </w:r>
          </w:p>
        </w:tc>
      </w:tr>
      <w:tr w:rsidR="005C4451" w:rsidRPr="008F1AC8" w:rsidTr="00656420">
        <w:trPr>
          <w:trHeight w:val="435"/>
        </w:trPr>
        <w:tc>
          <w:tcPr>
            <w:tcW w:w="1744" w:type="dxa"/>
            <w:tcBorders>
              <w:bottom w:val="nil"/>
              <w:right w:val="single" w:sz="4" w:space="0" w:color="000000"/>
            </w:tcBorders>
          </w:tcPr>
          <w:p w:rsidR="005C4451" w:rsidRPr="008F1AC8" w:rsidRDefault="005C4451" w:rsidP="005C4451">
            <w:pPr>
              <w:spacing w:before="21" w:line="244" w:lineRule="auto"/>
              <w:ind w:right="421"/>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失業人數</w:t>
            </w:r>
          </w:p>
        </w:tc>
        <w:tc>
          <w:tcPr>
            <w:tcW w:w="1477" w:type="dxa"/>
            <w:tcBorders>
              <w:left w:val="single" w:sz="4" w:space="0" w:color="000000"/>
              <w:bottom w:val="nil"/>
              <w:right w:val="single" w:sz="4" w:space="0" w:color="000000"/>
            </w:tcBorders>
            <w:vAlign w:val="center"/>
          </w:tcPr>
          <w:p w:rsidR="005C4451" w:rsidRPr="008F1AC8" w:rsidRDefault="005C4451" w:rsidP="005104C7">
            <w:pPr>
              <w:spacing w:before="7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700</w:t>
            </w:r>
          </w:p>
        </w:tc>
        <w:tc>
          <w:tcPr>
            <w:tcW w:w="1478" w:type="dxa"/>
            <w:tcBorders>
              <w:left w:val="single" w:sz="4" w:space="0" w:color="000000"/>
              <w:bottom w:val="nil"/>
              <w:right w:val="single" w:sz="4" w:space="0" w:color="000000"/>
            </w:tcBorders>
            <w:vAlign w:val="center"/>
          </w:tcPr>
          <w:p w:rsidR="005C4451" w:rsidRPr="008F1AC8" w:rsidRDefault="005C4451" w:rsidP="005104C7">
            <w:pPr>
              <w:spacing w:before="7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56</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left w:val="single" w:sz="4" w:space="0" w:color="000000"/>
              <w:bottom w:val="nil"/>
              <w:right w:val="single" w:sz="4" w:space="0" w:color="000000"/>
            </w:tcBorders>
            <w:vAlign w:val="center"/>
          </w:tcPr>
          <w:p w:rsidR="005C4451" w:rsidRPr="008F1AC8" w:rsidRDefault="005C4451" w:rsidP="005104C7">
            <w:pPr>
              <w:spacing w:before="7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75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c>
          <w:tcPr>
            <w:tcW w:w="1477" w:type="dxa"/>
            <w:tcBorders>
              <w:left w:val="single" w:sz="4" w:space="0" w:color="000000"/>
              <w:bottom w:val="nil"/>
              <w:right w:val="single" w:sz="4" w:space="0" w:color="000000"/>
            </w:tcBorders>
            <w:vAlign w:val="center"/>
          </w:tcPr>
          <w:p w:rsidR="005C4451" w:rsidRPr="008F1AC8" w:rsidRDefault="005C4451" w:rsidP="005104C7">
            <w:pPr>
              <w:spacing w:before="72"/>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250</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c>
          <w:tcPr>
            <w:tcW w:w="1478" w:type="dxa"/>
            <w:tcBorders>
              <w:left w:val="single" w:sz="4" w:space="0" w:color="000000"/>
              <w:bottom w:val="nil"/>
              <w:right w:val="single" w:sz="6" w:space="0" w:color="000000"/>
            </w:tcBorders>
            <w:vAlign w:val="center"/>
          </w:tcPr>
          <w:p w:rsidR="005C4451" w:rsidRPr="008F1AC8" w:rsidRDefault="005C4451" w:rsidP="005104C7">
            <w:pPr>
              <w:spacing w:before="72"/>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171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400</w:t>
            </w:r>
          </w:p>
        </w:tc>
        <w:tc>
          <w:tcPr>
            <w:tcW w:w="1478" w:type="dxa"/>
            <w:tcBorders>
              <w:left w:val="single" w:sz="6" w:space="0" w:color="000000"/>
              <w:bottom w:val="nil"/>
            </w:tcBorders>
            <w:vAlign w:val="center"/>
          </w:tcPr>
          <w:p w:rsidR="005C4451" w:rsidRPr="008F1AC8" w:rsidRDefault="005C4451" w:rsidP="005104C7">
            <w:pPr>
              <w:spacing w:before="72"/>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105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400</w:t>
            </w:r>
          </w:p>
        </w:tc>
      </w:tr>
      <w:tr w:rsidR="005C4451" w:rsidRPr="008F1AC8" w:rsidTr="00656420">
        <w:trPr>
          <w:trHeight w:val="385"/>
        </w:trPr>
        <w:tc>
          <w:tcPr>
            <w:tcW w:w="1744" w:type="dxa"/>
            <w:tcBorders>
              <w:top w:val="nil"/>
              <w:bottom w:val="nil"/>
              <w:right w:val="single" w:sz="4" w:space="0" w:color="000000"/>
            </w:tcBorders>
            <w:vAlign w:val="center"/>
          </w:tcPr>
          <w:p w:rsidR="005C4451" w:rsidRPr="008F1AC8" w:rsidRDefault="005C4451" w:rsidP="00656420">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男性</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spacing w:before="7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spacing w:before="7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35</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spacing w:before="7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46</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100</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spacing w:before="72"/>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159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6" w:space="0" w:color="000000"/>
            </w:tcBorders>
            <w:vAlign w:val="center"/>
          </w:tcPr>
          <w:p w:rsidR="005C4451" w:rsidRPr="008F1AC8" w:rsidRDefault="005C4451" w:rsidP="005104C7">
            <w:pPr>
              <w:spacing w:before="72"/>
              <w:ind w:rightChars="73" w:right="20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104</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800</w:t>
            </w:r>
          </w:p>
        </w:tc>
        <w:tc>
          <w:tcPr>
            <w:tcW w:w="1478" w:type="dxa"/>
            <w:tcBorders>
              <w:top w:val="nil"/>
              <w:left w:val="single" w:sz="6" w:space="0" w:color="000000"/>
              <w:bottom w:val="nil"/>
            </w:tcBorders>
            <w:vAlign w:val="center"/>
          </w:tcPr>
          <w:p w:rsidR="005C4451" w:rsidRPr="008F1AC8" w:rsidRDefault="005C4451" w:rsidP="005104C7">
            <w:pPr>
              <w:spacing w:before="72"/>
              <w:ind w:rightChars="42" w:right="11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62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r>
      <w:tr w:rsidR="005C4451" w:rsidRPr="008F1AC8" w:rsidTr="00656420">
        <w:trPr>
          <w:trHeight w:val="435"/>
        </w:trPr>
        <w:tc>
          <w:tcPr>
            <w:tcW w:w="1744" w:type="dxa"/>
            <w:tcBorders>
              <w:top w:val="nil"/>
              <w:bottom w:val="nil"/>
              <w:right w:val="single" w:sz="4" w:space="0" w:color="000000"/>
            </w:tcBorders>
            <w:vAlign w:val="center"/>
          </w:tcPr>
          <w:p w:rsidR="005C4451" w:rsidRPr="008F1AC8" w:rsidRDefault="005C4451" w:rsidP="00656420">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女性</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91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8" w:type="dxa"/>
            <w:tcBorders>
              <w:top w:val="nil"/>
              <w:left w:val="single" w:sz="4" w:space="0" w:color="000000"/>
              <w:bottom w:val="nil"/>
              <w:right w:val="single" w:sz="6" w:space="0" w:color="000000"/>
            </w:tcBorders>
            <w:vAlign w:val="center"/>
          </w:tcPr>
          <w:p w:rsidR="005C4451" w:rsidRPr="008F1AC8" w:rsidRDefault="005C4451" w:rsidP="005104C7">
            <w:pPr>
              <w:ind w:rightChars="73" w:right="20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66</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c>
          <w:tcPr>
            <w:tcW w:w="1478" w:type="dxa"/>
            <w:tcBorders>
              <w:top w:val="nil"/>
              <w:left w:val="single" w:sz="6" w:space="0" w:color="000000"/>
              <w:bottom w:val="nil"/>
            </w:tcBorders>
            <w:vAlign w:val="center"/>
          </w:tcPr>
          <w:p w:rsidR="005C4451" w:rsidRPr="008F1AC8" w:rsidRDefault="005C4451" w:rsidP="005104C7">
            <w:pPr>
              <w:ind w:rightChars="42" w:right="11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r>
      <w:tr w:rsidR="005C4451" w:rsidRPr="008F1AC8" w:rsidTr="00656420">
        <w:trPr>
          <w:trHeight w:val="770"/>
        </w:trPr>
        <w:tc>
          <w:tcPr>
            <w:tcW w:w="1744" w:type="dxa"/>
            <w:tcBorders>
              <w:top w:val="nil"/>
              <w:bottom w:val="nil"/>
              <w:right w:val="single" w:sz="4" w:space="0" w:color="000000"/>
            </w:tcBorders>
          </w:tcPr>
          <w:p w:rsidR="005C4451" w:rsidRPr="008F1AC8" w:rsidRDefault="005C4451" w:rsidP="00656420">
            <w:pPr>
              <w:spacing w:before="8" w:line="244" w:lineRule="auto"/>
              <w:ind w:left="195" w:right="175"/>
              <w:jc w:val="both"/>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20</w:t>
            </w:r>
            <w:r w:rsidRPr="008F1AC8">
              <w:rPr>
                <w:rFonts w:ascii="Times New Roman" w:eastAsia="標楷體" w:hAnsi="Times New Roman" w:cs="Times New Roman"/>
                <w:sz w:val="28"/>
                <w:szCs w:val="28"/>
                <w:lang w:val="zh-TW" w:bidi="zh-TW"/>
              </w:rPr>
              <w:t>歲</w:t>
            </w:r>
          </w:p>
          <w:p w:rsidR="005C4451" w:rsidRPr="008F1AC8" w:rsidRDefault="005C4451" w:rsidP="00656420">
            <w:pPr>
              <w:spacing w:before="8" w:line="244" w:lineRule="auto"/>
              <w:ind w:left="195" w:right="175"/>
              <w:jc w:val="both"/>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以下人士</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8</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400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8</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8" w:type="dxa"/>
            <w:tcBorders>
              <w:top w:val="nil"/>
              <w:left w:val="single" w:sz="4" w:space="0" w:color="000000"/>
              <w:bottom w:val="nil"/>
              <w:right w:val="single" w:sz="6" w:space="0" w:color="000000"/>
            </w:tcBorders>
            <w:vAlign w:val="center"/>
          </w:tcPr>
          <w:p w:rsidR="005C4451" w:rsidRPr="008F1AC8" w:rsidRDefault="005C4451" w:rsidP="005104C7">
            <w:pPr>
              <w:ind w:rightChars="73" w:right="20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9</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800</w:t>
            </w:r>
          </w:p>
        </w:tc>
        <w:tc>
          <w:tcPr>
            <w:tcW w:w="1478" w:type="dxa"/>
            <w:tcBorders>
              <w:top w:val="nil"/>
              <w:left w:val="single" w:sz="6" w:space="0" w:color="000000"/>
              <w:bottom w:val="nil"/>
            </w:tcBorders>
            <w:vAlign w:val="center"/>
          </w:tcPr>
          <w:p w:rsidR="005C4451" w:rsidRPr="008F1AC8" w:rsidRDefault="005C4451" w:rsidP="005104C7">
            <w:pPr>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000</w:t>
            </w:r>
          </w:p>
        </w:tc>
      </w:tr>
      <w:tr w:rsidR="005C4451" w:rsidRPr="008F1AC8" w:rsidTr="00656420">
        <w:trPr>
          <w:trHeight w:val="736"/>
        </w:trPr>
        <w:tc>
          <w:tcPr>
            <w:tcW w:w="1744" w:type="dxa"/>
            <w:tcBorders>
              <w:top w:val="nil"/>
              <w:bottom w:val="nil"/>
              <w:right w:val="single" w:sz="4" w:space="0" w:color="000000"/>
            </w:tcBorders>
          </w:tcPr>
          <w:p w:rsidR="005C4451" w:rsidRPr="008F1AC8" w:rsidRDefault="005C4451" w:rsidP="00656420">
            <w:pPr>
              <w:spacing w:before="8" w:line="244" w:lineRule="auto"/>
              <w:ind w:left="195" w:right="175"/>
              <w:jc w:val="both"/>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60</w:t>
            </w:r>
            <w:r w:rsidRPr="008F1AC8">
              <w:rPr>
                <w:rFonts w:ascii="Times New Roman" w:eastAsia="標楷體" w:hAnsi="Times New Roman" w:cs="Times New Roman"/>
                <w:sz w:val="28"/>
                <w:szCs w:val="28"/>
                <w:lang w:val="zh-TW" w:bidi="zh-TW"/>
              </w:rPr>
              <w:t>歲或</w:t>
            </w:r>
          </w:p>
          <w:p w:rsidR="005C4451" w:rsidRPr="008F1AC8" w:rsidRDefault="005C4451" w:rsidP="00656420">
            <w:pPr>
              <w:spacing w:before="8" w:line="244" w:lineRule="auto"/>
              <w:ind w:left="195" w:right="175"/>
              <w:jc w:val="both"/>
              <w:rPr>
                <w:rFonts w:ascii="Times New Roman" w:eastAsia="標楷體" w:hAnsi="Times New Roman" w:cs="Times New Roman"/>
                <w:w w:val="95"/>
                <w:sz w:val="28"/>
                <w:szCs w:val="28"/>
                <w:lang w:val="zh-TW" w:bidi="zh-TW"/>
              </w:rPr>
            </w:pPr>
            <w:r w:rsidRPr="008F1AC8">
              <w:rPr>
                <w:rFonts w:ascii="Times New Roman" w:eastAsia="標楷體" w:hAnsi="Times New Roman" w:cs="Times New Roman"/>
                <w:sz w:val="28"/>
                <w:szCs w:val="28"/>
                <w:lang w:val="zh-TW" w:bidi="zh-TW"/>
              </w:rPr>
              <w:t>以上人士</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700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500</w:t>
            </w:r>
          </w:p>
        </w:tc>
        <w:tc>
          <w:tcPr>
            <w:tcW w:w="1478" w:type="dxa"/>
            <w:tcBorders>
              <w:top w:val="nil"/>
              <w:left w:val="single" w:sz="4" w:space="0" w:color="000000"/>
              <w:bottom w:val="nil"/>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300</w:t>
            </w:r>
          </w:p>
        </w:tc>
        <w:tc>
          <w:tcPr>
            <w:tcW w:w="1477" w:type="dxa"/>
            <w:tcBorders>
              <w:top w:val="nil"/>
              <w:left w:val="single" w:sz="4" w:space="0" w:color="000000"/>
              <w:bottom w:val="nil"/>
              <w:right w:val="single" w:sz="4" w:space="0" w:color="000000"/>
            </w:tcBorders>
            <w:vAlign w:val="center"/>
          </w:tcPr>
          <w:p w:rsidR="005C4451" w:rsidRPr="008F1AC8" w:rsidRDefault="005C4451" w:rsidP="005104C7">
            <w:pPr>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900</w:t>
            </w:r>
          </w:p>
        </w:tc>
        <w:tc>
          <w:tcPr>
            <w:tcW w:w="1478" w:type="dxa"/>
            <w:tcBorders>
              <w:top w:val="nil"/>
              <w:left w:val="single" w:sz="4" w:space="0" w:color="000000"/>
              <w:bottom w:val="nil"/>
              <w:right w:val="single" w:sz="6" w:space="0" w:color="000000"/>
            </w:tcBorders>
            <w:vAlign w:val="center"/>
          </w:tcPr>
          <w:p w:rsidR="005C4451" w:rsidRPr="008F1AC8" w:rsidRDefault="005C4451" w:rsidP="005104C7">
            <w:pPr>
              <w:ind w:rightChars="73" w:right="20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200</w:t>
            </w:r>
          </w:p>
        </w:tc>
        <w:tc>
          <w:tcPr>
            <w:tcW w:w="1478" w:type="dxa"/>
            <w:tcBorders>
              <w:top w:val="nil"/>
              <w:left w:val="single" w:sz="6" w:space="0" w:color="000000"/>
              <w:bottom w:val="nil"/>
            </w:tcBorders>
            <w:vAlign w:val="center"/>
          </w:tcPr>
          <w:p w:rsidR="005C4451" w:rsidRPr="008F1AC8" w:rsidRDefault="005C4451" w:rsidP="005104C7">
            <w:pPr>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7</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600</w:t>
            </w:r>
          </w:p>
        </w:tc>
      </w:tr>
      <w:tr w:rsidR="005C4451" w:rsidRPr="008F1AC8" w:rsidTr="00656420">
        <w:trPr>
          <w:trHeight w:val="804"/>
        </w:trPr>
        <w:tc>
          <w:tcPr>
            <w:tcW w:w="1744" w:type="dxa"/>
            <w:tcBorders>
              <w:top w:val="nil"/>
              <w:right w:val="single" w:sz="4" w:space="0" w:color="000000"/>
            </w:tcBorders>
          </w:tcPr>
          <w:p w:rsidR="00656420" w:rsidRDefault="005C4451" w:rsidP="00656420">
            <w:pPr>
              <w:spacing w:before="9" w:line="359" w:lineRule="exact"/>
              <w:rPr>
                <w:rFonts w:ascii="Times New Roman" w:eastAsia="標楷體" w:hAnsi="Times New Roman" w:cs="Times New Roman"/>
                <w:sz w:val="28"/>
                <w:szCs w:val="28"/>
                <w:lang w:val="zh-TW" w:eastAsia="zh-TW" w:bidi="zh-TW"/>
              </w:rPr>
            </w:pPr>
            <w:r w:rsidRPr="008F1AC8">
              <w:rPr>
                <w:rFonts w:ascii="Times New Roman" w:eastAsia="標楷體" w:hAnsi="Times New Roman" w:cs="Times New Roman"/>
                <w:sz w:val="28"/>
                <w:szCs w:val="28"/>
                <w:lang w:val="zh-TW" w:eastAsia="zh-TW" w:bidi="zh-TW"/>
              </w:rPr>
              <w:t>經季節性</w:t>
            </w:r>
          </w:p>
          <w:p w:rsidR="005C4451" w:rsidRPr="008F1AC8" w:rsidRDefault="005C4451" w:rsidP="00656420">
            <w:pPr>
              <w:spacing w:before="9" w:line="359" w:lineRule="exact"/>
              <w:rPr>
                <w:rFonts w:ascii="Times New Roman" w:eastAsia="標楷體" w:hAnsi="Times New Roman" w:cs="Times New Roman"/>
                <w:sz w:val="28"/>
                <w:szCs w:val="28"/>
                <w:lang w:val="zh-TW" w:eastAsia="zh-HK" w:bidi="zh-TW"/>
              </w:rPr>
            </w:pPr>
            <w:r w:rsidRPr="008F1AC8">
              <w:rPr>
                <w:rFonts w:ascii="Times New Roman" w:eastAsia="標楷體" w:hAnsi="Times New Roman" w:cs="Times New Roman"/>
                <w:sz w:val="28"/>
                <w:szCs w:val="28"/>
                <w:lang w:val="zh-TW" w:eastAsia="zh-TW" w:bidi="zh-TW"/>
              </w:rPr>
              <w:t>調整失業率</w:t>
            </w:r>
            <w:r w:rsidRPr="008F1AC8">
              <w:rPr>
                <w:rFonts w:ascii="Times New Roman" w:eastAsia="標楷體" w:hAnsi="Times New Roman" w:cs="Times New Roman"/>
                <w:sz w:val="28"/>
                <w:szCs w:val="28"/>
                <w:vertAlign w:val="superscript"/>
                <w:lang w:val="zh-TW" w:eastAsia="zh-TW" w:bidi="zh-TW"/>
              </w:rPr>
              <w:t>#</w:t>
            </w:r>
          </w:p>
        </w:tc>
        <w:tc>
          <w:tcPr>
            <w:tcW w:w="1477" w:type="dxa"/>
            <w:tcBorders>
              <w:top w:val="nil"/>
              <w:left w:val="single" w:sz="4" w:space="0" w:color="000000"/>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1.7%</w:t>
            </w:r>
          </w:p>
        </w:tc>
        <w:tc>
          <w:tcPr>
            <w:tcW w:w="1478" w:type="dxa"/>
            <w:tcBorders>
              <w:top w:val="nil"/>
              <w:left w:val="single" w:sz="4" w:space="0" w:color="000000"/>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2.4%</w:t>
            </w:r>
          </w:p>
        </w:tc>
        <w:tc>
          <w:tcPr>
            <w:tcW w:w="1478" w:type="dxa"/>
            <w:tcBorders>
              <w:top w:val="nil"/>
              <w:left w:val="single" w:sz="4" w:space="0" w:color="000000"/>
              <w:right w:val="single" w:sz="4" w:space="0" w:color="000000"/>
            </w:tcBorders>
            <w:vAlign w:val="center"/>
          </w:tcPr>
          <w:p w:rsidR="005C4451" w:rsidRPr="008F1AC8" w:rsidRDefault="005C4451" w:rsidP="005104C7">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2.2%</w:t>
            </w:r>
          </w:p>
        </w:tc>
        <w:tc>
          <w:tcPr>
            <w:tcW w:w="1477" w:type="dxa"/>
            <w:tcBorders>
              <w:top w:val="nil"/>
              <w:left w:val="single" w:sz="4" w:space="0" w:color="000000"/>
              <w:right w:val="single" w:sz="4" w:space="0" w:color="000000"/>
            </w:tcBorders>
            <w:vAlign w:val="center"/>
          </w:tcPr>
          <w:p w:rsidR="005C4451" w:rsidRPr="008F1AC8" w:rsidRDefault="005C4451" w:rsidP="005104C7">
            <w:pPr>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7.4%</w:t>
            </w:r>
          </w:p>
        </w:tc>
        <w:tc>
          <w:tcPr>
            <w:tcW w:w="1478" w:type="dxa"/>
            <w:tcBorders>
              <w:top w:val="nil"/>
              <w:left w:val="single" w:sz="4" w:space="0" w:color="000000"/>
              <w:right w:val="single" w:sz="6" w:space="0" w:color="000000"/>
            </w:tcBorders>
            <w:vAlign w:val="center"/>
          </w:tcPr>
          <w:p w:rsidR="005C4451" w:rsidRPr="008F1AC8" w:rsidRDefault="005C4451" w:rsidP="005104C7">
            <w:pPr>
              <w:ind w:right="137"/>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5.0%</w:t>
            </w:r>
          </w:p>
        </w:tc>
        <w:tc>
          <w:tcPr>
            <w:tcW w:w="1478" w:type="dxa"/>
            <w:tcBorders>
              <w:top w:val="nil"/>
              <w:left w:val="single" w:sz="6" w:space="0" w:color="000000"/>
            </w:tcBorders>
            <w:vAlign w:val="center"/>
          </w:tcPr>
          <w:p w:rsidR="005C4451" w:rsidRPr="008F1AC8" w:rsidRDefault="005C4451" w:rsidP="005104C7">
            <w:pPr>
              <w:ind w:right="13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2.8%</w:t>
            </w:r>
          </w:p>
        </w:tc>
      </w:tr>
    </w:tbl>
    <w:p w:rsidR="008F1AC8" w:rsidRDefault="008F1AC8" w:rsidP="005C4451">
      <w:pPr>
        <w:autoSpaceDE w:val="0"/>
        <w:autoSpaceDN w:val="0"/>
        <w:spacing w:before="22"/>
        <w:rPr>
          <w:rFonts w:cs="Times New Roman"/>
          <w:b/>
          <w:kern w:val="0"/>
          <w:szCs w:val="28"/>
          <w:lang w:val="zh-TW" w:bidi="zh-TW"/>
        </w:rPr>
      </w:pPr>
    </w:p>
    <w:p w:rsidR="008F1AC8" w:rsidRDefault="008F1AC8">
      <w:pPr>
        <w:widowControl/>
        <w:rPr>
          <w:rFonts w:cs="Times New Roman"/>
          <w:b/>
          <w:kern w:val="0"/>
          <w:szCs w:val="28"/>
          <w:lang w:val="zh-TW" w:bidi="zh-TW"/>
        </w:rPr>
      </w:pPr>
      <w:r>
        <w:rPr>
          <w:rFonts w:cs="Times New Roman"/>
          <w:b/>
          <w:kern w:val="0"/>
          <w:szCs w:val="28"/>
          <w:lang w:val="zh-TW" w:bidi="zh-TW"/>
        </w:rPr>
        <w:br w:type="page"/>
      </w:r>
    </w:p>
    <w:p w:rsidR="005C4451" w:rsidRPr="008F1AC8" w:rsidRDefault="005C4451" w:rsidP="005C4451">
      <w:pPr>
        <w:autoSpaceDE w:val="0"/>
        <w:autoSpaceDN w:val="0"/>
        <w:spacing w:before="22"/>
        <w:rPr>
          <w:rFonts w:cs="Times New Roman"/>
          <w:b/>
          <w:kern w:val="0"/>
          <w:szCs w:val="28"/>
          <w:lang w:val="zh-TW" w:bidi="zh-TW"/>
        </w:rPr>
      </w:pPr>
      <w:r w:rsidRPr="008F1AC8">
        <w:rPr>
          <w:rFonts w:cs="Times New Roman"/>
          <w:b/>
          <w:kern w:val="0"/>
          <w:szCs w:val="28"/>
          <w:lang w:val="zh-TW" w:bidi="zh-TW"/>
        </w:rPr>
        <w:lastRenderedPageBreak/>
        <w:t>就業不足情況</w:t>
      </w:r>
    </w:p>
    <w:p w:rsidR="005C4451" w:rsidRPr="008F1AC8" w:rsidRDefault="005C4451" w:rsidP="005C4451">
      <w:pPr>
        <w:autoSpaceDE w:val="0"/>
        <w:autoSpaceDN w:val="0"/>
        <w:spacing w:before="9"/>
        <w:rPr>
          <w:rFonts w:cs="Times New Roman"/>
          <w:b/>
          <w:kern w:val="0"/>
          <w:szCs w:val="28"/>
          <w:lang w:val="zh-TW" w:bidi="zh-TW"/>
        </w:rPr>
      </w:pPr>
    </w:p>
    <w:tbl>
      <w:tblPr>
        <w:tblStyle w:val="TableNormal"/>
        <w:tblW w:w="1061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48"/>
        <w:gridCol w:w="1494"/>
        <w:gridCol w:w="1494"/>
        <w:gridCol w:w="1494"/>
        <w:gridCol w:w="1494"/>
        <w:gridCol w:w="1493"/>
        <w:gridCol w:w="1493"/>
      </w:tblGrid>
      <w:tr w:rsidR="005C4451" w:rsidRPr="008F1AC8" w:rsidTr="005C4451">
        <w:trPr>
          <w:trHeight w:val="799"/>
        </w:trPr>
        <w:tc>
          <w:tcPr>
            <w:tcW w:w="1648" w:type="dxa"/>
            <w:tcBorders>
              <w:bottom w:val="single" w:sz="12" w:space="0" w:color="000000"/>
              <w:right w:val="single" w:sz="4" w:space="0" w:color="000000"/>
            </w:tcBorders>
          </w:tcPr>
          <w:p w:rsidR="005C4451" w:rsidRPr="008F1AC8" w:rsidRDefault="005C4451" w:rsidP="005412ED">
            <w:pPr>
              <w:spacing w:before="223"/>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期間</w:t>
            </w:r>
          </w:p>
        </w:tc>
        <w:tc>
          <w:tcPr>
            <w:tcW w:w="1494" w:type="dxa"/>
            <w:tcBorders>
              <w:left w:val="single" w:sz="4" w:space="0" w:color="000000"/>
              <w:bottom w:val="single" w:sz="12" w:space="0" w:color="000000"/>
              <w:right w:val="single" w:sz="4" w:space="0" w:color="000000"/>
            </w:tcBorders>
          </w:tcPr>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1987</w:t>
            </w:r>
            <w:r w:rsidRPr="008F1AC8">
              <w:rPr>
                <w:rFonts w:ascii="Times New Roman" w:eastAsia="標楷體" w:hAnsi="Times New Roman" w:cs="Times New Roman"/>
                <w:b/>
                <w:sz w:val="28"/>
                <w:szCs w:val="28"/>
                <w:lang w:val="zh-TW" w:bidi="zh-TW"/>
              </w:rPr>
              <w:t>年</w:t>
            </w:r>
          </w:p>
          <w:p w:rsidR="005C4451" w:rsidRPr="008F1AC8" w:rsidRDefault="005C4451" w:rsidP="005412ED">
            <w:pPr>
              <w:spacing w:before="8" w:line="357"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p>
        </w:tc>
        <w:tc>
          <w:tcPr>
            <w:tcW w:w="1494" w:type="dxa"/>
            <w:tcBorders>
              <w:left w:val="single" w:sz="4" w:space="0" w:color="000000"/>
              <w:bottom w:val="single" w:sz="12" w:space="0" w:color="000000"/>
              <w:right w:val="single" w:sz="4" w:space="0" w:color="000000"/>
            </w:tcBorders>
          </w:tcPr>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1992</w:t>
            </w:r>
            <w:r w:rsidRPr="008F1AC8">
              <w:rPr>
                <w:rFonts w:ascii="Times New Roman" w:eastAsia="標楷體" w:hAnsi="Times New Roman" w:cs="Times New Roman"/>
                <w:b/>
                <w:sz w:val="28"/>
                <w:szCs w:val="28"/>
                <w:lang w:val="zh-TW" w:bidi="zh-TW"/>
              </w:rPr>
              <w:t>年</w:t>
            </w:r>
          </w:p>
          <w:p w:rsidR="005C4451" w:rsidRPr="008F1AC8" w:rsidRDefault="005C4451" w:rsidP="005412ED">
            <w:pPr>
              <w:spacing w:before="8" w:line="357"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p>
        </w:tc>
        <w:tc>
          <w:tcPr>
            <w:tcW w:w="1494" w:type="dxa"/>
            <w:tcBorders>
              <w:left w:val="single" w:sz="4" w:space="0" w:color="000000"/>
              <w:bottom w:val="single" w:sz="12" w:space="0" w:color="000000"/>
              <w:right w:val="single" w:sz="4" w:space="0" w:color="000000"/>
            </w:tcBorders>
          </w:tcPr>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1997</w:t>
            </w:r>
            <w:r w:rsidRPr="008F1AC8">
              <w:rPr>
                <w:rFonts w:ascii="Times New Roman" w:eastAsia="標楷體" w:hAnsi="Times New Roman" w:cs="Times New Roman"/>
                <w:b/>
                <w:sz w:val="28"/>
                <w:szCs w:val="28"/>
                <w:lang w:val="zh-TW" w:bidi="zh-TW"/>
              </w:rPr>
              <w:t>年</w:t>
            </w:r>
          </w:p>
          <w:p w:rsidR="005C4451" w:rsidRPr="008F1AC8" w:rsidRDefault="005C4451" w:rsidP="005412ED">
            <w:pPr>
              <w:spacing w:before="8" w:line="357" w:lineRule="exact"/>
              <w:jc w:val="center"/>
              <w:rPr>
                <w:rFonts w:ascii="Times New Roman" w:eastAsia="標楷體" w:hAnsi="Times New Roman" w:cs="Times New Roman"/>
                <w:b/>
                <w:sz w:val="28"/>
                <w:szCs w:val="28"/>
                <w:lang w:val="zh-TW" w:eastAsia="zh-HK" w:bidi="zh-TW"/>
              </w:rPr>
            </w:pPr>
            <w:r w:rsidRPr="008F1AC8">
              <w:rPr>
                <w:rFonts w:ascii="Times New Roman" w:eastAsia="標楷體" w:hAnsi="Times New Roman" w:cs="Times New Roman"/>
                <w:b/>
                <w:sz w:val="28"/>
                <w:szCs w:val="28"/>
                <w:lang w:val="zh-TW" w:bidi="zh-TW"/>
              </w:rPr>
              <w:t>第四季</w:t>
            </w:r>
          </w:p>
        </w:tc>
        <w:tc>
          <w:tcPr>
            <w:tcW w:w="1494" w:type="dxa"/>
            <w:tcBorders>
              <w:left w:val="single" w:sz="4" w:space="0" w:color="000000"/>
              <w:bottom w:val="single" w:sz="12" w:space="0" w:color="000000"/>
              <w:right w:val="single" w:sz="4" w:space="0" w:color="000000"/>
            </w:tcBorders>
          </w:tcPr>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2002</w:t>
            </w:r>
            <w:r w:rsidRPr="008F1AC8">
              <w:rPr>
                <w:rFonts w:ascii="Times New Roman" w:eastAsia="標楷體" w:hAnsi="Times New Roman" w:cs="Times New Roman"/>
                <w:b/>
                <w:sz w:val="28"/>
                <w:szCs w:val="28"/>
                <w:lang w:val="zh-TW" w:bidi="zh-TW"/>
              </w:rPr>
              <w:t>年</w:t>
            </w:r>
          </w:p>
          <w:p w:rsidR="005C4451" w:rsidRPr="008F1AC8" w:rsidRDefault="005C4451" w:rsidP="005412ED">
            <w:pPr>
              <w:spacing w:before="8" w:line="357"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lang w:val="zh-TW" w:bidi="zh-TW"/>
              </w:rPr>
              <w:t>*</w:t>
            </w:r>
          </w:p>
        </w:tc>
        <w:tc>
          <w:tcPr>
            <w:tcW w:w="1493" w:type="dxa"/>
            <w:tcBorders>
              <w:left w:val="single" w:sz="4" w:space="0" w:color="000000"/>
              <w:bottom w:val="single" w:sz="12" w:space="0" w:color="000000"/>
              <w:right w:val="single" w:sz="6" w:space="0" w:color="000000"/>
            </w:tcBorders>
          </w:tcPr>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2009</w:t>
            </w:r>
            <w:r w:rsidRPr="008F1AC8">
              <w:rPr>
                <w:rFonts w:ascii="Times New Roman" w:eastAsia="標楷體" w:hAnsi="Times New Roman" w:cs="Times New Roman"/>
                <w:b/>
                <w:sz w:val="28"/>
                <w:szCs w:val="28"/>
                <w:lang w:val="zh-TW" w:bidi="zh-TW"/>
              </w:rPr>
              <w:t>年</w:t>
            </w:r>
          </w:p>
          <w:p w:rsidR="005C4451" w:rsidRPr="008F1AC8" w:rsidRDefault="005C4451" w:rsidP="005412ED">
            <w:pPr>
              <w:spacing w:before="8" w:line="357" w:lineRule="exact"/>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vertAlign w:val="superscript"/>
                <w:lang w:val="zh-TW" w:bidi="zh-TW"/>
              </w:rPr>
              <w:t>^</w:t>
            </w:r>
          </w:p>
        </w:tc>
        <w:tc>
          <w:tcPr>
            <w:tcW w:w="1493" w:type="dxa"/>
            <w:tcBorders>
              <w:left w:val="single" w:sz="6" w:space="0" w:color="000000"/>
              <w:bottom w:val="single" w:sz="12" w:space="0" w:color="000000"/>
            </w:tcBorders>
          </w:tcPr>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eastAsia="zh-HK" w:bidi="zh-TW"/>
              </w:rPr>
              <w:t>2018</w:t>
            </w:r>
            <w:r w:rsidRPr="008F1AC8">
              <w:rPr>
                <w:rFonts w:ascii="Times New Roman" w:eastAsia="標楷體" w:hAnsi="Times New Roman" w:cs="Times New Roman"/>
                <w:b/>
                <w:sz w:val="28"/>
                <w:szCs w:val="28"/>
                <w:lang w:val="zh-TW" w:bidi="zh-TW"/>
              </w:rPr>
              <w:t>年</w:t>
            </w:r>
          </w:p>
          <w:p w:rsidR="005C4451" w:rsidRPr="008F1AC8" w:rsidRDefault="005C4451" w:rsidP="005412ED">
            <w:pPr>
              <w:spacing w:before="22"/>
              <w:jc w:val="center"/>
              <w:rPr>
                <w:rFonts w:ascii="Times New Roman" w:eastAsia="標楷體" w:hAnsi="Times New Roman" w:cs="Times New Roman"/>
                <w:b/>
                <w:sz w:val="28"/>
                <w:szCs w:val="28"/>
                <w:lang w:val="zh-TW" w:bidi="zh-TW"/>
              </w:rPr>
            </w:pPr>
            <w:r w:rsidRPr="008F1AC8">
              <w:rPr>
                <w:rFonts w:ascii="Times New Roman" w:eastAsia="標楷體" w:hAnsi="Times New Roman" w:cs="Times New Roman"/>
                <w:b/>
                <w:sz w:val="28"/>
                <w:szCs w:val="28"/>
                <w:lang w:val="zh-TW" w:bidi="zh-TW"/>
              </w:rPr>
              <w:t>第四季</w:t>
            </w:r>
            <w:r w:rsidRPr="008F1AC8">
              <w:rPr>
                <w:rFonts w:ascii="Times New Roman" w:eastAsia="標楷體" w:hAnsi="Times New Roman" w:cs="Times New Roman"/>
                <w:b/>
                <w:sz w:val="28"/>
                <w:szCs w:val="28"/>
                <w:vertAlign w:val="superscript"/>
                <w:lang w:val="zh-TW" w:bidi="zh-TW"/>
              </w:rPr>
              <w:t>@</w:t>
            </w:r>
          </w:p>
        </w:tc>
      </w:tr>
      <w:tr w:rsidR="005C4451" w:rsidRPr="008F1AC8" w:rsidTr="005C4451">
        <w:trPr>
          <w:trHeight w:val="787"/>
        </w:trPr>
        <w:tc>
          <w:tcPr>
            <w:tcW w:w="1648" w:type="dxa"/>
            <w:tcBorders>
              <w:bottom w:val="nil"/>
              <w:right w:val="single" w:sz="4" w:space="0" w:color="000000"/>
            </w:tcBorders>
          </w:tcPr>
          <w:p w:rsidR="005C4451" w:rsidRPr="008F1AC8" w:rsidRDefault="005C4451" w:rsidP="005C4451">
            <w:pPr>
              <w:spacing w:before="22" w:line="244" w:lineRule="auto"/>
              <w:ind w:right="421"/>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就業不足人數</w:t>
            </w:r>
          </w:p>
        </w:tc>
        <w:tc>
          <w:tcPr>
            <w:tcW w:w="1494" w:type="dxa"/>
            <w:tcBorders>
              <w:left w:val="single" w:sz="4" w:space="0" w:color="000000"/>
              <w:bottom w:val="nil"/>
              <w:right w:val="single" w:sz="4" w:space="0" w:color="000000"/>
            </w:tcBorders>
            <w:vAlign w:val="center"/>
          </w:tcPr>
          <w:p w:rsidR="005C4451" w:rsidRPr="008F1AC8" w:rsidRDefault="005C4451" w:rsidP="00AB65FF">
            <w:pPr>
              <w:spacing w:before="7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28 400</w:t>
            </w:r>
          </w:p>
        </w:tc>
        <w:tc>
          <w:tcPr>
            <w:tcW w:w="1494" w:type="dxa"/>
            <w:tcBorders>
              <w:left w:val="single" w:sz="4" w:space="0" w:color="000000"/>
              <w:bottom w:val="nil"/>
              <w:right w:val="single" w:sz="4" w:space="0" w:color="000000"/>
            </w:tcBorders>
            <w:vAlign w:val="center"/>
          </w:tcPr>
          <w:p w:rsidR="005C4451" w:rsidRPr="008F1AC8" w:rsidRDefault="005C4451" w:rsidP="00AB65FF">
            <w:pPr>
              <w:spacing w:before="72"/>
              <w:ind w:right="21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56 600</w:t>
            </w:r>
          </w:p>
        </w:tc>
        <w:tc>
          <w:tcPr>
            <w:tcW w:w="1494" w:type="dxa"/>
            <w:tcBorders>
              <w:left w:val="single" w:sz="4" w:space="0" w:color="000000"/>
              <w:bottom w:val="nil"/>
              <w:right w:val="single" w:sz="4" w:space="0" w:color="000000"/>
            </w:tcBorders>
            <w:vAlign w:val="center"/>
          </w:tcPr>
          <w:p w:rsidR="005C4451" w:rsidRPr="008F1AC8" w:rsidRDefault="005C4451" w:rsidP="00AB65FF">
            <w:pPr>
              <w:spacing w:before="72"/>
              <w:ind w:right="29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42 500</w:t>
            </w:r>
          </w:p>
        </w:tc>
        <w:tc>
          <w:tcPr>
            <w:tcW w:w="1494" w:type="dxa"/>
            <w:tcBorders>
              <w:left w:val="single" w:sz="4" w:space="0" w:color="000000"/>
              <w:bottom w:val="nil"/>
              <w:right w:val="single" w:sz="4" w:space="0" w:color="000000"/>
            </w:tcBorders>
            <w:vAlign w:val="center"/>
          </w:tcPr>
          <w:p w:rsidR="005C4451" w:rsidRPr="008F1AC8" w:rsidRDefault="005C4451" w:rsidP="00AB65FF">
            <w:pPr>
              <w:spacing w:before="72"/>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107 800</w:t>
            </w:r>
          </w:p>
        </w:tc>
        <w:tc>
          <w:tcPr>
            <w:tcW w:w="1493" w:type="dxa"/>
            <w:tcBorders>
              <w:left w:val="single" w:sz="4" w:space="0" w:color="000000"/>
              <w:bottom w:val="nil"/>
              <w:right w:val="single" w:sz="6" w:space="0" w:color="000000"/>
            </w:tcBorders>
            <w:vAlign w:val="center"/>
          </w:tcPr>
          <w:p w:rsidR="005C4451" w:rsidRPr="008F1AC8" w:rsidRDefault="005C4451" w:rsidP="00AB65FF">
            <w:pPr>
              <w:spacing w:before="72"/>
              <w:ind w:right="16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83 300</w:t>
            </w:r>
          </w:p>
        </w:tc>
        <w:tc>
          <w:tcPr>
            <w:tcW w:w="1493" w:type="dxa"/>
            <w:tcBorders>
              <w:left w:val="single" w:sz="6" w:space="0" w:color="000000"/>
              <w:bottom w:val="nil"/>
            </w:tcBorders>
            <w:vAlign w:val="center"/>
          </w:tcPr>
          <w:p w:rsidR="005C4451" w:rsidRPr="008F1AC8" w:rsidRDefault="005C4451" w:rsidP="00AB65FF">
            <w:pPr>
              <w:spacing w:before="72"/>
              <w:ind w:right="9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44 500</w:t>
            </w:r>
          </w:p>
        </w:tc>
      </w:tr>
      <w:tr w:rsidR="005C4451" w:rsidRPr="008F1AC8" w:rsidTr="005C4451">
        <w:trPr>
          <w:trHeight w:val="335"/>
        </w:trPr>
        <w:tc>
          <w:tcPr>
            <w:tcW w:w="1648" w:type="dxa"/>
            <w:tcBorders>
              <w:top w:val="nil"/>
              <w:bottom w:val="nil"/>
              <w:right w:val="single" w:sz="4" w:space="0" w:color="000000"/>
            </w:tcBorders>
          </w:tcPr>
          <w:p w:rsidR="005C4451" w:rsidRPr="008F1AC8" w:rsidRDefault="005C4451" w:rsidP="005412ED">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男性</w:t>
            </w:r>
          </w:p>
        </w:tc>
        <w:tc>
          <w:tcPr>
            <w:tcW w:w="1494" w:type="dxa"/>
            <w:tcBorders>
              <w:top w:val="nil"/>
              <w:left w:val="single" w:sz="4" w:space="0" w:color="000000"/>
              <w:bottom w:val="nil"/>
              <w:right w:val="single" w:sz="4" w:space="0" w:color="000000"/>
            </w:tcBorders>
          </w:tcPr>
          <w:p w:rsidR="005C4451" w:rsidRPr="008F1AC8" w:rsidRDefault="005C4451" w:rsidP="00AB65FF">
            <w:pPr>
              <w:spacing w:before="78"/>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19 200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spacing w:before="72"/>
              <w:ind w:right="21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45 500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spacing w:before="72"/>
              <w:ind w:right="29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32 500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spacing w:before="72"/>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74 000</w:t>
            </w:r>
          </w:p>
        </w:tc>
        <w:tc>
          <w:tcPr>
            <w:tcW w:w="1493" w:type="dxa"/>
            <w:tcBorders>
              <w:top w:val="nil"/>
              <w:left w:val="single" w:sz="4" w:space="0" w:color="000000"/>
              <w:bottom w:val="nil"/>
              <w:right w:val="single" w:sz="6" w:space="0" w:color="000000"/>
            </w:tcBorders>
            <w:vAlign w:val="center"/>
          </w:tcPr>
          <w:p w:rsidR="005C4451" w:rsidRPr="008F1AC8" w:rsidRDefault="005C4451" w:rsidP="00AB65FF">
            <w:pPr>
              <w:spacing w:before="72"/>
              <w:ind w:right="16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59 200</w:t>
            </w:r>
          </w:p>
        </w:tc>
        <w:tc>
          <w:tcPr>
            <w:tcW w:w="1493" w:type="dxa"/>
            <w:tcBorders>
              <w:top w:val="nil"/>
              <w:left w:val="single" w:sz="6" w:space="0" w:color="000000"/>
              <w:bottom w:val="nil"/>
            </w:tcBorders>
            <w:vAlign w:val="center"/>
          </w:tcPr>
          <w:p w:rsidR="005C4451" w:rsidRPr="008F1AC8" w:rsidRDefault="005C4451" w:rsidP="00AB65FF">
            <w:pPr>
              <w:spacing w:before="72"/>
              <w:ind w:right="9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32 800</w:t>
            </w:r>
          </w:p>
        </w:tc>
      </w:tr>
      <w:tr w:rsidR="005C4451" w:rsidRPr="008F1AC8" w:rsidTr="005C4451">
        <w:trPr>
          <w:trHeight w:val="385"/>
        </w:trPr>
        <w:tc>
          <w:tcPr>
            <w:tcW w:w="1648" w:type="dxa"/>
            <w:tcBorders>
              <w:top w:val="nil"/>
              <w:bottom w:val="nil"/>
              <w:right w:val="single" w:sz="4" w:space="0" w:color="000000"/>
            </w:tcBorders>
          </w:tcPr>
          <w:p w:rsidR="005C4451" w:rsidRPr="008F1AC8" w:rsidRDefault="005C4451" w:rsidP="005412ED">
            <w:pPr>
              <w:spacing w:before="2" w:line="244" w:lineRule="auto"/>
              <w:ind w:left="195" w:right="224"/>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女性</w:t>
            </w:r>
          </w:p>
        </w:tc>
        <w:tc>
          <w:tcPr>
            <w:tcW w:w="1494" w:type="dxa"/>
            <w:tcBorders>
              <w:top w:val="nil"/>
              <w:left w:val="single" w:sz="4" w:space="0" w:color="000000"/>
              <w:bottom w:val="nil"/>
              <w:right w:val="single" w:sz="4" w:space="0" w:color="000000"/>
            </w:tcBorders>
            <w:vAlign w:val="bottom"/>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9 200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spacing w:before="72"/>
              <w:ind w:right="21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11 100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spacing w:before="72"/>
              <w:ind w:right="29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10 100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spacing w:before="72"/>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33 900</w:t>
            </w:r>
          </w:p>
        </w:tc>
        <w:tc>
          <w:tcPr>
            <w:tcW w:w="1493" w:type="dxa"/>
            <w:tcBorders>
              <w:top w:val="nil"/>
              <w:left w:val="single" w:sz="4" w:space="0" w:color="000000"/>
              <w:bottom w:val="nil"/>
              <w:right w:val="single" w:sz="6" w:space="0" w:color="000000"/>
            </w:tcBorders>
            <w:vAlign w:val="center"/>
          </w:tcPr>
          <w:p w:rsidR="005C4451" w:rsidRPr="008F1AC8" w:rsidRDefault="005C4451" w:rsidP="00AB65FF">
            <w:pPr>
              <w:spacing w:before="72"/>
              <w:ind w:right="16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24 100</w:t>
            </w:r>
          </w:p>
        </w:tc>
        <w:tc>
          <w:tcPr>
            <w:tcW w:w="1493" w:type="dxa"/>
            <w:tcBorders>
              <w:top w:val="nil"/>
              <w:left w:val="single" w:sz="6" w:space="0" w:color="000000"/>
              <w:bottom w:val="nil"/>
            </w:tcBorders>
            <w:vAlign w:val="center"/>
          </w:tcPr>
          <w:p w:rsidR="005C4451" w:rsidRPr="008F1AC8" w:rsidRDefault="005C4451" w:rsidP="00AB65FF">
            <w:pPr>
              <w:spacing w:before="72"/>
              <w:ind w:right="9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11 700</w:t>
            </w:r>
          </w:p>
        </w:tc>
      </w:tr>
      <w:tr w:rsidR="005C4451" w:rsidRPr="008F1AC8" w:rsidTr="005C4451">
        <w:trPr>
          <w:trHeight w:val="636"/>
        </w:trPr>
        <w:tc>
          <w:tcPr>
            <w:tcW w:w="1648" w:type="dxa"/>
            <w:tcBorders>
              <w:top w:val="nil"/>
              <w:bottom w:val="nil"/>
              <w:right w:val="single" w:sz="4" w:space="0" w:color="000000"/>
            </w:tcBorders>
          </w:tcPr>
          <w:p w:rsidR="005C4451" w:rsidRPr="008F1AC8" w:rsidRDefault="005C4451" w:rsidP="005412ED">
            <w:pPr>
              <w:tabs>
                <w:tab w:val="left" w:pos="1282"/>
              </w:tabs>
              <w:spacing w:before="2"/>
              <w:ind w:left="195"/>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20</w:t>
            </w:r>
            <w:r w:rsidRPr="008F1AC8">
              <w:rPr>
                <w:rFonts w:ascii="Times New Roman" w:eastAsia="標楷體" w:hAnsi="Times New Roman" w:cs="Times New Roman"/>
                <w:sz w:val="28"/>
                <w:szCs w:val="28"/>
                <w:lang w:val="zh-TW" w:bidi="zh-TW"/>
              </w:rPr>
              <w:t>歲</w:t>
            </w:r>
          </w:p>
          <w:p w:rsidR="005C4451" w:rsidRPr="008F1AC8" w:rsidRDefault="005C4451" w:rsidP="005412ED">
            <w:pPr>
              <w:spacing w:before="8"/>
              <w:ind w:left="195"/>
              <w:rPr>
                <w:rFonts w:ascii="Times New Roman" w:eastAsia="標楷體" w:hAnsi="Times New Roman" w:cs="Times New Roman"/>
                <w:sz w:val="28"/>
                <w:szCs w:val="28"/>
                <w:lang w:val="zh-TW" w:bidi="zh-TW"/>
              </w:rPr>
            </w:pPr>
            <w:r w:rsidRPr="008F1AC8">
              <w:rPr>
                <w:rFonts w:ascii="Times New Roman" w:eastAsia="標楷體" w:hAnsi="Times New Roman" w:cs="Times New Roman"/>
                <w:w w:val="95"/>
                <w:sz w:val="28"/>
                <w:szCs w:val="28"/>
                <w:lang w:val="zh-TW" w:bidi="zh-TW"/>
              </w:rPr>
              <w:t>以下人士</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1 200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ind w:right="21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900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ind w:right="29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w:t>
            </w:r>
            <w:r w:rsidRPr="008F1AC8">
              <w:rPr>
                <w:rFonts w:ascii="Times New Roman" w:eastAsia="標楷體" w:hAnsi="Times New Roman" w:cs="Times New Roman"/>
                <w:sz w:val="28"/>
                <w:szCs w:val="28"/>
                <w:lang w:bidi="zh-TW"/>
              </w:rPr>
              <w:t> </w:t>
            </w:r>
            <w:r w:rsidRPr="008F1AC8">
              <w:rPr>
                <w:rFonts w:ascii="Times New Roman" w:eastAsia="標楷體" w:hAnsi="Times New Roman" w:cs="Times New Roman"/>
                <w:sz w:val="28"/>
                <w:szCs w:val="28"/>
                <w:lang w:val="zh-TW" w:bidi="zh-TW"/>
              </w:rPr>
              <w:t>300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3 900</w:t>
            </w:r>
          </w:p>
        </w:tc>
        <w:tc>
          <w:tcPr>
            <w:tcW w:w="1493" w:type="dxa"/>
            <w:tcBorders>
              <w:top w:val="nil"/>
              <w:left w:val="single" w:sz="4" w:space="0" w:color="000000"/>
              <w:bottom w:val="nil"/>
              <w:right w:val="single" w:sz="6" w:space="0" w:color="000000"/>
            </w:tcBorders>
            <w:vAlign w:val="center"/>
          </w:tcPr>
          <w:p w:rsidR="005C4451" w:rsidRPr="008F1AC8" w:rsidRDefault="005C4451" w:rsidP="00AB65FF">
            <w:pPr>
              <w:ind w:right="16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1 700</w:t>
            </w:r>
          </w:p>
        </w:tc>
        <w:tc>
          <w:tcPr>
            <w:tcW w:w="1493" w:type="dxa"/>
            <w:tcBorders>
              <w:top w:val="nil"/>
              <w:left w:val="single" w:sz="6" w:space="0" w:color="000000"/>
              <w:bottom w:val="nil"/>
            </w:tcBorders>
            <w:vAlign w:val="center"/>
          </w:tcPr>
          <w:p w:rsidR="005C4451" w:rsidRPr="008F1AC8" w:rsidRDefault="005C4451" w:rsidP="00AB65FF">
            <w:pPr>
              <w:ind w:right="9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w:t>
            </w:r>
          </w:p>
        </w:tc>
      </w:tr>
      <w:tr w:rsidR="005C4451" w:rsidRPr="008F1AC8" w:rsidTr="005C4451">
        <w:trPr>
          <w:trHeight w:val="753"/>
        </w:trPr>
        <w:tc>
          <w:tcPr>
            <w:tcW w:w="1648" w:type="dxa"/>
            <w:tcBorders>
              <w:top w:val="nil"/>
              <w:bottom w:val="nil"/>
              <w:right w:val="single" w:sz="4" w:space="0" w:color="000000"/>
            </w:tcBorders>
          </w:tcPr>
          <w:p w:rsidR="005C4451" w:rsidRPr="008F1AC8" w:rsidRDefault="005C4451" w:rsidP="005412ED">
            <w:pPr>
              <w:tabs>
                <w:tab w:val="left" w:pos="655"/>
              </w:tabs>
              <w:spacing w:before="8" w:line="244" w:lineRule="auto"/>
              <w:ind w:left="195" w:right="63"/>
              <w:rPr>
                <w:rFonts w:ascii="Times New Roman" w:eastAsia="標楷體" w:hAnsi="Times New Roman" w:cs="Times New Roman"/>
                <w:sz w:val="28"/>
                <w:szCs w:val="28"/>
                <w:lang w:val="zh-TW" w:eastAsia="zh-HK" w:bidi="zh-TW"/>
              </w:rPr>
            </w:pPr>
            <w:r w:rsidRPr="008F1AC8">
              <w:rPr>
                <w:rFonts w:ascii="Times New Roman" w:eastAsia="標楷體" w:hAnsi="Times New Roman" w:cs="Times New Roman"/>
                <w:sz w:val="28"/>
                <w:szCs w:val="28"/>
                <w:lang w:val="zh-TW" w:bidi="zh-TW"/>
              </w:rPr>
              <w:t>60</w:t>
            </w:r>
            <w:r w:rsidRPr="008F1AC8">
              <w:rPr>
                <w:rFonts w:ascii="Times New Roman" w:eastAsia="標楷體" w:hAnsi="Times New Roman" w:cs="Times New Roman"/>
                <w:sz w:val="28"/>
                <w:szCs w:val="28"/>
                <w:lang w:val="zh-TW" w:bidi="zh-TW"/>
              </w:rPr>
              <w:t>歲或</w:t>
            </w:r>
          </w:p>
          <w:p w:rsidR="005C4451" w:rsidRPr="008F1AC8" w:rsidRDefault="005C4451" w:rsidP="005412ED">
            <w:pPr>
              <w:tabs>
                <w:tab w:val="left" w:pos="655"/>
                <w:tab w:val="left" w:pos="1000"/>
              </w:tabs>
              <w:spacing w:before="8" w:line="244" w:lineRule="auto"/>
              <w:ind w:left="195" w:right="63"/>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以上人士</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2 200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ind w:right="216"/>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3 700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ind w:right="29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2 100</w:t>
            </w:r>
          </w:p>
        </w:tc>
        <w:tc>
          <w:tcPr>
            <w:tcW w:w="1494" w:type="dxa"/>
            <w:tcBorders>
              <w:top w:val="nil"/>
              <w:left w:val="single" w:sz="4" w:space="0" w:color="000000"/>
              <w:bottom w:val="nil"/>
              <w:right w:val="single" w:sz="4" w:space="0" w:color="000000"/>
            </w:tcBorders>
            <w:vAlign w:val="center"/>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3 400</w:t>
            </w:r>
          </w:p>
        </w:tc>
        <w:tc>
          <w:tcPr>
            <w:tcW w:w="1493" w:type="dxa"/>
            <w:tcBorders>
              <w:top w:val="nil"/>
              <w:left w:val="single" w:sz="4" w:space="0" w:color="000000"/>
              <w:bottom w:val="nil"/>
              <w:right w:val="single" w:sz="6" w:space="0" w:color="000000"/>
            </w:tcBorders>
            <w:vAlign w:val="center"/>
          </w:tcPr>
          <w:p w:rsidR="005C4451" w:rsidRPr="008F1AC8" w:rsidRDefault="005C4451" w:rsidP="00AB65FF">
            <w:pPr>
              <w:ind w:right="16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3 600</w:t>
            </w:r>
          </w:p>
        </w:tc>
        <w:tc>
          <w:tcPr>
            <w:tcW w:w="1493" w:type="dxa"/>
            <w:tcBorders>
              <w:top w:val="nil"/>
              <w:left w:val="single" w:sz="6" w:space="0" w:color="000000"/>
              <w:bottom w:val="nil"/>
            </w:tcBorders>
            <w:vAlign w:val="center"/>
          </w:tcPr>
          <w:p w:rsidR="005C4451" w:rsidRPr="008F1AC8" w:rsidRDefault="005C4451" w:rsidP="00AB65FF">
            <w:pPr>
              <w:ind w:right="9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5 600</w:t>
            </w:r>
          </w:p>
        </w:tc>
      </w:tr>
      <w:tr w:rsidR="005C4451" w:rsidRPr="008F1AC8" w:rsidTr="005C4451">
        <w:trPr>
          <w:trHeight w:val="369"/>
        </w:trPr>
        <w:tc>
          <w:tcPr>
            <w:tcW w:w="1648" w:type="dxa"/>
            <w:tcBorders>
              <w:top w:val="nil"/>
              <w:right w:val="single" w:sz="4" w:space="0" w:color="000000"/>
            </w:tcBorders>
          </w:tcPr>
          <w:p w:rsidR="005C4451" w:rsidRPr="008F1AC8" w:rsidRDefault="005C4451" w:rsidP="005C4451">
            <w:pPr>
              <w:spacing w:before="1" w:line="358" w:lineRule="exact"/>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就業不足率</w:t>
            </w:r>
          </w:p>
        </w:tc>
        <w:tc>
          <w:tcPr>
            <w:tcW w:w="1494" w:type="dxa"/>
            <w:tcBorders>
              <w:top w:val="nil"/>
              <w:left w:val="single" w:sz="4" w:space="0" w:color="000000"/>
              <w:right w:val="single" w:sz="4" w:space="0" w:color="000000"/>
            </w:tcBorders>
            <w:vAlign w:val="center"/>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1.0%</w:t>
            </w:r>
          </w:p>
        </w:tc>
        <w:tc>
          <w:tcPr>
            <w:tcW w:w="1494" w:type="dxa"/>
            <w:tcBorders>
              <w:top w:val="nil"/>
              <w:left w:val="single" w:sz="4" w:space="0" w:color="000000"/>
              <w:right w:val="single" w:sz="4" w:space="0" w:color="000000"/>
            </w:tcBorders>
            <w:vAlign w:val="center"/>
          </w:tcPr>
          <w:p w:rsidR="005C4451" w:rsidRPr="008F1AC8" w:rsidRDefault="005C4451" w:rsidP="00AB65FF">
            <w:pPr>
              <w:ind w:rightChars="33" w:right="92"/>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2.0%</w:t>
            </w:r>
          </w:p>
        </w:tc>
        <w:tc>
          <w:tcPr>
            <w:tcW w:w="1494" w:type="dxa"/>
            <w:tcBorders>
              <w:top w:val="nil"/>
              <w:left w:val="single" w:sz="4" w:space="0" w:color="000000"/>
              <w:right w:val="single" w:sz="4" w:space="0" w:color="000000"/>
            </w:tcBorders>
            <w:vAlign w:val="center"/>
          </w:tcPr>
          <w:p w:rsidR="005C4451" w:rsidRPr="008F1AC8" w:rsidRDefault="005C4451" w:rsidP="00AB65FF">
            <w:pPr>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1.3%</w:t>
            </w:r>
          </w:p>
        </w:tc>
        <w:tc>
          <w:tcPr>
            <w:tcW w:w="1494" w:type="dxa"/>
            <w:tcBorders>
              <w:top w:val="nil"/>
              <w:left w:val="single" w:sz="4" w:space="0" w:color="000000"/>
              <w:right w:val="single" w:sz="4" w:space="0" w:color="000000"/>
            </w:tcBorders>
            <w:vAlign w:val="center"/>
          </w:tcPr>
          <w:p w:rsidR="005C4451" w:rsidRPr="008F1AC8" w:rsidRDefault="005C4451" w:rsidP="00AB65FF">
            <w:pPr>
              <w:ind w:right="85"/>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3.1%</w:t>
            </w:r>
          </w:p>
        </w:tc>
        <w:tc>
          <w:tcPr>
            <w:tcW w:w="1493" w:type="dxa"/>
            <w:tcBorders>
              <w:top w:val="nil"/>
              <w:left w:val="single" w:sz="4" w:space="0" w:color="000000"/>
              <w:right w:val="single" w:sz="6" w:space="0" w:color="000000"/>
            </w:tcBorders>
            <w:vAlign w:val="center"/>
          </w:tcPr>
          <w:p w:rsidR="005C4451" w:rsidRPr="008F1AC8" w:rsidRDefault="005C4451" w:rsidP="00AB65FF">
            <w:pPr>
              <w:ind w:right="16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2.3%</w:t>
            </w:r>
          </w:p>
        </w:tc>
        <w:tc>
          <w:tcPr>
            <w:tcW w:w="1493" w:type="dxa"/>
            <w:tcBorders>
              <w:top w:val="nil"/>
              <w:left w:val="single" w:sz="6" w:space="0" w:color="000000"/>
            </w:tcBorders>
            <w:vAlign w:val="center"/>
          </w:tcPr>
          <w:p w:rsidR="005C4451" w:rsidRPr="008F1AC8" w:rsidRDefault="005C4451" w:rsidP="00AB65FF">
            <w:pPr>
              <w:ind w:right="94"/>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1.1%</w:t>
            </w:r>
          </w:p>
        </w:tc>
      </w:tr>
    </w:tbl>
    <w:p w:rsidR="005C4451" w:rsidRPr="008F1AC8" w:rsidRDefault="005C4451" w:rsidP="005C4451">
      <w:pPr>
        <w:autoSpaceDE w:val="0"/>
        <w:autoSpaceDN w:val="0"/>
        <w:rPr>
          <w:rFonts w:cs="Times New Roman"/>
          <w:b/>
          <w:kern w:val="0"/>
          <w:szCs w:val="28"/>
          <w:lang w:val="zh-TW" w:bidi="zh-TW"/>
        </w:rPr>
      </w:pPr>
    </w:p>
    <w:p w:rsidR="005C4451" w:rsidRPr="008F1AC8" w:rsidRDefault="005C4451" w:rsidP="005C4451">
      <w:pPr>
        <w:autoSpaceDE w:val="0"/>
        <w:autoSpaceDN w:val="0"/>
        <w:rPr>
          <w:rFonts w:cs="Times New Roman"/>
          <w:b/>
          <w:kern w:val="0"/>
          <w:szCs w:val="28"/>
          <w:lang w:val="zh-TW" w:bidi="zh-TW"/>
        </w:rPr>
      </w:pPr>
    </w:p>
    <w:tbl>
      <w:tblPr>
        <w:tblStyle w:val="TableNormal"/>
        <w:tblW w:w="10232" w:type="dxa"/>
        <w:tblInd w:w="118" w:type="dxa"/>
        <w:tblLayout w:type="fixed"/>
        <w:tblLook w:val="01E0" w:firstRow="1" w:lastRow="1" w:firstColumn="1" w:lastColumn="1" w:noHBand="0" w:noVBand="0"/>
      </w:tblPr>
      <w:tblGrid>
        <w:gridCol w:w="1016"/>
        <w:gridCol w:w="284"/>
        <w:gridCol w:w="8932"/>
      </w:tblGrid>
      <w:tr w:rsidR="005C4451" w:rsidRPr="008F1AC8" w:rsidTr="008F1AC8">
        <w:trPr>
          <w:trHeight w:val="375"/>
        </w:trPr>
        <w:tc>
          <w:tcPr>
            <w:tcW w:w="1016" w:type="dxa"/>
          </w:tcPr>
          <w:p w:rsidR="005C4451" w:rsidRPr="008F1AC8" w:rsidRDefault="005C4451" w:rsidP="005C4451">
            <w:pPr>
              <w:tabs>
                <w:tab w:val="left" w:pos="1239"/>
              </w:tabs>
              <w:spacing w:beforeLines="10" w:before="24" w:line="388" w:lineRule="exact"/>
              <w:rPr>
                <w:rFonts w:ascii="Times New Roman" w:eastAsia="標楷體" w:hAnsi="Times New Roman" w:cs="Times New Roman"/>
                <w:sz w:val="28"/>
                <w:szCs w:val="28"/>
                <w:lang w:val="zh-TW" w:eastAsia="zh-HK" w:bidi="zh-TW"/>
              </w:rPr>
            </w:pPr>
            <w:r w:rsidRPr="008F1AC8">
              <w:rPr>
                <w:rFonts w:ascii="Times New Roman" w:eastAsia="標楷體" w:hAnsi="Times New Roman" w:cs="Times New Roman"/>
                <w:sz w:val="28"/>
                <w:szCs w:val="28"/>
                <w:lang w:val="zh-TW" w:bidi="zh-TW"/>
              </w:rPr>
              <w:t>註釋：</w:t>
            </w:r>
            <w:r w:rsidRPr="008F1AC8">
              <w:rPr>
                <w:rFonts w:ascii="Times New Roman" w:eastAsia="標楷體" w:hAnsi="Times New Roman" w:cs="Times New Roman"/>
                <w:sz w:val="28"/>
                <w:szCs w:val="28"/>
                <w:lang w:val="zh-TW" w:bidi="zh-TW"/>
              </w:rPr>
              <w:t xml:space="preserve"> </w:t>
            </w:r>
          </w:p>
        </w:tc>
        <w:tc>
          <w:tcPr>
            <w:tcW w:w="284" w:type="dxa"/>
          </w:tcPr>
          <w:p w:rsidR="005C4451" w:rsidRPr="008F1AC8" w:rsidRDefault="005C4451" w:rsidP="005C4451">
            <w:pPr>
              <w:spacing w:beforeLines="10" w:before="24"/>
              <w:ind w:right="12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w:t>
            </w:r>
          </w:p>
        </w:tc>
        <w:tc>
          <w:tcPr>
            <w:tcW w:w="8932" w:type="dxa"/>
          </w:tcPr>
          <w:p w:rsidR="005C4451" w:rsidRPr="008F1AC8" w:rsidRDefault="005C4451" w:rsidP="005C4451">
            <w:pPr>
              <w:tabs>
                <w:tab w:val="left" w:pos="1239"/>
              </w:tabs>
              <w:spacing w:beforeLines="10" w:before="24" w:line="388" w:lineRule="exact"/>
              <w:jc w:val="both"/>
              <w:rPr>
                <w:rFonts w:ascii="Times New Roman" w:eastAsia="標楷體" w:hAnsi="Times New Roman" w:cs="Times New Roman"/>
                <w:sz w:val="28"/>
                <w:szCs w:val="28"/>
                <w:lang w:eastAsia="zh-TW" w:bidi="zh-TW"/>
              </w:rPr>
            </w:pPr>
            <w:r w:rsidRPr="008F1AC8">
              <w:rPr>
                <w:rFonts w:ascii="Times New Roman" w:eastAsia="標楷體" w:hAnsi="Times New Roman" w:cs="Times New Roman"/>
                <w:sz w:val="28"/>
                <w:szCs w:val="28"/>
                <w:lang w:val="zh-TW" w:eastAsia="zh-HK" w:bidi="zh-TW"/>
              </w:rPr>
              <w:t>2006</w:t>
            </w:r>
            <w:r w:rsidRPr="008F1AC8">
              <w:rPr>
                <w:rFonts w:ascii="Times New Roman" w:eastAsia="標楷體" w:hAnsi="Times New Roman" w:cs="Times New Roman"/>
                <w:sz w:val="28"/>
                <w:szCs w:val="28"/>
                <w:lang w:val="zh-TW" w:eastAsia="zh-HK" w:bidi="zh-TW"/>
              </w:rPr>
              <w:t>年中期人口統計的結果提供了一個基準，用作修訂自</w:t>
            </w:r>
            <w:r w:rsidRPr="008F1AC8">
              <w:rPr>
                <w:rFonts w:ascii="Times New Roman" w:eastAsia="標楷體" w:hAnsi="Times New Roman" w:cs="Times New Roman"/>
                <w:sz w:val="28"/>
                <w:szCs w:val="28"/>
                <w:lang w:val="zh-TW" w:eastAsia="zh-HK" w:bidi="zh-TW"/>
              </w:rPr>
              <w:t>2001</w:t>
            </w:r>
            <w:r w:rsidRPr="008F1AC8">
              <w:rPr>
                <w:rFonts w:ascii="Times New Roman" w:eastAsia="標楷體" w:hAnsi="Times New Roman" w:cs="Times New Roman"/>
                <w:sz w:val="28"/>
                <w:szCs w:val="28"/>
                <w:lang w:val="zh-TW" w:eastAsia="zh-HK" w:bidi="zh-TW"/>
              </w:rPr>
              <w:t>年人口普查以來編製的人口數字。上表</w:t>
            </w:r>
            <w:r w:rsidRPr="008F1AC8">
              <w:rPr>
                <w:rFonts w:ascii="Times New Roman" w:eastAsia="標楷體" w:hAnsi="Times New Roman" w:cs="Times New Roman"/>
                <w:sz w:val="28"/>
                <w:szCs w:val="28"/>
                <w:lang w:val="zh-TW" w:eastAsia="zh-HK" w:bidi="zh-TW"/>
              </w:rPr>
              <w:t>2002</w:t>
            </w:r>
            <w:r w:rsidRPr="008F1AC8">
              <w:rPr>
                <w:rFonts w:ascii="Times New Roman" w:eastAsia="標楷體" w:hAnsi="Times New Roman" w:cs="Times New Roman"/>
                <w:sz w:val="28"/>
                <w:szCs w:val="28"/>
                <w:lang w:val="zh-TW" w:eastAsia="zh-TW" w:bidi="zh-TW"/>
              </w:rPr>
              <w:t>年第四季</w:t>
            </w:r>
            <w:r w:rsidRPr="008F1AC8">
              <w:rPr>
                <w:rFonts w:ascii="Times New Roman" w:eastAsia="標楷體" w:hAnsi="Times New Roman" w:cs="Times New Roman"/>
                <w:sz w:val="28"/>
                <w:szCs w:val="28"/>
                <w:lang w:val="zh-TW" w:eastAsia="zh-HK" w:bidi="zh-TW"/>
              </w:rPr>
              <w:t>的數字已作出相應修訂。</w:t>
            </w:r>
          </w:p>
        </w:tc>
      </w:tr>
      <w:tr w:rsidR="005C4451" w:rsidRPr="008F1AC8" w:rsidTr="008F1AC8">
        <w:trPr>
          <w:trHeight w:val="375"/>
        </w:trPr>
        <w:tc>
          <w:tcPr>
            <w:tcW w:w="1016" w:type="dxa"/>
          </w:tcPr>
          <w:p w:rsidR="005C4451" w:rsidRPr="008F1AC8" w:rsidRDefault="005C4451" w:rsidP="005C4451">
            <w:pPr>
              <w:tabs>
                <w:tab w:val="left" w:pos="1239"/>
              </w:tabs>
              <w:spacing w:beforeLines="10" w:before="24" w:line="388" w:lineRule="exact"/>
              <w:rPr>
                <w:rFonts w:ascii="Times New Roman" w:eastAsia="標楷體" w:hAnsi="Times New Roman" w:cs="Times New Roman"/>
                <w:sz w:val="28"/>
                <w:szCs w:val="28"/>
                <w:lang w:val="zh-TW" w:eastAsia="zh-TW" w:bidi="zh-TW"/>
              </w:rPr>
            </w:pPr>
          </w:p>
        </w:tc>
        <w:tc>
          <w:tcPr>
            <w:tcW w:w="284" w:type="dxa"/>
          </w:tcPr>
          <w:p w:rsidR="005C4451" w:rsidRPr="008F1AC8" w:rsidRDefault="005C4451" w:rsidP="005C4451">
            <w:pPr>
              <w:spacing w:beforeLines="10" w:before="24"/>
              <w:ind w:right="12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w:t>
            </w:r>
          </w:p>
        </w:tc>
        <w:tc>
          <w:tcPr>
            <w:tcW w:w="8932" w:type="dxa"/>
          </w:tcPr>
          <w:p w:rsidR="005C4451" w:rsidRPr="008F1AC8" w:rsidRDefault="005C4451" w:rsidP="005C4451">
            <w:pPr>
              <w:tabs>
                <w:tab w:val="left" w:pos="1239"/>
              </w:tabs>
              <w:spacing w:beforeLines="10" w:before="24" w:line="388" w:lineRule="exact"/>
              <w:jc w:val="both"/>
              <w:rPr>
                <w:rFonts w:ascii="Times New Roman" w:eastAsia="標楷體" w:hAnsi="Times New Roman" w:cs="Times New Roman"/>
                <w:sz w:val="28"/>
                <w:szCs w:val="28"/>
                <w:lang w:val="zh-TW" w:eastAsia="zh-HK" w:bidi="zh-TW"/>
              </w:rPr>
            </w:pPr>
            <w:r w:rsidRPr="008F1AC8">
              <w:rPr>
                <w:rFonts w:ascii="Times New Roman" w:eastAsia="標楷體" w:hAnsi="Times New Roman" w:cs="Times New Roman"/>
                <w:sz w:val="28"/>
                <w:szCs w:val="28"/>
                <w:lang w:val="zh-TW" w:eastAsia="zh-HK" w:bidi="zh-TW"/>
              </w:rPr>
              <w:t>2011</w:t>
            </w:r>
            <w:r w:rsidRPr="008F1AC8">
              <w:rPr>
                <w:rFonts w:ascii="Times New Roman" w:eastAsia="標楷體" w:hAnsi="Times New Roman" w:cs="Times New Roman"/>
                <w:sz w:val="28"/>
                <w:szCs w:val="28"/>
                <w:lang w:val="zh-TW" w:eastAsia="zh-HK" w:bidi="zh-TW"/>
              </w:rPr>
              <w:t>年人口普查的結果提供了一個基準，用作修訂自</w:t>
            </w:r>
            <w:r w:rsidRPr="008F1AC8">
              <w:rPr>
                <w:rFonts w:ascii="Times New Roman" w:eastAsia="標楷體" w:hAnsi="Times New Roman" w:cs="Times New Roman"/>
                <w:sz w:val="28"/>
                <w:szCs w:val="28"/>
                <w:lang w:val="zh-TW" w:eastAsia="zh-HK" w:bidi="zh-TW"/>
              </w:rPr>
              <w:t>2006</w:t>
            </w:r>
            <w:r w:rsidRPr="008F1AC8">
              <w:rPr>
                <w:rFonts w:ascii="Times New Roman" w:eastAsia="標楷體" w:hAnsi="Times New Roman" w:cs="Times New Roman"/>
                <w:sz w:val="28"/>
                <w:szCs w:val="28"/>
                <w:lang w:val="zh-TW" w:eastAsia="zh-HK" w:bidi="zh-TW"/>
              </w:rPr>
              <w:t>年中期人口統計以來編製的人口數字。上表</w:t>
            </w:r>
            <w:r w:rsidRPr="008F1AC8">
              <w:rPr>
                <w:rFonts w:ascii="Times New Roman" w:eastAsia="標楷體" w:hAnsi="Times New Roman" w:cs="Times New Roman"/>
                <w:sz w:val="28"/>
                <w:szCs w:val="28"/>
                <w:lang w:val="zh-TW" w:eastAsia="zh-HK" w:bidi="zh-TW"/>
              </w:rPr>
              <w:t>2009</w:t>
            </w:r>
            <w:r w:rsidRPr="008F1AC8">
              <w:rPr>
                <w:rFonts w:ascii="Times New Roman" w:eastAsia="標楷體" w:hAnsi="Times New Roman" w:cs="Times New Roman"/>
                <w:sz w:val="28"/>
                <w:szCs w:val="28"/>
                <w:lang w:val="zh-TW" w:eastAsia="zh-TW" w:bidi="zh-TW"/>
              </w:rPr>
              <w:t>年第四季</w:t>
            </w:r>
            <w:r w:rsidRPr="008F1AC8">
              <w:rPr>
                <w:rFonts w:ascii="Times New Roman" w:eastAsia="標楷體" w:hAnsi="Times New Roman" w:cs="Times New Roman"/>
                <w:sz w:val="28"/>
                <w:szCs w:val="28"/>
                <w:lang w:val="zh-TW" w:eastAsia="zh-HK" w:bidi="zh-TW"/>
              </w:rPr>
              <w:t>的數字已作出相應修訂。</w:t>
            </w:r>
          </w:p>
        </w:tc>
      </w:tr>
      <w:tr w:rsidR="005C4451" w:rsidRPr="008F1AC8" w:rsidTr="008F1AC8">
        <w:trPr>
          <w:trHeight w:val="454"/>
        </w:trPr>
        <w:tc>
          <w:tcPr>
            <w:tcW w:w="1016" w:type="dxa"/>
          </w:tcPr>
          <w:p w:rsidR="005C4451" w:rsidRPr="008F1AC8" w:rsidRDefault="005C4451" w:rsidP="005C4451">
            <w:pPr>
              <w:tabs>
                <w:tab w:val="left" w:pos="1239"/>
              </w:tabs>
              <w:spacing w:beforeLines="10" w:before="24" w:line="388" w:lineRule="exact"/>
              <w:rPr>
                <w:rFonts w:ascii="Times New Roman" w:eastAsia="標楷體" w:hAnsi="Times New Roman" w:cs="Times New Roman"/>
                <w:sz w:val="28"/>
                <w:szCs w:val="28"/>
                <w:lang w:val="zh-TW" w:eastAsia="zh-TW" w:bidi="zh-TW"/>
              </w:rPr>
            </w:pPr>
          </w:p>
        </w:tc>
        <w:tc>
          <w:tcPr>
            <w:tcW w:w="284" w:type="dxa"/>
          </w:tcPr>
          <w:p w:rsidR="005C4451" w:rsidRPr="008F1AC8" w:rsidRDefault="005C4451" w:rsidP="005C4451">
            <w:pPr>
              <w:tabs>
                <w:tab w:val="left" w:pos="1239"/>
              </w:tabs>
              <w:spacing w:beforeLines="10" w:before="24" w:line="388" w:lineRule="exact"/>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w:t>
            </w:r>
          </w:p>
        </w:tc>
        <w:tc>
          <w:tcPr>
            <w:tcW w:w="8932" w:type="dxa"/>
          </w:tcPr>
          <w:p w:rsidR="005C4451" w:rsidRPr="008F1AC8" w:rsidRDefault="005C4451" w:rsidP="005C4451">
            <w:pPr>
              <w:tabs>
                <w:tab w:val="left" w:pos="1239"/>
              </w:tabs>
              <w:spacing w:beforeLines="10" w:before="24" w:line="388" w:lineRule="exact"/>
              <w:rPr>
                <w:rFonts w:ascii="Times New Roman" w:eastAsia="標楷體" w:hAnsi="Times New Roman" w:cs="Times New Roman"/>
                <w:sz w:val="28"/>
                <w:szCs w:val="28"/>
                <w:lang w:val="zh-TW" w:eastAsia="zh-HK" w:bidi="zh-TW"/>
              </w:rPr>
            </w:pPr>
            <w:r w:rsidRPr="008F1AC8">
              <w:rPr>
                <w:rFonts w:ascii="Times New Roman" w:eastAsia="標楷體" w:hAnsi="Times New Roman" w:cs="Times New Roman"/>
                <w:sz w:val="28"/>
                <w:szCs w:val="28"/>
                <w:lang w:val="zh-TW" w:eastAsia="zh-HK" w:bidi="zh-TW"/>
              </w:rPr>
              <w:t>由於抽樣誤差大，有關統計數字不予發表。</w:t>
            </w:r>
          </w:p>
        </w:tc>
      </w:tr>
      <w:tr w:rsidR="005C4451" w:rsidRPr="008F1AC8" w:rsidTr="008F1AC8">
        <w:trPr>
          <w:trHeight w:val="379"/>
        </w:trPr>
        <w:tc>
          <w:tcPr>
            <w:tcW w:w="1016" w:type="dxa"/>
          </w:tcPr>
          <w:p w:rsidR="005C4451" w:rsidRPr="008F1AC8" w:rsidRDefault="005C4451" w:rsidP="005C4451">
            <w:pPr>
              <w:spacing w:beforeLines="10" w:before="24" w:line="204" w:lineRule="exact"/>
              <w:ind w:right="172"/>
              <w:jc w:val="right"/>
              <w:rPr>
                <w:rFonts w:ascii="Times New Roman" w:eastAsia="標楷體" w:hAnsi="Times New Roman" w:cs="Times New Roman"/>
                <w:sz w:val="28"/>
                <w:szCs w:val="28"/>
                <w:lang w:val="zh-TW" w:eastAsia="zh-TW" w:bidi="zh-TW"/>
              </w:rPr>
            </w:pPr>
          </w:p>
        </w:tc>
        <w:tc>
          <w:tcPr>
            <w:tcW w:w="284" w:type="dxa"/>
          </w:tcPr>
          <w:p w:rsidR="005C4451" w:rsidRPr="008F1AC8" w:rsidRDefault="005C4451" w:rsidP="005C4451">
            <w:pPr>
              <w:spacing w:beforeLines="10" w:before="24"/>
              <w:ind w:right="12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w:t>
            </w:r>
          </w:p>
        </w:tc>
        <w:tc>
          <w:tcPr>
            <w:tcW w:w="8932" w:type="dxa"/>
          </w:tcPr>
          <w:p w:rsidR="005C4451" w:rsidRPr="008F1AC8" w:rsidRDefault="005C4451" w:rsidP="005C4451">
            <w:pPr>
              <w:tabs>
                <w:tab w:val="left" w:pos="1239"/>
              </w:tabs>
              <w:spacing w:beforeLines="10" w:before="24" w:line="388" w:lineRule="exact"/>
              <w:jc w:val="both"/>
              <w:rPr>
                <w:rFonts w:ascii="Times New Roman" w:eastAsia="標楷體" w:hAnsi="Times New Roman" w:cs="Times New Roman"/>
                <w:spacing w:val="-2"/>
                <w:sz w:val="28"/>
                <w:szCs w:val="28"/>
                <w:lang w:val="zh-TW" w:eastAsia="zh-TW" w:bidi="zh-TW"/>
              </w:rPr>
            </w:pPr>
            <w:r w:rsidRPr="008F1AC8">
              <w:rPr>
                <w:rFonts w:ascii="Times New Roman" w:eastAsia="標楷體" w:hAnsi="Times New Roman" w:cs="Times New Roman"/>
                <w:spacing w:val="-2"/>
                <w:sz w:val="28"/>
                <w:szCs w:val="28"/>
                <w:lang w:val="zh-TW" w:eastAsia="zh-TW" w:bidi="zh-TW"/>
              </w:rPr>
              <w:t>自</w:t>
            </w:r>
            <w:r w:rsidRPr="008F1AC8">
              <w:rPr>
                <w:rFonts w:ascii="Times New Roman" w:eastAsia="標楷體" w:hAnsi="Times New Roman" w:cs="Times New Roman"/>
                <w:spacing w:val="-2"/>
                <w:sz w:val="28"/>
                <w:szCs w:val="28"/>
                <w:lang w:val="zh-TW" w:eastAsia="zh-TW" w:bidi="zh-TW"/>
              </w:rPr>
              <w:t>2008</w:t>
            </w:r>
            <w:r w:rsidRPr="008F1AC8">
              <w:rPr>
                <w:rFonts w:ascii="Times New Roman" w:eastAsia="標楷體" w:hAnsi="Times New Roman" w:cs="Times New Roman"/>
                <w:spacing w:val="-2"/>
                <w:sz w:val="28"/>
                <w:szCs w:val="28"/>
                <w:lang w:val="zh-TW" w:eastAsia="zh-TW" w:bidi="zh-TW"/>
              </w:rPr>
              <w:t>年</w:t>
            </w:r>
            <w:r w:rsidRPr="008F1AC8">
              <w:rPr>
                <w:rFonts w:ascii="Times New Roman" w:eastAsia="標楷體" w:hAnsi="Times New Roman" w:cs="Times New Roman"/>
                <w:spacing w:val="-2"/>
                <w:sz w:val="28"/>
                <w:szCs w:val="28"/>
                <w:lang w:val="zh-TW" w:eastAsia="zh-TW" w:bidi="zh-TW"/>
              </w:rPr>
              <w:t>5</w:t>
            </w:r>
            <w:r w:rsidRPr="008F1AC8">
              <w:rPr>
                <w:rFonts w:ascii="Times New Roman" w:eastAsia="標楷體" w:hAnsi="Times New Roman" w:cs="Times New Roman"/>
                <w:spacing w:val="-2"/>
                <w:sz w:val="28"/>
                <w:szCs w:val="28"/>
                <w:lang w:val="zh-TW" w:eastAsia="zh-TW" w:bidi="zh-TW"/>
              </w:rPr>
              <w:t>月開始，編製經季節性調整失業率的方法由</w:t>
            </w:r>
            <w:r w:rsidRPr="008F1AC8">
              <w:rPr>
                <w:rFonts w:ascii="Times New Roman" w:eastAsia="標楷體" w:hAnsi="Times New Roman" w:cs="Times New Roman"/>
                <w:spacing w:val="-2"/>
                <w:sz w:val="28"/>
                <w:szCs w:val="28"/>
                <w:lang w:val="zh-TW" w:eastAsia="zh-HK" w:bidi="zh-TW"/>
              </w:rPr>
              <w:t>過往</w:t>
            </w:r>
            <w:r w:rsidRPr="008F1AC8">
              <w:rPr>
                <w:rFonts w:ascii="Times New Roman" w:eastAsia="標楷體" w:hAnsi="Times New Roman" w:cs="Times New Roman"/>
                <w:spacing w:val="-2"/>
                <w:sz w:val="28"/>
                <w:szCs w:val="28"/>
                <w:lang w:val="zh-TW" w:eastAsia="zh-TW" w:bidi="zh-TW"/>
              </w:rPr>
              <w:t>「</w:t>
            </w:r>
            <w:r w:rsidRPr="008F1AC8">
              <w:rPr>
                <w:rFonts w:ascii="Times New Roman" w:eastAsia="標楷體" w:hAnsi="Times New Roman" w:cs="Times New Roman"/>
                <w:spacing w:val="-2"/>
                <w:sz w:val="28"/>
                <w:szCs w:val="28"/>
                <w:lang w:val="zh-TW" w:eastAsia="zh-TW" w:bidi="zh-TW"/>
              </w:rPr>
              <w:t>X-11</w:t>
            </w:r>
            <w:r w:rsidRPr="008F1AC8">
              <w:rPr>
                <w:rFonts w:ascii="Times New Roman" w:eastAsia="標楷體" w:hAnsi="Times New Roman" w:cs="Times New Roman"/>
                <w:spacing w:val="-2"/>
                <w:sz w:val="28"/>
                <w:szCs w:val="28"/>
                <w:lang w:val="zh-TW" w:eastAsia="zh-TW" w:bidi="zh-TW"/>
              </w:rPr>
              <w:t>自迴歸－求和－移動平均</w:t>
            </w:r>
            <w:r w:rsidRPr="008F1AC8">
              <w:rPr>
                <w:rFonts w:ascii="Times New Roman" w:eastAsia="標楷體" w:hAnsi="Times New Roman" w:cs="Times New Roman"/>
                <w:spacing w:val="-2"/>
                <w:sz w:val="28"/>
                <w:szCs w:val="28"/>
                <w:lang w:val="zh-TW" w:eastAsia="zh-TW" w:bidi="zh-TW"/>
              </w:rPr>
              <w:t xml:space="preserve"> (X-11 ARIMA)</w:t>
            </w:r>
            <w:r w:rsidRPr="008F1AC8">
              <w:rPr>
                <w:rFonts w:ascii="Times New Roman" w:eastAsia="標楷體" w:hAnsi="Times New Roman" w:cs="Times New Roman"/>
                <w:spacing w:val="-2"/>
                <w:sz w:val="28"/>
                <w:szCs w:val="28"/>
                <w:lang w:val="zh-TW" w:eastAsia="zh-TW" w:bidi="zh-TW"/>
              </w:rPr>
              <w:t>」方法更改為「</w:t>
            </w:r>
            <w:r w:rsidRPr="008F1AC8">
              <w:rPr>
                <w:rFonts w:ascii="Times New Roman" w:eastAsia="標楷體" w:hAnsi="Times New Roman" w:cs="Times New Roman"/>
                <w:spacing w:val="-2"/>
                <w:sz w:val="28"/>
                <w:szCs w:val="28"/>
                <w:lang w:val="zh-TW" w:eastAsia="zh-TW" w:bidi="zh-TW"/>
              </w:rPr>
              <w:t>X-12</w:t>
            </w:r>
            <w:r w:rsidRPr="008F1AC8">
              <w:rPr>
                <w:rFonts w:ascii="Times New Roman" w:eastAsia="標楷體" w:hAnsi="Times New Roman" w:cs="Times New Roman"/>
                <w:spacing w:val="-2"/>
                <w:sz w:val="28"/>
                <w:szCs w:val="28"/>
                <w:lang w:val="zh-TW" w:eastAsia="zh-TW" w:bidi="zh-TW"/>
              </w:rPr>
              <w:t>自迴歸－求和－移動平均</w:t>
            </w:r>
            <w:r w:rsidRPr="008F1AC8">
              <w:rPr>
                <w:rFonts w:ascii="Times New Roman" w:eastAsia="標楷體" w:hAnsi="Times New Roman" w:cs="Times New Roman"/>
                <w:spacing w:val="-2"/>
                <w:sz w:val="28"/>
                <w:szCs w:val="28"/>
                <w:lang w:val="zh-TW" w:eastAsia="zh-TW" w:bidi="zh-TW"/>
              </w:rPr>
              <w:t xml:space="preserve"> (X-12 ARIMA)</w:t>
            </w:r>
            <w:r w:rsidRPr="008F1AC8">
              <w:rPr>
                <w:rFonts w:ascii="Times New Roman" w:eastAsia="標楷體" w:hAnsi="Times New Roman" w:cs="Times New Roman"/>
                <w:spacing w:val="-2"/>
                <w:sz w:val="28"/>
                <w:szCs w:val="28"/>
                <w:lang w:val="zh-TW" w:eastAsia="zh-TW" w:bidi="zh-TW"/>
              </w:rPr>
              <w:t>」方法。</w:t>
            </w:r>
          </w:p>
        </w:tc>
      </w:tr>
      <w:tr w:rsidR="005C4451" w:rsidRPr="008F1AC8" w:rsidTr="008F1AC8">
        <w:trPr>
          <w:trHeight w:val="360"/>
        </w:trPr>
        <w:tc>
          <w:tcPr>
            <w:tcW w:w="1016" w:type="dxa"/>
          </w:tcPr>
          <w:p w:rsidR="005C4451" w:rsidRPr="008F1AC8" w:rsidRDefault="005C4451" w:rsidP="005C4451">
            <w:pPr>
              <w:spacing w:beforeLines="10" w:before="24"/>
              <w:rPr>
                <w:rFonts w:ascii="Times New Roman" w:eastAsia="標楷體" w:hAnsi="Times New Roman" w:cs="Times New Roman"/>
                <w:sz w:val="28"/>
                <w:szCs w:val="28"/>
                <w:lang w:val="zh-TW" w:eastAsia="zh-TW" w:bidi="zh-TW"/>
              </w:rPr>
            </w:pPr>
          </w:p>
        </w:tc>
        <w:tc>
          <w:tcPr>
            <w:tcW w:w="284" w:type="dxa"/>
          </w:tcPr>
          <w:p w:rsidR="005C4451" w:rsidRPr="008F1AC8" w:rsidRDefault="005C4451" w:rsidP="005C4451">
            <w:pPr>
              <w:spacing w:beforeLines="10" w:before="24"/>
              <w:ind w:right="121"/>
              <w:jc w:val="center"/>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eastAsia="zh-HK" w:bidi="zh-TW"/>
              </w:rPr>
              <w:t>@</w:t>
            </w:r>
          </w:p>
        </w:tc>
        <w:tc>
          <w:tcPr>
            <w:tcW w:w="8932" w:type="dxa"/>
          </w:tcPr>
          <w:p w:rsidR="005C4451" w:rsidRPr="008F1AC8" w:rsidRDefault="005C4451" w:rsidP="005C4451">
            <w:pPr>
              <w:tabs>
                <w:tab w:val="left" w:pos="1239"/>
              </w:tabs>
              <w:spacing w:beforeLines="10" w:before="24" w:line="388" w:lineRule="exact"/>
              <w:rPr>
                <w:rFonts w:ascii="Times New Roman" w:eastAsia="標楷體" w:hAnsi="Times New Roman" w:cs="Times New Roman"/>
                <w:sz w:val="28"/>
                <w:szCs w:val="28"/>
                <w:lang w:val="zh-TW" w:bidi="zh-TW"/>
              </w:rPr>
            </w:pPr>
            <w:r w:rsidRPr="008F1AC8">
              <w:rPr>
                <w:rFonts w:ascii="Times New Roman" w:eastAsia="標楷體" w:hAnsi="Times New Roman" w:cs="Times New Roman"/>
                <w:sz w:val="28"/>
                <w:szCs w:val="28"/>
                <w:lang w:val="zh-TW" w:bidi="zh-TW"/>
              </w:rPr>
              <w:t>臨時數字。</w:t>
            </w:r>
          </w:p>
        </w:tc>
      </w:tr>
    </w:tbl>
    <w:p w:rsidR="008F1AC8" w:rsidRDefault="008F1AC8" w:rsidP="008375BB">
      <w:pPr>
        <w:jc w:val="both"/>
        <w:rPr>
          <w:rFonts w:cs="Times New Roman"/>
          <w:szCs w:val="28"/>
        </w:rPr>
        <w:sectPr w:rsidR="008F1AC8" w:rsidSect="008F1AC8">
          <w:footerReference w:type="default" r:id="rId25"/>
          <w:pgSz w:w="11910" w:h="16840"/>
          <w:pgMar w:top="1440" w:right="570" w:bottom="1560" w:left="709" w:header="720" w:footer="720" w:gutter="0"/>
          <w:pgNumType w:start="1"/>
          <w:cols w:space="720"/>
        </w:sectPr>
      </w:pPr>
    </w:p>
    <w:p w:rsidR="0079515C" w:rsidRDefault="0079515C" w:rsidP="0079515C">
      <w:pPr>
        <w:snapToGrid w:val="0"/>
        <w:spacing w:line="0" w:lineRule="atLeast"/>
        <w:jc w:val="right"/>
        <w:rPr>
          <w:b/>
          <w:szCs w:val="28"/>
        </w:rPr>
      </w:pPr>
      <w:r w:rsidRPr="00D744E2">
        <w:rPr>
          <w:rFonts w:hint="eastAsia"/>
          <w:b/>
          <w:szCs w:val="28"/>
          <w:lang w:eastAsia="zh-HK"/>
        </w:rPr>
        <w:lastRenderedPageBreak/>
        <w:t>附件</w:t>
      </w:r>
      <w:r w:rsidRPr="00D744E2">
        <w:rPr>
          <w:rFonts w:hint="eastAsia"/>
          <w:b/>
          <w:szCs w:val="28"/>
        </w:rPr>
        <w:t>6</w:t>
      </w:r>
      <w:r>
        <w:rPr>
          <w:rFonts w:hint="eastAsia"/>
          <w:b/>
          <w:szCs w:val="28"/>
        </w:rPr>
        <w:t>B</w:t>
      </w:r>
    </w:p>
    <w:p w:rsidR="0079515C" w:rsidRDefault="0079515C" w:rsidP="0079515C">
      <w:pPr>
        <w:snapToGrid w:val="0"/>
        <w:spacing w:line="0" w:lineRule="atLeast"/>
        <w:jc w:val="right"/>
        <w:rPr>
          <w:b/>
          <w:szCs w:val="28"/>
        </w:rPr>
      </w:pPr>
    </w:p>
    <w:p w:rsidR="0079515C" w:rsidRDefault="0079515C" w:rsidP="0079515C">
      <w:pPr>
        <w:snapToGrid w:val="0"/>
        <w:spacing w:line="0" w:lineRule="atLeast"/>
        <w:jc w:val="center"/>
        <w:rPr>
          <w:b/>
          <w:szCs w:val="28"/>
        </w:rPr>
      </w:pPr>
      <w:r w:rsidRPr="002C76B8">
        <w:rPr>
          <w:rFonts w:hint="eastAsia"/>
          <w:b/>
          <w:szCs w:val="28"/>
          <w:lang w:eastAsia="zh-HK"/>
        </w:rPr>
        <w:t>勞</w:t>
      </w:r>
      <w:r w:rsidRPr="002C76B8">
        <w:rPr>
          <w:rFonts w:hint="eastAsia"/>
          <w:b/>
          <w:szCs w:val="28"/>
        </w:rPr>
        <w:t>工</w:t>
      </w:r>
      <w:r w:rsidRPr="002C76B8">
        <w:rPr>
          <w:rFonts w:hint="eastAsia"/>
          <w:b/>
          <w:szCs w:val="28"/>
          <w:lang w:eastAsia="zh-HK"/>
        </w:rPr>
        <w:t>處</w:t>
      </w:r>
      <w:r w:rsidRPr="002C76B8">
        <w:rPr>
          <w:rFonts w:hint="eastAsia"/>
          <w:b/>
          <w:szCs w:val="28"/>
        </w:rPr>
        <w:t>就業服務的新措施</w:t>
      </w:r>
    </w:p>
    <w:p w:rsidR="0079515C" w:rsidRPr="004978D2" w:rsidRDefault="0079515C" w:rsidP="0079515C">
      <w:pPr>
        <w:snapToGrid w:val="0"/>
        <w:spacing w:line="0" w:lineRule="atLeast"/>
        <w:jc w:val="center"/>
        <w:rPr>
          <w:b/>
          <w:szCs w:val="28"/>
        </w:rPr>
      </w:pPr>
    </w:p>
    <w:p w:rsidR="0079515C" w:rsidRPr="002C76B8" w:rsidRDefault="0079515C" w:rsidP="0079515C">
      <w:pPr>
        <w:tabs>
          <w:tab w:val="left" w:pos="1440"/>
        </w:tabs>
        <w:adjustRightInd w:val="0"/>
        <w:snapToGrid w:val="0"/>
        <w:spacing w:line="400" w:lineRule="atLeast"/>
        <w:jc w:val="both"/>
        <w:rPr>
          <w:rFonts w:cs="Times New Roman"/>
          <w:szCs w:val="28"/>
        </w:rPr>
      </w:pPr>
      <w:r w:rsidRPr="002C76B8">
        <w:rPr>
          <w:rFonts w:cs="Times New Roman" w:hint="eastAsia"/>
          <w:szCs w:val="28"/>
        </w:rPr>
        <w:t>繼上一</w:t>
      </w:r>
      <w:r w:rsidRPr="002C76B8">
        <w:rPr>
          <w:rFonts w:cs="Times New Roman" w:hint="eastAsia"/>
          <w:szCs w:val="28"/>
          <w:lang w:eastAsia="zh-HK"/>
        </w:rPr>
        <w:t>次</w:t>
      </w:r>
      <w:r w:rsidRPr="002C76B8">
        <w:rPr>
          <w:rFonts w:cs="Times New Roman" w:hint="eastAsia"/>
          <w:szCs w:val="28"/>
        </w:rPr>
        <w:t>報告後，勞工處在提供就業服務方面落實的新措施</w:t>
      </w:r>
      <w:r>
        <w:rPr>
          <w:rFonts w:cs="Times New Roman" w:hint="eastAsia"/>
          <w:szCs w:val="28"/>
          <w:lang w:eastAsia="zh-HK"/>
        </w:rPr>
        <w:t>包</w:t>
      </w:r>
      <w:r>
        <w:rPr>
          <w:rFonts w:cs="Times New Roman" w:hint="eastAsia"/>
          <w:szCs w:val="28"/>
        </w:rPr>
        <w:t>括—</w:t>
      </w:r>
    </w:p>
    <w:p w:rsidR="0079515C" w:rsidRPr="002C76B8" w:rsidRDefault="0079515C" w:rsidP="0079515C">
      <w:pPr>
        <w:tabs>
          <w:tab w:val="left" w:pos="1440"/>
        </w:tabs>
        <w:adjustRightInd w:val="0"/>
        <w:snapToGrid w:val="0"/>
        <w:spacing w:line="400" w:lineRule="atLeast"/>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(a)</w:t>
      </w:r>
      <w:r>
        <w:rPr>
          <w:rFonts w:cs="Times New Roman"/>
          <w:szCs w:val="28"/>
        </w:rPr>
        <w:tab/>
      </w:r>
      <w:r w:rsidR="0079515C" w:rsidRPr="002C76B8">
        <w:rPr>
          <w:rFonts w:cs="Times New Roman" w:hint="eastAsia"/>
          <w:szCs w:val="28"/>
        </w:rPr>
        <w:t>在</w:t>
      </w:r>
      <w:r w:rsidR="0079515C" w:rsidRPr="002C76B8">
        <w:rPr>
          <w:rFonts w:cs="Times New Roman"/>
          <w:szCs w:val="28"/>
        </w:rPr>
        <w:t>2010</w:t>
      </w:r>
      <w:r w:rsidR="0079515C" w:rsidRPr="002C76B8">
        <w:rPr>
          <w:rFonts w:cs="Times New Roman" w:hint="eastAsia"/>
          <w:szCs w:val="28"/>
        </w:rPr>
        <w:t>年</w:t>
      </w:r>
      <w:r w:rsidR="0079515C" w:rsidRPr="002C76B8">
        <w:rPr>
          <w:rFonts w:cs="Times New Roman"/>
          <w:szCs w:val="28"/>
        </w:rPr>
        <w:t>6</w:t>
      </w:r>
      <w:r w:rsidR="0079515C" w:rsidRPr="002C76B8">
        <w:rPr>
          <w:rFonts w:cs="Times New Roman" w:hint="eastAsia"/>
          <w:szCs w:val="28"/>
        </w:rPr>
        <w:t>月設立一所零售業招聘中心，為業內僱主及求職人士提供適切的就業配對及即場面試安排，以便更有效地及盡早回應他們的招聘及就業需要；</w:t>
      </w:r>
    </w:p>
    <w:p w:rsidR="0079515C" w:rsidRPr="002C76B8" w:rsidRDefault="0079515C" w:rsidP="0079515C">
      <w:pPr>
        <w:tabs>
          <w:tab w:val="left" w:pos="1440"/>
        </w:tabs>
        <w:adjustRightInd w:val="0"/>
        <w:snapToGrid w:val="0"/>
        <w:spacing w:line="400" w:lineRule="atLeast"/>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(b)</w:t>
      </w:r>
      <w:r>
        <w:rPr>
          <w:rFonts w:cs="Times New Roman" w:hint="eastAsia"/>
          <w:szCs w:val="28"/>
        </w:rPr>
        <w:tab/>
      </w:r>
      <w:r w:rsidR="0079515C" w:rsidRPr="002C76B8">
        <w:rPr>
          <w:rFonts w:cs="Times New Roman" w:hint="eastAsia"/>
          <w:szCs w:val="28"/>
        </w:rPr>
        <w:t>「就業展才能計劃」透過向僱主發放津貼，鼓勵僱主聘用殘疾人士，並為他們提供在職培訓及支援。勞工處在</w:t>
      </w:r>
      <w:r w:rsidR="0079515C" w:rsidRPr="002C76B8">
        <w:rPr>
          <w:rFonts w:cs="Times New Roman"/>
          <w:szCs w:val="28"/>
        </w:rPr>
        <w:t>2013</w:t>
      </w:r>
      <w:r w:rsidR="0079515C" w:rsidRPr="002C76B8">
        <w:rPr>
          <w:rFonts w:cs="Times New Roman" w:hint="eastAsia"/>
          <w:szCs w:val="28"/>
        </w:rPr>
        <w:t>年</w:t>
      </w:r>
      <w:r w:rsidR="0079515C" w:rsidRPr="002C76B8">
        <w:rPr>
          <w:rFonts w:cs="Times New Roman"/>
          <w:szCs w:val="28"/>
        </w:rPr>
        <w:t>6</w:t>
      </w:r>
      <w:r w:rsidR="0079515C" w:rsidRPr="002C76B8">
        <w:rPr>
          <w:rFonts w:cs="Times New Roman" w:hint="eastAsia"/>
          <w:szCs w:val="28"/>
        </w:rPr>
        <w:t>月及</w:t>
      </w:r>
      <w:r w:rsidR="0079515C" w:rsidRPr="002C76B8">
        <w:rPr>
          <w:rFonts w:cs="Times New Roman"/>
          <w:szCs w:val="28"/>
        </w:rPr>
        <w:t>2018</w:t>
      </w:r>
      <w:r w:rsidR="0079515C" w:rsidRPr="002C76B8">
        <w:rPr>
          <w:rFonts w:cs="Times New Roman" w:hint="eastAsia"/>
          <w:szCs w:val="28"/>
        </w:rPr>
        <w:t>年</w:t>
      </w:r>
      <w:r w:rsidR="0079515C" w:rsidRPr="002C76B8">
        <w:rPr>
          <w:rFonts w:cs="Times New Roman"/>
          <w:szCs w:val="28"/>
        </w:rPr>
        <w:t>9</w:t>
      </w:r>
      <w:r w:rsidR="0079515C" w:rsidRPr="002C76B8">
        <w:rPr>
          <w:rFonts w:cs="Times New Roman" w:hint="eastAsia"/>
          <w:szCs w:val="28"/>
        </w:rPr>
        <w:t>月兩度加強有關計劃，透過增加給予僱主的財政誘因，以促進殘疾人士就業；</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(c)</w:t>
      </w:r>
      <w:r>
        <w:rPr>
          <w:rFonts w:cs="Times New Roman" w:hint="eastAsia"/>
          <w:szCs w:val="28"/>
        </w:rPr>
        <w:tab/>
      </w:r>
      <w:r w:rsidR="0079515C" w:rsidRPr="002C76B8">
        <w:rPr>
          <w:rFonts w:cs="Times New Roman" w:hint="eastAsia"/>
          <w:szCs w:val="28"/>
        </w:rPr>
        <w:t>勞工處自</w:t>
      </w:r>
      <w:r w:rsidR="0079515C" w:rsidRPr="002C76B8">
        <w:rPr>
          <w:rFonts w:cs="Times New Roman" w:hint="eastAsia"/>
          <w:szCs w:val="28"/>
        </w:rPr>
        <w:t>2014</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起推行「少數族裔就業服務大使計劃」，聘用能以少數族裔語言溝通的青年學員擔任就業服務大使，於就業中心、行業性招聘中心及招聘會協助少數族裔求職人士使用所提供的服務及設施，並同時接受在職培訓。計劃協助勞工處為少數族裔求職人士提供更佳服務，並豐富了少數族裔學員的工作經驗及履歷，有助他們在公開市場上求職。為加強對學員的培訓，勞工處將</w:t>
      </w:r>
      <w:r w:rsidR="0079515C" w:rsidRPr="002C76B8">
        <w:rPr>
          <w:rFonts w:cs="Times New Roman" w:hint="eastAsia"/>
          <w:szCs w:val="28"/>
        </w:rPr>
        <w:t>2018</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月起入職的少數族裔就業服務大使的在職培訓期由六個月延長至一年；</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(d)</w:t>
      </w:r>
      <w:r>
        <w:rPr>
          <w:rFonts w:cs="Times New Roman" w:hint="eastAsia"/>
          <w:szCs w:val="28"/>
        </w:rPr>
        <w:tab/>
      </w:r>
      <w:r w:rsidR="0079515C" w:rsidRPr="002C76B8">
        <w:rPr>
          <w:rFonts w:cs="Times New Roman" w:hint="eastAsia"/>
          <w:szCs w:val="28"/>
        </w:rPr>
        <w:t>為加強向居住於偏遠地區的求職人士提供的就業服務，勞工處於</w:t>
      </w:r>
      <w:r w:rsidR="0079515C" w:rsidRPr="002C76B8">
        <w:rPr>
          <w:rFonts w:cs="Times New Roman"/>
          <w:szCs w:val="28"/>
        </w:rPr>
        <w:t>2014</w:t>
      </w:r>
      <w:r w:rsidR="0079515C" w:rsidRPr="002C76B8">
        <w:rPr>
          <w:rFonts w:cs="Times New Roman" w:hint="eastAsia"/>
          <w:szCs w:val="28"/>
        </w:rPr>
        <w:t>年</w:t>
      </w:r>
      <w:r w:rsidR="0079515C" w:rsidRPr="002C76B8">
        <w:rPr>
          <w:rFonts w:cs="Times New Roman"/>
          <w:szCs w:val="28"/>
        </w:rPr>
        <w:t>10</w:t>
      </w:r>
      <w:r w:rsidR="0079515C" w:rsidRPr="002C76B8">
        <w:rPr>
          <w:rFonts w:cs="Times New Roman" w:hint="eastAsia"/>
          <w:szCs w:val="28"/>
        </w:rPr>
        <w:t>月設立一所新的就業中心，使全港就業中心的數目增至</w:t>
      </w:r>
      <w:r w:rsidR="0079515C" w:rsidRPr="002C76B8">
        <w:rPr>
          <w:rFonts w:cs="Times New Roman"/>
          <w:szCs w:val="28"/>
        </w:rPr>
        <w:t>13</w:t>
      </w:r>
      <w:r w:rsidR="0079515C" w:rsidRPr="002C76B8">
        <w:rPr>
          <w:rFonts w:cs="Times New Roman" w:hint="eastAsia"/>
          <w:szCs w:val="28"/>
        </w:rPr>
        <w:t>所；</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(e)</w:t>
      </w:r>
      <w:r>
        <w:rPr>
          <w:rFonts w:cs="Times New Roman" w:hint="eastAsia"/>
          <w:szCs w:val="28"/>
        </w:rPr>
        <w:tab/>
      </w:r>
      <w:r w:rsidR="0079515C" w:rsidRPr="002C76B8">
        <w:rPr>
          <w:rFonts w:cs="Times New Roman" w:hint="eastAsia"/>
          <w:szCs w:val="28"/>
        </w:rPr>
        <w:t>在</w:t>
      </w:r>
      <w:r w:rsidR="0079515C" w:rsidRPr="002C76B8">
        <w:rPr>
          <w:rFonts w:cs="Times New Roman" w:hint="eastAsia"/>
          <w:szCs w:val="28"/>
        </w:rPr>
        <w:t>2015</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月提升了為殘疾求職人士獲聘後提供的跟進服務，將跟進期由三個月延長至六個月；</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(f)</w:t>
      </w:r>
      <w:r>
        <w:rPr>
          <w:rFonts w:cs="Times New Roman" w:hint="eastAsia"/>
          <w:szCs w:val="28"/>
        </w:rPr>
        <w:tab/>
      </w:r>
      <w:r w:rsidR="0079515C" w:rsidRPr="002C76B8">
        <w:rPr>
          <w:rFonts w:cs="Times New Roman" w:hint="eastAsia"/>
          <w:szCs w:val="28"/>
        </w:rPr>
        <w:t>因應建造業面對技術工人人手短缺及老化問題，勞工處於</w:t>
      </w:r>
      <w:r w:rsidR="0079515C" w:rsidRPr="002C76B8">
        <w:rPr>
          <w:rFonts w:cs="Times New Roman"/>
          <w:szCs w:val="28"/>
        </w:rPr>
        <w:t>2016</w:t>
      </w:r>
      <w:r w:rsidR="0079515C" w:rsidRPr="002C76B8">
        <w:rPr>
          <w:rFonts w:cs="Times New Roman" w:hint="eastAsia"/>
          <w:szCs w:val="28"/>
        </w:rPr>
        <w:t>年</w:t>
      </w:r>
      <w:r w:rsidR="0079515C" w:rsidRPr="002C76B8">
        <w:rPr>
          <w:rFonts w:cs="Times New Roman"/>
          <w:szCs w:val="28"/>
        </w:rPr>
        <w:t>1</w:t>
      </w:r>
      <w:r w:rsidR="0079515C" w:rsidRPr="002C76B8">
        <w:rPr>
          <w:rFonts w:cs="Times New Roman" w:hint="eastAsia"/>
          <w:szCs w:val="28"/>
        </w:rPr>
        <w:t>月設立建造業招聘中心，協助業內僱主招聘工人及本地建造業工人就業，使全港行業性招聘中心的數目增至三所；</w:t>
      </w:r>
    </w:p>
    <w:p w:rsidR="0079515C" w:rsidRPr="002C76B8" w:rsidRDefault="0079515C" w:rsidP="0079515C">
      <w:pPr>
        <w:tabs>
          <w:tab w:val="left" w:pos="1440"/>
        </w:tabs>
        <w:adjustRightInd w:val="0"/>
        <w:snapToGrid w:val="0"/>
        <w:spacing w:line="400" w:lineRule="atLeast"/>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lastRenderedPageBreak/>
        <w:t>(g)</w:t>
      </w:r>
      <w:r>
        <w:rPr>
          <w:rFonts w:cs="Times New Roman" w:hint="eastAsia"/>
          <w:szCs w:val="28"/>
        </w:rPr>
        <w:tab/>
      </w:r>
      <w:r w:rsidR="0079515C" w:rsidRPr="002C76B8">
        <w:rPr>
          <w:rFonts w:cs="Times New Roman" w:hint="eastAsia"/>
          <w:szCs w:val="28"/>
        </w:rPr>
        <w:t>在</w:t>
      </w:r>
      <w:r w:rsidR="0079515C" w:rsidRPr="002C76B8">
        <w:rPr>
          <w:rFonts w:cs="Times New Roman" w:hint="eastAsia"/>
          <w:szCs w:val="28"/>
        </w:rPr>
        <w:t>2016</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月推出為期兩年的試驗計劃，為有需要的殘疾求職人士提供專業的心理及情緒輔導服務。因應試驗計劃反應理想，勞工處在</w:t>
      </w:r>
      <w:r w:rsidR="0079515C" w:rsidRPr="002C76B8">
        <w:rPr>
          <w:rFonts w:cs="Times New Roman" w:hint="eastAsia"/>
          <w:szCs w:val="28"/>
        </w:rPr>
        <w:t>2018</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月常規化有關輔導服務；</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w:t>
      </w:r>
      <w:r>
        <w:rPr>
          <w:rFonts w:cs="Times New Roman"/>
          <w:szCs w:val="28"/>
        </w:rPr>
        <w:t>h)</w:t>
      </w:r>
      <w:r>
        <w:rPr>
          <w:rFonts w:cs="Times New Roman"/>
          <w:szCs w:val="28"/>
        </w:rPr>
        <w:tab/>
      </w:r>
      <w:r w:rsidR="0079515C" w:rsidRPr="002C76B8">
        <w:rPr>
          <w:rFonts w:cs="Times New Roman" w:hint="eastAsia"/>
          <w:szCs w:val="28"/>
        </w:rPr>
        <w:t>為加強對持有高等學歷的求職人士的就業支援，包括於香港以外地區高等院校留學的香港學生、有興趣在香港工作的港人移民第二代及海外高學歷／專業人士，勞工處於</w:t>
      </w:r>
      <w:r w:rsidR="0079515C" w:rsidRPr="002C76B8">
        <w:rPr>
          <w:rFonts w:cs="Times New Roman" w:hint="eastAsia"/>
          <w:szCs w:val="28"/>
        </w:rPr>
        <w:t>2016</w:t>
      </w:r>
      <w:r w:rsidR="0079515C" w:rsidRPr="002C76B8">
        <w:rPr>
          <w:rFonts w:cs="Times New Roman" w:hint="eastAsia"/>
          <w:szCs w:val="28"/>
        </w:rPr>
        <w:t>年</w:t>
      </w:r>
      <w:r w:rsidR="0079515C" w:rsidRPr="002C76B8">
        <w:rPr>
          <w:rFonts w:cs="Times New Roman" w:hint="eastAsia"/>
          <w:szCs w:val="28"/>
        </w:rPr>
        <w:t>12</w:t>
      </w:r>
      <w:r w:rsidR="0079515C" w:rsidRPr="002C76B8">
        <w:rPr>
          <w:rFonts w:cs="Times New Roman" w:hint="eastAsia"/>
          <w:szCs w:val="28"/>
        </w:rPr>
        <w:t>月推出「高等學歷就業資訊網上平台」，讓他們了解香港就業市場的情況，及透過這個網上平台搜尋和申請合適的職位空缺；</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(i)</w:t>
      </w:r>
      <w:r>
        <w:rPr>
          <w:rFonts w:cs="Times New Roman" w:hint="eastAsia"/>
          <w:szCs w:val="28"/>
        </w:rPr>
        <w:tab/>
      </w:r>
      <w:r w:rsidR="0079515C" w:rsidRPr="002C76B8">
        <w:rPr>
          <w:rFonts w:cs="Times New Roman" w:hint="eastAsia"/>
          <w:szCs w:val="28"/>
        </w:rPr>
        <w:t>由</w:t>
      </w:r>
      <w:r w:rsidR="0079515C" w:rsidRPr="002C76B8">
        <w:rPr>
          <w:rFonts w:cs="Times New Roman" w:hint="eastAsia"/>
          <w:szCs w:val="28"/>
        </w:rPr>
        <w:t>2017</w:t>
      </w:r>
      <w:r w:rsidR="0079515C" w:rsidRPr="002C76B8">
        <w:rPr>
          <w:rFonts w:cs="Times New Roman" w:hint="eastAsia"/>
          <w:szCs w:val="28"/>
        </w:rPr>
        <w:t>年</w:t>
      </w:r>
      <w:r w:rsidR="0079515C" w:rsidRPr="002C76B8">
        <w:rPr>
          <w:rFonts w:cs="Times New Roman" w:hint="eastAsia"/>
          <w:szCs w:val="28"/>
        </w:rPr>
        <w:t>5</w:t>
      </w:r>
      <w:r w:rsidR="0079515C" w:rsidRPr="002C76B8">
        <w:rPr>
          <w:rFonts w:cs="Times New Roman" w:hint="eastAsia"/>
          <w:szCs w:val="28"/>
        </w:rPr>
        <w:t>月開始，勞工處以試點形式在兩所選定的就業中心聘用通曉少數族裔語言的就業助理，以加強向少數族裔求職人士提供就業服務，和幫助勞工處主動接觸少數族裔社群；</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(j)</w:t>
      </w:r>
      <w:r>
        <w:rPr>
          <w:rFonts w:cs="Times New Roman" w:hint="eastAsia"/>
          <w:szCs w:val="28"/>
        </w:rPr>
        <w:tab/>
      </w:r>
      <w:r w:rsidR="0079515C" w:rsidRPr="002C76B8">
        <w:rPr>
          <w:rFonts w:cs="Times New Roman" w:hint="eastAsia"/>
          <w:szCs w:val="28"/>
        </w:rPr>
        <w:t>為鼓勵僱主聘用年長人士及為他們提供在職培訓，勞工處在</w:t>
      </w:r>
      <w:r w:rsidR="0079515C" w:rsidRPr="002C76B8">
        <w:rPr>
          <w:rFonts w:cs="Times New Roman" w:hint="eastAsia"/>
          <w:szCs w:val="28"/>
        </w:rPr>
        <w:t>2018</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月將「中年就業計劃」優化，並易名為「中高齡就業計劃」。僱主按該計劃聘用</w:t>
      </w:r>
      <w:r w:rsidR="0079515C" w:rsidRPr="002C76B8">
        <w:rPr>
          <w:rFonts w:cs="Times New Roman" w:hint="eastAsia"/>
          <w:szCs w:val="28"/>
        </w:rPr>
        <w:t>60</w:t>
      </w:r>
      <w:r w:rsidR="0079515C" w:rsidRPr="002C76B8">
        <w:rPr>
          <w:rFonts w:cs="Times New Roman" w:hint="eastAsia"/>
          <w:szCs w:val="28"/>
        </w:rPr>
        <w:t>歲或以上已離開職場或失業的年長求職人士，可獲發放較高金額（每月上限達</w:t>
      </w:r>
      <w:r w:rsidR="0079515C" w:rsidRPr="002C76B8">
        <w:rPr>
          <w:rFonts w:cs="Times New Roman" w:hint="eastAsia"/>
          <w:szCs w:val="28"/>
        </w:rPr>
        <w:t>4,000</w:t>
      </w:r>
      <w:r w:rsidR="0079515C" w:rsidRPr="002C76B8">
        <w:rPr>
          <w:rFonts w:cs="Times New Roman" w:hint="eastAsia"/>
          <w:szCs w:val="28"/>
        </w:rPr>
        <w:t>元）及為期較長（</w:t>
      </w:r>
      <w:r w:rsidR="0079515C" w:rsidRPr="002C76B8">
        <w:rPr>
          <w:rFonts w:cs="Times New Roman" w:hint="eastAsia"/>
          <w:szCs w:val="28"/>
        </w:rPr>
        <w:t>6</w:t>
      </w:r>
      <w:r w:rsidR="0079515C" w:rsidRPr="002C76B8">
        <w:rPr>
          <w:rFonts w:cs="Times New Roman" w:hint="eastAsia"/>
          <w:szCs w:val="28"/>
        </w:rPr>
        <w:t>至</w:t>
      </w:r>
      <w:r w:rsidR="0079515C" w:rsidRPr="002C76B8">
        <w:rPr>
          <w:rFonts w:cs="Times New Roman" w:hint="eastAsia"/>
          <w:szCs w:val="28"/>
        </w:rPr>
        <w:t>12</w:t>
      </w:r>
      <w:r w:rsidR="0079515C" w:rsidRPr="002C76B8">
        <w:rPr>
          <w:rFonts w:cs="Times New Roman" w:hint="eastAsia"/>
          <w:szCs w:val="28"/>
        </w:rPr>
        <w:t>個月）的在職培訓津貼。因應部分年長人士較有興趣擔任兼職工作，勞工處亦於</w:t>
      </w:r>
      <w:r w:rsidR="0079515C" w:rsidRPr="002C76B8">
        <w:rPr>
          <w:rFonts w:cs="Times New Roman" w:hint="eastAsia"/>
          <w:szCs w:val="28"/>
        </w:rPr>
        <w:t>2015</w:t>
      </w:r>
      <w:r w:rsidR="0079515C" w:rsidRPr="002C76B8">
        <w:rPr>
          <w:rFonts w:cs="Times New Roman" w:hint="eastAsia"/>
          <w:szCs w:val="28"/>
        </w:rPr>
        <w:t>年</w:t>
      </w:r>
      <w:r w:rsidR="0079515C" w:rsidRPr="002C76B8">
        <w:rPr>
          <w:rFonts w:cs="Times New Roman" w:hint="eastAsia"/>
          <w:szCs w:val="28"/>
        </w:rPr>
        <w:t>9</w:t>
      </w:r>
      <w:r w:rsidR="0079515C" w:rsidRPr="002C76B8">
        <w:rPr>
          <w:rFonts w:cs="Times New Roman" w:hint="eastAsia"/>
          <w:szCs w:val="28"/>
        </w:rPr>
        <w:t>月起，將計劃擴展至涵蓋兼職職位；</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(k)</w:t>
      </w:r>
      <w:r>
        <w:rPr>
          <w:rFonts w:cs="Times New Roman" w:hint="eastAsia"/>
          <w:szCs w:val="28"/>
        </w:rPr>
        <w:tab/>
      </w:r>
      <w:r w:rsidR="0079515C" w:rsidRPr="002C76B8">
        <w:rPr>
          <w:rFonts w:cs="Times New Roman" w:hint="eastAsia"/>
          <w:szCs w:val="28"/>
        </w:rPr>
        <w:t>勞工處積極向僱主推廣少數族裔人士的工作能力，並經常提醒他們須按職位的真正需要訂定語言能力要求。勞工處亦為僱主舉辦經驗分享會，協助他們認識少數族裔文化及掌握與少數族裔人士溝通的技巧；及</w:t>
      </w:r>
    </w:p>
    <w:p w:rsidR="0079515C" w:rsidRPr="002C76B8" w:rsidRDefault="0079515C" w:rsidP="002C393F">
      <w:pPr>
        <w:widowControl/>
        <w:tabs>
          <w:tab w:val="left" w:pos="720"/>
        </w:tabs>
        <w:adjustRightInd w:val="0"/>
        <w:snapToGrid w:val="0"/>
        <w:spacing w:line="400" w:lineRule="atLeast"/>
        <w:ind w:left="720" w:hanging="720"/>
        <w:jc w:val="both"/>
        <w:rPr>
          <w:rFonts w:cs="Times New Roman"/>
          <w:szCs w:val="28"/>
        </w:rPr>
      </w:pPr>
    </w:p>
    <w:p w:rsidR="0079515C" w:rsidRPr="002C76B8" w:rsidRDefault="002C393F" w:rsidP="002C393F">
      <w:pPr>
        <w:widowControl/>
        <w:tabs>
          <w:tab w:val="left" w:pos="720"/>
        </w:tabs>
        <w:adjustRightInd w:val="0"/>
        <w:snapToGrid w:val="0"/>
        <w:spacing w:line="400" w:lineRule="atLeast"/>
        <w:ind w:left="720" w:hanging="720"/>
        <w:jc w:val="both"/>
        <w:rPr>
          <w:rFonts w:cs="Times New Roman"/>
          <w:szCs w:val="28"/>
        </w:rPr>
      </w:pPr>
      <w:r>
        <w:rPr>
          <w:rFonts w:cs="Times New Roman" w:hint="eastAsia"/>
          <w:szCs w:val="28"/>
        </w:rPr>
        <w:t>(l)</w:t>
      </w:r>
      <w:r>
        <w:rPr>
          <w:rFonts w:cs="Times New Roman" w:hint="eastAsia"/>
          <w:szCs w:val="28"/>
        </w:rPr>
        <w:tab/>
      </w:r>
      <w:r w:rsidR="0079515C" w:rsidRPr="002C76B8">
        <w:rPr>
          <w:rFonts w:cs="Times New Roman" w:hint="eastAsia"/>
          <w:szCs w:val="28"/>
        </w:rPr>
        <w:t>勞工處設立少數族裔求職人士專題網頁，特別展示那些歡迎少數族裔求職人士，以及沒有或只有較低的中文語文要求的職位空缺。在</w:t>
      </w:r>
      <w:r w:rsidR="0079515C" w:rsidRPr="002C76B8">
        <w:rPr>
          <w:rFonts w:cs="Times New Roman" w:hint="eastAsia"/>
          <w:szCs w:val="28"/>
        </w:rPr>
        <w:t>2017</w:t>
      </w:r>
      <w:r w:rsidR="0079515C" w:rsidRPr="002C76B8">
        <w:rPr>
          <w:rFonts w:cs="Times New Roman" w:hint="eastAsia"/>
          <w:szCs w:val="28"/>
        </w:rPr>
        <w:t>年及</w:t>
      </w:r>
      <w:r w:rsidR="0079515C" w:rsidRPr="002C76B8">
        <w:rPr>
          <w:rFonts w:cs="Times New Roman" w:hint="eastAsia"/>
          <w:szCs w:val="28"/>
        </w:rPr>
        <w:t>2018</w:t>
      </w:r>
      <w:r w:rsidR="0079515C" w:rsidRPr="002C76B8">
        <w:rPr>
          <w:rFonts w:cs="Times New Roman" w:hint="eastAsia"/>
          <w:szCs w:val="28"/>
        </w:rPr>
        <w:t>年，在勞工處錄得的私營機構職位空缺中，每年有超過</w:t>
      </w:r>
      <w:r w:rsidR="0079515C" w:rsidRPr="002C76B8">
        <w:rPr>
          <w:rFonts w:cs="Times New Roman" w:hint="eastAsia"/>
          <w:szCs w:val="28"/>
        </w:rPr>
        <w:t>6</w:t>
      </w:r>
      <w:r w:rsidR="0079515C" w:rsidRPr="002C76B8">
        <w:rPr>
          <w:rFonts w:cs="Times New Roman" w:hint="eastAsia"/>
          <w:szCs w:val="28"/>
        </w:rPr>
        <w:t>萬個職位空缺對申請者沒有或只有較低的中文要求。</w:t>
      </w:r>
    </w:p>
    <w:p w:rsidR="002B75FF" w:rsidRDefault="002B75FF" w:rsidP="008375BB">
      <w:pPr>
        <w:jc w:val="both"/>
        <w:rPr>
          <w:rFonts w:cs="Times New Roman"/>
          <w:b/>
          <w:szCs w:val="28"/>
          <w:lang w:val="en-GB"/>
        </w:rPr>
        <w:sectPr w:rsidR="002B75FF" w:rsidSect="0079515C">
          <w:footerReference w:type="default" r:id="rId26"/>
          <w:headerReference w:type="first" r:id="rId27"/>
          <w:footerReference w:type="first" r:id="rId28"/>
          <w:pgSz w:w="11906" w:h="16838"/>
          <w:pgMar w:top="1440" w:right="1800" w:bottom="1440" w:left="1800" w:header="720" w:footer="720" w:gutter="0"/>
          <w:pgNumType w:start="1"/>
          <w:cols w:space="425"/>
          <w:titlePg/>
          <w:docGrid w:type="lines" w:linePitch="381"/>
        </w:sectPr>
      </w:pPr>
    </w:p>
    <w:p w:rsidR="002B75FF" w:rsidRDefault="002B75FF" w:rsidP="002B75FF">
      <w:pPr>
        <w:snapToGrid w:val="0"/>
        <w:spacing w:line="400" w:lineRule="atLeast"/>
        <w:jc w:val="right"/>
        <w:rPr>
          <w:b/>
          <w:szCs w:val="28"/>
        </w:rPr>
      </w:pPr>
      <w:r w:rsidRPr="00322153">
        <w:rPr>
          <w:rFonts w:hint="eastAsia"/>
          <w:b/>
          <w:szCs w:val="28"/>
          <w:lang w:eastAsia="zh-HK"/>
        </w:rPr>
        <w:lastRenderedPageBreak/>
        <w:t>附件</w:t>
      </w:r>
      <w:r>
        <w:rPr>
          <w:rFonts w:hint="eastAsia"/>
          <w:b/>
          <w:szCs w:val="28"/>
          <w:lang w:eastAsia="zh-HK"/>
        </w:rPr>
        <w:t>6</w:t>
      </w:r>
      <w:r>
        <w:rPr>
          <w:b/>
          <w:szCs w:val="28"/>
          <w:lang w:eastAsia="zh-HK"/>
        </w:rPr>
        <w:t>C</w:t>
      </w:r>
    </w:p>
    <w:p w:rsidR="002B75FF" w:rsidRDefault="002B75FF" w:rsidP="002B75FF">
      <w:pPr>
        <w:snapToGrid w:val="0"/>
        <w:spacing w:line="400" w:lineRule="atLeast"/>
        <w:jc w:val="right"/>
        <w:rPr>
          <w:b/>
          <w:szCs w:val="28"/>
        </w:rPr>
      </w:pPr>
    </w:p>
    <w:p w:rsidR="002B75FF" w:rsidRPr="00B733C6" w:rsidRDefault="002B75FF" w:rsidP="002B75FF">
      <w:pPr>
        <w:snapToGrid w:val="0"/>
        <w:spacing w:line="400" w:lineRule="atLeast"/>
        <w:jc w:val="center"/>
        <w:rPr>
          <w:b/>
        </w:rPr>
      </w:pPr>
      <w:r w:rsidRPr="00B733C6">
        <w:rPr>
          <w:rFonts w:hint="eastAsia"/>
          <w:b/>
          <w:szCs w:val="28"/>
          <w:lang w:val="en-GB"/>
        </w:rPr>
        <w:t>「展翅青見計劃」</w:t>
      </w:r>
    </w:p>
    <w:p w:rsidR="002B75FF" w:rsidRPr="00324989" w:rsidRDefault="002B75FF" w:rsidP="002B75FF">
      <w:pPr>
        <w:tabs>
          <w:tab w:val="left" w:pos="1440"/>
        </w:tabs>
        <w:adjustRightInd w:val="0"/>
        <w:snapToGrid w:val="0"/>
        <w:spacing w:line="400" w:lineRule="atLeast"/>
        <w:jc w:val="both"/>
        <w:rPr>
          <w:szCs w:val="28"/>
          <w:lang w:val="en-GB"/>
        </w:rPr>
      </w:pPr>
    </w:p>
    <w:p w:rsidR="002B75FF" w:rsidRPr="00591CE2" w:rsidRDefault="002B75FF" w:rsidP="002B75FF">
      <w:pPr>
        <w:tabs>
          <w:tab w:val="left" w:pos="1440"/>
        </w:tabs>
        <w:adjustRightInd w:val="0"/>
        <w:snapToGrid w:val="0"/>
        <w:spacing w:line="400" w:lineRule="atLeast"/>
        <w:jc w:val="both"/>
        <w:rPr>
          <w:b/>
          <w:szCs w:val="28"/>
          <w:lang w:eastAsia="zh-HK"/>
        </w:rPr>
      </w:pPr>
      <w:r>
        <w:rPr>
          <w:szCs w:val="28"/>
          <w:lang w:val="en-GB"/>
        </w:rPr>
        <w:t>1.</w:t>
      </w:r>
      <w:r>
        <w:rPr>
          <w:szCs w:val="28"/>
          <w:lang w:val="en-GB"/>
        </w:rPr>
        <w:tab/>
      </w:r>
      <w:r w:rsidRPr="00350F19">
        <w:rPr>
          <w:rFonts w:hint="eastAsia"/>
          <w:szCs w:val="28"/>
          <w:lang w:val="en-GB"/>
        </w:rPr>
        <w:t>勞工處自</w:t>
      </w:r>
      <w:r w:rsidRPr="00350F19">
        <w:rPr>
          <w:szCs w:val="28"/>
          <w:lang w:val="en-GB"/>
        </w:rPr>
        <w:t>2009</w:t>
      </w:r>
      <w:r w:rsidRPr="00350F19">
        <w:rPr>
          <w:rFonts w:hint="eastAsia"/>
          <w:szCs w:val="28"/>
          <w:lang w:val="en-GB"/>
        </w:rPr>
        <w:t>年</w:t>
      </w:r>
      <w:r w:rsidRPr="00350F19">
        <w:rPr>
          <w:szCs w:val="28"/>
          <w:lang w:val="en-GB"/>
        </w:rPr>
        <w:t>9</w:t>
      </w:r>
      <w:r w:rsidRPr="00350F19">
        <w:rPr>
          <w:rFonts w:hint="eastAsia"/>
          <w:szCs w:val="28"/>
          <w:lang w:val="en-GB"/>
        </w:rPr>
        <w:t>月起推行「展翅青見計劃」，為</w:t>
      </w:r>
      <w:r w:rsidRPr="00350F19">
        <w:rPr>
          <w:szCs w:val="28"/>
          <w:lang w:val="en-GB"/>
        </w:rPr>
        <w:t>15</w:t>
      </w:r>
      <w:r w:rsidRPr="00350F19">
        <w:rPr>
          <w:rFonts w:hint="eastAsia"/>
          <w:szCs w:val="28"/>
          <w:lang w:val="en-GB"/>
        </w:rPr>
        <w:t>至</w:t>
      </w:r>
      <w:r w:rsidRPr="00350F19">
        <w:rPr>
          <w:szCs w:val="28"/>
          <w:lang w:val="en-GB"/>
        </w:rPr>
        <w:t>24</w:t>
      </w:r>
      <w:r w:rsidRPr="00350F19">
        <w:rPr>
          <w:rFonts w:hint="eastAsia"/>
          <w:szCs w:val="28"/>
          <w:lang w:val="en-GB"/>
        </w:rPr>
        <w:t>歲、學歷在副學位或以下的青年人提供全面的職前及在職培訓。計劃</w:t>
      </w:r>
      <w:r>
        <w:rPr>
          <w:rFonts w:hint="eastAsia"/>
          <w:szCs w:val="28"/>
          <w:lang w:val="en-GB" w:eastAsia="zh-HK"/>
        </w:rPr>
        <w:t>的</w:t>
      </w:r>
      <w:r w:rsidRPr="00350F19">
        <w:rPr>
          <w:rFonts w:hint="eastAsia"/>
          <w:szCs w:val="28"/>
          <w:lang w:val="en-GB"/>
        </w:rPr>
        <w:t>招生名額</w:t>
      </w:r>
      <w:r>
        <w:rPr>
          <w:rFonts w:hint="eastAsia"/>
          <w:szCs w:val="28"/>
          <w:lang w:val="en-GB" w:eastAsia="zh-HK"/>
        </w:rPr>
        <w:t>沒</w:t>
      </w:r>
      <w:r>
        <w:rPr>
          <w:rFonts w:hint="eastAsia"/>
          <w:szCs w:val="28"/>
          <w:lang w:val="en-GB"/>
        </w:rPr>
        <w:t>有</w:t>
      </w:r>
      <w:r w:rsidRPr="00350F19">
        <w:rPr>
          <w:rFonts w:hint="eastAsia"/>
          <w:szCs w:val="28"/>
          <w:lang w:val="en-GB"/>
        </w:rPr>
        <w:t>上限，會彈性取錄所有合資格的青年人。</w:t>
      </w:r>
    </w:p>
    <w:p w:rsidR="002B75FF" w:rsidRPr="00350F19" w:rsidRDefault="002B75FF" w:rsidP="002B75FF">
      <w:pPr>
        <w:tabs>
          <w:tab w:val="left" w:pos="1440"/>
        </w:tabs>
        <w:adjustRightInd w:val="0"/>
        <w:snapToGrid w:val="0"/>
        <w:spacing w:line="400" w:lineRule="atLeast"/>
        <w:jc w:val="both"/>
        <w:rPr>
          <w:szCs w:val="28"/>
          <w:lang w:val="en-GB"/>
        </w:rPr>
      </w:pPr>
    </w:p>
    <w:p w:rsidR="002B75FF" w:rsidRPr="00350F19" w:rsidRDefault="002B75FF" w:rsidP="002B75FF">
      <w:pPr>
        <w:tabs>
          <w:tab w:val="left" w:pos="1440"/>
        </w:tabs>
        <w:adjustRightInd w:val="0"/>
        <w:snapToGrid w:val="0"/>
        <w:spacing w:line="400" w:lineRule="atLeast"/>
        <w:jc w:val="both"/>
        <w:rPr>
          <w:szCs w:val="28"/>
          <w:lang w:val="en-GB"/>
        </w:rPr>
      </w:pPr>
      <w:r>
        <w:rPr>
          <w:szCs w:val="28"/>
          <w:lang w:val="en-GB"/>
        </w:rPr>
        <w:t>2.</w:t>
      </w:r>
      <w:r>
        <w:rPr>
          <w:szCs w:val="28"/>
          <w:lang w:val="en-GB"/>
        </w:rPr>
        <w:tab/>
      </w:r>
      <w:r w:rsidRPr="00350F19">
        <w:rPr>
          <w:rFonts w:hint="eastAsia"/>
          <w:szCs w:val="28"/>
          <w:lang w:val="en-GB"/>
        </w:rPr>
        <w:t>「展翅青見計劃」具多樣化元素，照顧不同背景的青年人的需要。例如：計劃為內地新來港定居人士、少數族裔人士、更生青年人、學習遲緩的青年人，以及接受外展服務和長期病患的青年人度身訂造特別培訓項目</w:t>
      </w:r>
      <w:r>
        <w:rPr>
          <w:rFonts w:hint="eastAsia"/>
          <w:szCs w:val="28"/>
          <w:lang w:val="en-GB"/>
        </w:rPr>
        <w:t>，</w:t>
      </w:r>
      <w:r w:rsidRPr="00350F19">
        <w:rPr>
          <w:rFonts w:hint="eastAsia"/>
          <w:szCs w:val="28"/>
          <w:lang w:val="en-GB"/>
        </w:rPr>
        <w:t>內容包括個人化的擇業輔導、個案管理，以及度身訂造的職前培訓課程。職前培訓課程涵蓋求職及人際技巧、團隊協作、電腦應用，以及多個行業的職業技能訓練。截至</w:t>
      </w:r>
      <w:r w:rsidRPr="00350F19">
        <w:rPr>
          <w:szCs w:val="28"/>
          <w:lang w:val="en-GB"/>
        </w:rPr>
        <w:t>2018</w:t>
      </w:r>
      <w:r w:rsidRPr="00350F19">
        <w:rPr>
          <w:rFonts w:hint="eastAsia"/>
          <w:szCs w:val="28"/>
          <w:lang w:val="en-GB"/>
        </w:rPr>
        <w:t>年年底，共有超過</w:t>
      </w:r>
      <w:r w:rsidRPr="00350F19">
        <w:rPr>
          <w:szCs w:val="28"/>
          <w:lang w:val="en-GB"/>
        </w:rPr>
        <w:t>77 000</w:t>
      </w:r>
      <w:r w:rsidRPr="00350F19">
        <w:rPr>
          <w:rFonts w:hint="eastAsia"/>
          <w:szCs w:val="28"/>
          <w:lang w:val="en-GB"/>
        </w:rPr>
        <w:t>名青年人參加。</w:t>
      </w:r>
    </w:p>
    <w:p w:rsidR="002B75FF" w:rsidRPr="00350F19" w:rsidRDefault="002B75FF" w:rsidP="002B75FF">
      <w:pPr>
        <w:tabs>
          <w:tab w:val="left" w:pos="1440"/>
        </w:tabs>
        <w:adjustRightInd w:val="0"/>
        <w:snapToGrid w:val="0"/>
        <w:spacing w:line="400" w:lineRule="atLeast"/>
        <w:jc w:val="both"/>
        <w:rPr>
          <w:szCs w:val="28"/>
          <w:lang w:val="en-GB"/>
        </w:rPr>
      </w:pPr>
    </w:p>
    <w:p w:rsidR="002B75FF" w:rsidRPr="00350F19" w:rsidRDefault="002B75FF" w:rsidP="002B75FF">
      <w:pPr>
        <w:tabs>
          <w:tab w:val="left" w:pos="1440"/>
        </w:tabs>
        <w:adjustRightInd w:val="0"/>
        <w:snapToGrid w:val="0"/>
        <w:spacing w:line="400" w:lineRule="atLeast"/>
        <w:jc w:val="both"/>
        <w:rPr>
          <w:szCs w:val="28"/>
          <w:lang w:val="en-GB"/>
        </w:rPr>
      </w:pPr>
      <w:r>
        <w:rPr>
          <w:rFonts w:hint="eastAsia"/>
          <w:szCs w:val="28"/>
          <w:lang w:val="en-GB"/>
        </w:rPr>
        <w:t>3.</w:t>
      </w:r>
      <w:r w:rsidRPr="00350F19">
        <w:rPr>
          <w:szCs w:val="28"/>
          <w:lang w:val="en-GB"/>
        </w:rPr>
        <w:tab/>
      </w:r>
      <w:r w:rsidRPr="00350F19">
        <w:rPr>
          <w:rFonts w:hint="eastAsia"/>
          <w:szCs w:val="28"/>
          <w:lang w:val="en-GB"/>
        </w:rPr>
        <w:t>勞工處</w:t>
      </w:r>
      <w:r>
        <w:rPr>
          <w:rFonts w:hint="eastAsia"/>
          <w:szCs w:val="28"/>
          <w:lang w:val="en-GB" w:eastAsia="zh-HK"/>
        </w:rPr>
        <w:t>自</w:t>
      </w:r>
      <w:r w:rsidRPr="00350F19">
        <w:rPr>
          <w:rFonts w:hint="eastAsia"/>
          <w:szCs w:val="28"/>
          <w:lang w:val="en-GB"/>
        </w:rPr>
        <w:t>上</w:t>
      </w:r>
      <w:r>
        <w:rPr>
          <w:rFonts w:hint="eastAsia"/>
          <w:szCs w:val="28"/>
          <w:lang w:val="en-GB" w:eastAsia="zh-HK"/>
        </w:rPr>
        <w:t>次</w:t>
      </w:r>
      <w:r w:rsidRPr="00350F19">
        <w:rPr>
          <w:rFonts w:hint="eastAsia"/>
          <w:szCs w:val="28"/>
          <w:lang w:val="en-GB"/>
        </w:rPr>
        <w:t>報告後進一步優化「展翅青見計劃」</w:t>
      </w:r>
      <w:r>
        <w:rPr>
          <w:rFonts w:hint="eastAsia"/>
          <w:szCs w:val="28"/>
          <w:lang w:val="en-GB" w:eastAsia="zh-HK"/>
        </w:rPr>
        <w:t>的</w:t>
      </w:r>
      <w:r w:rsidRPr="00350F19">
        <w:rPr>
          <w:rFonts w:hint="eastAsia"/>
          <w:szCs w:val="28"/>
          <w:lang w:val="en-GB"/>
        </w:rPr>
        <w:t>項目包括</w:t>
      </w:r>
      <w:r>
        <w:rPr>
          <w:rFonts w:hint="eastAsia"/>
          <w:szCs w:val="28"/>
          <w:lang w:val="en-GB" w:eastAsia="zh-HK"/>
        </w:rPr>
        <w:t>：</w:t>
      </w:r>
    </w:p>
    <w:p w:rsidR="002B75FF" w:rsidRPr="00350F19" w:rsidRDefault="002B75FF" w:rsidP="002B75FF">
      <w:pPr>
        <w:tabs>
          <w:tab w:val="left" w:pos="1440"/>
        </w:tabs>
        <w:adjustRightInd w:val="0"/>
        <w:snapToGrid w:val="0"/>
        <w:spacing w:line="400" w:lineRule="atLeast"/>
        <w:jc w:val="both"/>
        <w:rPr>
          <w:szCs w:val="28"/>
          <w:lang w:val="en-GB"/>
        </w:rPr>
      </w:pPr>
    </w:p>
    <w:p w:rsidR="002B75FF" w:rsidRPr="00350F19" w:rsidRDefault="00AF4ECB" w:rsidP="00AF4ECB">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r>
      <w:r>
        <w:rPr>
          <w:rFonts w:hint="eastAsia"/>
          <w:szCs w:val="28"/>
          <w:lang w:val="en-GB"/>
        </w:rPr>
        <w:t>(a)</w:t>
      </w:r>
      <w:r>
        <w:rPr>
          <w:szCs w:val="28"/>
          <w:lang w:val="en-GB"/>
        </w:rPr>
        <w:tab/>
      </w:r>
      <w:r w:rsidR="002B75FF" w:rsidRPr="00350F19">
        <w:rPr>
          <w:rFonts w:hint="eastAsia"/>
          <w:szCs w:val="28"/>
          <w:lang w:val="en-GB"/>
        </w:rPr>
        <w:t>於</w:t>
      </w:r>
      <w:r w:rsidR="002B75FF" w:rsidRPr="00350F19">
        <w:rPr>
          <w:rFonts w:hint="eastAsia"/>
          <w:szCs w:val="28"/>
          <w:lang w:val="en-GB"/>
        </w:rPr>
        <w:t>2013</w:t>
      </w:r>
      <w:r w:rsidR="002B75FF" w:rsidRPr="00350F19">
        <w:rPr>
          <w:rFonts w:hint="eastAsia"/>
          <w:szCs w:val="28"/>
          <w:lang w:val="en-GB"/>
        </w:rPr>
        <w:t>年</w:t>
      </w:r>
      <w:r w:rsidR="002B75FF" w:rsidRPr="00350F19">
        <w:rPr>
          <w:rFonts w:hint="eastAsia"/>
          <w:szCs w:val="28"/>
          <w:lang w:val="en-GB"/>
        </w:rPr>
        <w:t>6</w:t>
      </w:r>
      <w:r w:rsidR="002B75FF" w:rsidRPr="00350F19">
        <w:rPr>
          <w:rFonts w:hint="eastAsia"/>
          <w:szCs w:val="28"/>
          <w:lang w:val="en-GB"/>
        </w:rPr>
        <w:t>月及</w:t>
      </w:r>
      <w:r w:rsidR="002B75FF" w:rsidRPr="00350F19">
        <w:rPr>
          <w:rFonts w:hint="eastAsia"/>
          <w:szCs w:val="28"/>
          <w:lang w:val="en-GB"/>
        </w:rPr>
        <w:t>2017</w:t>
      </w:r>
      <w:r w:rsidR="002B75FF" w:rsidRPr="00350F19">
        <w:rPr>
          <w:rFonts w:hint="eastAsia"/>
          <w:szCs w:val="28"/>
          <w:lang w:val="en-GB"/>
        </w:rPr>
        <w:t>年</w:t>
      </w:r>
      <w:r w:rsidR="002B75FF" w:rsidRPr="00350F19">
        <w:rPr>
          <w:rFonts w:hint="eastAsia"/>
          <w:szCs w:val="28"/>
          <w:lang w:val="en-GB"/>
        </w:rPr>
        <w:t>9</w:t>
      </w:r>
      <w:r w:rsidR="002B75FF" w:rsidRPr="00350F19">
        <w:rPr>
          <w:rFonts w:hint="eastAsia"/>
          <w:szCs w:val="28"/>
          <w:lang w:val="en-GB"/>
        </w:rPr>
        <w:t>月兩度增加發放予學員的工作實習津貼，以及於</w:t>
      </w:r>
      <w:r w:rsidR="002B75FF" w:rsidRPr="00350F19">
        <w:rPr>
          <w:rFonts w:hint="eastAsia"/>
          <w:szCs w:val="28"/>
          <w:lang w:val="en-GB"/>
        </w:rPr>
        <w:t>2013</w:t>
      </w:r>
      <w:r w:rsidR="002B75FF" w:rsidRPr="00350F19">
        <w:rPr>
          <w:rFonts w:hint="eastAsia"/>
          <w:szCs w:val="28"/>
          <w:lang w:val="en-GB"/>
        </w:rPr>
        <w:t>年</w:t>
      </w:r>
      <w:r w:rsidR="002B75FF" w:rsidRPr="00350F19">
        <w:rPr>
          <w:rFonts w:hint="eastAsia"/>
          <w:szCs w:val="28"/>
          <w:lang w:val="en-GB"/>
        </w:rPr>
        <w:t>9</w:t>
      </w:r>
      <w:r w:rsidR="002B75FF" w:rsidRPr="00350F19">
        <w:rPr>
          <w:rFonts w:hint="eastAsia"/>
          <w:szCs w:val="28"/>
          <w:lang w:val="en-GB"/>
        </w:rPr>
        <w:t>月及</w:t>
      </w:r>
      <w:r w:rsidR="002B75FF" w:rsidRPr="00350F19">
        <w:rPr>
          <w:rFonts w:hint="eastAsia"/>
          <w:szCs w:val="28"/>
          <w:lang w:val="en-GB"/>
        </w:rPr>
        <w:t>2017</w:t>
      </w:r>
      <w:r w:rsidR="002B75FF" w:rsidRPr="00350F19">
        <w:rPr>
          <w:rFonts w:hint="eastAsia"/>
          <w:szCs w:val="28"/>
          <w:lang w:val="en-GB"/>
        </w:rPr>
        <w:t>年</w:t>
      </w:r>
      <w:r w:rsidR="002B75FF" w:rsidRPr="00350F19">
        <w:rPr>
          <w:rFonts w:hint="eastAsia"/>
          <w:szCs w:val="28"/>
          <w:lang w:val="en-GB"/>
        </w:rPr>
        <w:t>9</w:t>
      </w:r>
      <w:r w:rsidR="002B75FF" w:rsidRPr="00350F19">
        <w:rPr>
          <w:rFonts w:hint="eastAsia"/>
          <w:szCs w:val="28"/>
          <w:lang w:val="en-GB"/>
        </w:rPr>
        <w:t>月兩度增加培訓津貼，以鼓勵更多學員參加工作實習訓練及職前培訓；</w:t>
      </w:r>
    </w:p>
    <w:p w:rsidR="002B75FF" w:rsidRPr="00AF4ECB" w:rsidRDefault="002B75FF" w:rsidP="002B75FF">
      <w:pPr>
        <w:tabs>
          <w:tab w:val="left" w:pos="1440"/>
        </w:tabs>
        <w:adjustRightInd w:val="0"/>
        <w:snapToGrid w:val="0"/>
        <w:spacing w:line="400" w:lineRule="atLeast"/>
        <w:jc w:val="both"/>
        <w:rPr>
          <w:szCs w:val="28"/>
          <w:lang w:val="en-GB"/>
        </w:rPr>
      </w:pPr>
    </w:p>
    <w:p w:rsidR="002B75FF" w:rsidRPr="00350F19" w:rsidRDefault="00AF4ECB" w:rsidP="00AF4ECB">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r>
      <w:r>
        <w:rPr>
          <w:rFonts w:hint="eastAsia"/>
          <w:szCs w:val="28"/>
          <w:lang w:val="en-GB"/>
        </w:rPr>
        <w:t>(b)</w:t>
      </w:r>
      <w:r>
        <w:rPr>
          <w:szCs w:val="28"/>
          <w:lang w:val="en-GB"/>
        </w:rPr>
        <w:tab/>
      </w:r>
      <w:r w:rsidR="002B75FF" w:rsidRPr="00350F19">
        <w:rPr>
          <w:rFonts w:hint="eastAsia"/>
          <w:szCs w:val="28"/>
          <w:lang w:val="en-GB"/>
        </w:rPr>
        <w:t>於</w:t>
      </w:r>
      <w:r w:rsidR="002B75FF" w:rsidRPr="00350F19">
        <w:rPr>
          <w:rFonts w:hint="eastAsia"/>
          <w:szCs w:val="28"/>
          <w:lang w:val="en-GB"/>
        </w:rPr>
        <w:t>2013</w:t>
      </w:r>
      <w:r w:rsidR="002B75FF" w:rsidRPr="00350F19">
        <w:rPr>
          <w:rFonts w:hint="eastAsia"/>
          <w:szCs w:val="28"/>
          <w:lang w:val="en-GB"/>
        </w:rPr>
        <w:t>年</w:t>
      </w:r>
      <w:r w:rsidR="002B75FF" w:rsidRPr="00350F19">
        <w:rPr>
          <w:rFonts w:hint="eastAsia"/>
          <w:szCs w:val="28"/>
          <w:lang w:val="en-GB"/>
        </w:rPr>
        <w:t>6</w:t>
      </w:r>
      <w:r w:rsidR="002B75FF" w:rsidRPr="00350F19">
        <w:rPr>
          <w:rFonts w:hint="eastAsia"/>
          <w:szCs w:val="28"/>
          <w:lang w:val="en-GB"/>
        </w:rPr>
        <w:t>月及</w:t>
      </w:r>
      <w:r w:rsidR="002B75FF" w:rsidRPr="00350F19">
        <w:rPr>
          <w:rFonts w:hint="eastAsia"/>
          <w:szCs w:val="28"/>
          <w:lang w:val="en-GB"/>
        </w:rPr>
        <w:t>2018</w:t>
      </w:r>
      <w:r w:rsidR="002B75FF" w:rsidRPr="00350F19">
        <w:rPr>
          <w:rFonts w:hint="eastAsia"/>
          <w:szCs w:val="28"/>
          <w:lang w:val="en-GB"/>
        </w:rPr>
        <w:t>年</w:t>
      </w:r>
      <w:r w:rsidR="002B75FF" w:rsidRPr="00350F19">
        <w:rPr>
          <w:rFonts w:hint="eastAsia"/>
          <w:szCs w:val="28"/>
          <w:lang w:val="en-GB"/>
        </w:rPr>
        <w:t>9</w:t>
      </w:r>
      <w:r w:rsidR="002B75FF" w:rsidRPr="00350F19">
        <w:rPr>
          <w:rFonts w:hint="eastAsia"/>
          <w:szCs w:val="28"/>
          <w:lang w:val="en-GB"/>
        </w:rPr>
        <w:t>月兩度調高發放予僱主的在職培訓津貼，以鼓勵僱主聘用青年人及提供優質的在職培訓；以及</w:t>
      </w:r>
    </w:p>
    <w:p w:rsidR="002B75FF" w:rsidRPr="00AF4ECB" w:rsidRDefault="002B75FF" w:rsidP="002B75FF">
      <w:pPr>
        <w:tabs>
          <w:tab w:val="left" w:pos="1440"/>
        </w:tabs>
        <w:adjustRightInd w:val="0"/>
        <w:snapToGrid w:val="0"/>
        <w:spacing w:line="400" w:lineRule="atLeast"/>
        <w:jc w:val="both"/>
        <w:rPr>
          <w:szCs w:val="28"/>
          <w:lang w:val="en-GB"/>
        </w:rPr>
      </w:pPr>
    </w:p>
    <w:p w:rsidR="002B75FF" w:rsidRPr="00350F19" w:rsidRDefault="00AF4ECB" w:rsidP="00AF4ECB">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r>
      <w:r>
        <w:rPr>
          <w:rFonts w:hint="eastAsia"/>
          <w:szCs w:val="28"/>
          <w:lang w:val="en-GB"/>
        </w:rPr>
        <w:t>(c)</w:t>
      </w:r>
      <w:r>
        <w:rPr>
          <w:szCs w:val="28"/>
          <w:lang w:val="en-GB"/>
        </w:rPr>
        <w:tab/>
      </w:r>
      <w:r w:rsidR="002B75FF" w:rsidRPr="00350F19">
        <w:rPr>
          <w:rFonts w:hint="eastAsia"/>
          <w:szCs w:val="28"/>
          <w:lang w:val="en-GB"/>
        </w:rPr>
        <w:t>於</w:t>
      </w:r>
      <w:r w:rsidR="002B75FF" w:rsidRPr="00350F19">
        <w:rPr>
          <w:szCs w:val="28"/>
          <w:lang w:val="en-GB"/>
        </w:rPr>
        <w:t>2018</w:t>
      </w:r>
      <w:r w:rsidR="002B75FF" w:rsidRPr="00350F19">
        <w:rPr>
          <w:rFonts w:hint="eastAsia"/>
          <w:szCs w:val="28"/>
          <w:lang w:val="en-GB"/>
        </w:rPr>
        <w:t>年</w:t>
      </w:r>
      <w:r w:rsidR="002B75FF" w:rsidRPr="00350F19">
        <w:rPr>
          <w:szCs w:val="28"/>
          <w:lang w:val="en-GB"/>
        </w:rPr>
        <w:t>9</w:t>
      </w:r>
      <w:r w:rsidR="002B75FF" w:rsidRPr="00350F19">
        <w:rPr>
          <w:rFonts w:hint="eastAsia"/>
          <w:szCs w:val="28"/>
          <w:lang w:val="en-GB"/>
        </w:rPr>
        <w:t>月把「展翅青見計劃」下的在職培訓擴展至涵蓋兼職職位。</w:t>
      </w:r>
    </w:p>
    <w:p w:rsidR="002B75FF" w:rsidRDefault="002B75FF" w:rsidP="008375BB">
      <w:pPr>
        <w:jc w:val="both"/>
        <w:rPr>
          <w:rFonts w:cs="Times New Roman"/>
          <w:b/>
          <w:szCs w:val="28"/>
          <w:lang w:val="en-GB"/>
        </w:rPr>
        <w:sectPr w:rsidR="002B75FF" w:rsidSect="002B75FF">
          <w:footerReference w:type="default" r:id="rId29"/>
          <w:pgSz w:w="11906" w:h="16838"/>
          <w:pgMar w:top="1440" w:right="1800" w:bottom="1440" w:left="1800" w:header="720" w:footer="720" w:gutter="0"/>
          <w:pgNumType w:start="1"/>
          <w:cols w:space="425"/>
          <w:docGrid w:type="lines" w:linePitch="381"/>
        </w:sectPr>
      </w:pPr>
    </w:p>
    <w:p w:rsidR="002B75FF" w:rsidRPr="00EB730A" w:rsidRDefault="002B75FF" w:rsidP="002B75FF">
      <w:pPr>
        <w:snapToGrid w:val="0"/>
        <w:spacing w:line="400" w:lineRule="atLeast"/>
        <w:jc w:val="right"/>
        <w:rPr>
          <w:szCs w:val="28"/>
        </w:rPr>
      </w:pPr>
      <w:r w:rsidRPr="00D744E2">
        <w:rPr>
          <w:rFonts w:hint="eastAsia"/>
          <w:b/>
          <w:szCs w:val="28"/>
          <w:lang w:eastAsia="zh-HK"/>
        </w:rPr>
        <w:lastRenderedPageBreak/>
        <w:t>附件</w:t>
      </w:r>
      <w:r w:rsidRPr="00D744E2">
        <w:rPr>
          <w:rFonts w:hint="eastAsia"/>
          <w:b/>
          <w:szCs w:val="28"/>
        </w:rPr>
        <w:t>6</w:t>
      </w:r>
      <w:r>
        <w:rPr>
          <w:b/>
          <w:szCs w:val="28"/>
        </w:rPr>
        <w:t>D</w:t>
      </w:r>
    </w:p>
    <w:p w:rsidR="002B75FF" w:rsidRDefault="002B75FF" w:rsidP="002B75FF">
      <w:pPr>
        <w:snapToGrid w:val="0"/>
        <w:spacing w:line="400" w:lineRule="atLeast"/>
        <w:jc w:val="center"/>
        <w:rPr>
          <w:b/>
          <w:szCs w:val="28"/>
          <w:lang w:val="en-GB"/>
        </w:rPr>
      </w:pPr>
    </w:p>
    <w:p w:rsidR="002B75FF" w:rsidRDefault="002B75FF" w:rsidP="002B75FF">
      <w:pPr>
        <w:snapToGrid w:val="0"/>
        <w:spacing w:line="400" w:lineRule="atLeast"/>
        <w:jc w:val="center"/>
        <w:rPr>
          <w:b/>
          <w:szCs w:val="28"/>
          <w:lang w:val="en-GB"/>
        </w:rPr>
      </w:pPr>
      <w:r w:rsidRPr="00EB730A">
        <w:rPr>
          <w:rFonts w:hint="eastAsia"/>
          <w:b/>
          <w:szCs w:val="28"/>
          <w:lang w:val="en-GB"/>
        </w:rPr>
        <w:t>僱員再培訓局</w:t>
      </w:r>
    </w:p>
    <w:p w:rsidR="002B75FF" w:rsidRPr="00EB730A" w:rsidRDefault="002B75FF" w:rsidP="002B75FF">
      <w:pPr>
        <w:spacing w:line="400" w:lineRule="atLeast"/>
        <w:jc w:val="center"/>
        <w:rPr>
          <w:b/>
        </w:rPr>
      </w:pPr>
    </w:p>
    <w:p w:rsidR="002B75FF" w:rsidRDefault="002B75FF" w:rsidP="002B75FF">
      <w:pPr>
        <w:tabs>
          <w:tab w:val="left" w:pos="1440"/>
        </w:tabs>
        <w:adjustRightInd w:val="0"/>
        <w:snapToGrid w:val="0"/>
        <w:spacing w:line="400" w:lineRule="atLeast"/>
        <w:jc w:val="both"/>
        <w:rPr>
          <w:szCs w:val="28"/>
          <w:lang w:val="en-GB"/>
        </w:rPr>
      </w:pPr>
      <w:r>
        <w:rPr>
          <w:rFonts w:hint="eastAsia"/>
          <w:szCs w:val="28"/>
          <w:lang w:val="en-GB"/>
        </w:rPr>
        <w:t>1</w:t>
      </w:r>
      <w:r>
        <w:rPr>
          <w:szCs w:val="28"/>
          <w:lang w:val="en-GB"/>
        </w:rPr>
        <w:t>.</w:t>
      </w:r>
      <w:r>
        <w:rPr>
          <w:szCs w:val="28"/>
          <w:lang w:val="en-GB"/>
        </w:rPr>
        <w:tab/>
      </w:r>
      <w:r w:rsidRPr="00350F19">
        <w:rPr>
          <w:rFonts w:hint="eastAsia"/>
          <w:szCs w:val="28"/>
          <w:lang w:val="en-GB"/>
        </w:rPr>
        <w:t>再培訓局的服務對象為</w:t>
      </w:r>
      <w:r w:rsidRPr="00350F19">
        <w:rPr>
          <w:szCs w:val="28"/>
          <w:lang w:val="en-GB"/>
        </w:rPr>
        <w:t>15</w:t>
      </w:r>
      <w:r w:rsidRPr="00350F19">
        <w:rPr>
          <w:rFonts w:hint="eastAsia"/>
          <w:szCs w:val="28"/>
          <w:lang w:val="en-GB"/>
        </w:rPr>
        <w:t>歲或以上、具副學位或以下教育程度的本地居民。</w:t>
      </w:r>
      <w:r>
        <w:rPr>
          <w:rFonts w:hint="eastAsia"/>
          <w:szCs w:val="28"/>
          <w:lang w:val="en-GB"/>
        </w:rPr>
        <w:t>該</w:t>
      </w:r>
      <w:r w:rsidRPr="00350F19">
        <w:rPr>
          <w:rFonts w:hint="eastAsia"/>
          <w:szCs w:val="28"/>
          <w:lang w:val="en-GB"/>
        </w:rPr>
        <w:t>局亦致力服務特定目標對象，包括新來港定居人士、少數族裔人士、婦女、青年及較年長人士。</w:t>
      </w:r>
      <w:r w:rsidRPr="00477702">
        <w:rPr>
          <w:rFonts w:hint="eastAsia"/>
          <w:szCs w:val="28"/>
          <w:lang w:val="en-GB"/>
        </w:rPr>
        <w:t>相關服務詳情</w:t>
      </w:r>
      <w:r>
        <w:rPr>
          <w:rFonts w:hint="eastAsia"/>
          <w:szCs w:val="28"/>
          <w:lang w:val="en-GB" w:eastAsia="zh-HK"/>
        </w:rPr>
        <w:t>如下</w:t>
      </w:r>
      <w:r>
        <w:rPr>
          <w:rFonts w:hint="eastAsia"/>
          <w:szCs w:val="28"/>
          <w:lang w:val="en-GB"/>
        </w:rPr>
        <w:t>：</w:t>
      </w:r>
    </w:p>
    <w:p w:rsidR="002B75FF" w:rsidRDefault="002B75FF" w:rsidP="002B75FF">
      <w:pPr>
        <w:tabs>
          <w:tab w:val="left" w:pos="1440"/>
        </w:tabs>
        <w:adjustRightInd w:val="0"/>
        <w:snapToGrid w:val="0"/>
        <w:spacing w:line="400" w:lineRule="atLeast"/>
        <w:jc w:val="both"/>
      </w:pPr>
    </w:p>
    <w:p w:rsidR="002B75FF" w:rsidRPr="00350F19" w:rsidRDefault="00CF3DEC" w:rsidP="00CF3DEC">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r>
      <w:r>
        <w:rPr>
          <w:rFonts w:hint="eastAsia"/>
          <w:szCs w:val="28"/>
          <w:lang w:val="en-GB"/>
        </w:rPr>
        <w:t>(a)</w:t>
      </w:r>
      <w:r>
        <w:rPr>
          <w:szCs w:val="28"/>
          <w:lang w:val="en-GB"/>
        </w:rPr>
        <w:tab/>
      </w:r>
      <w:r w:rsidR="002B75FF" w:rsidRPr="00350F19">
        <w:rPr>
          <w:rFonts w:hint="eastAsia"/>
          <w:szCs w:val="28"/>
          <w:lang w:val="en-GB"/>
        </w:rPr>
        <w:t>新來港定居人士可報讀再培訓局為一般人士提供的課程及專設課程。在</w:t>
      </w:r>
      <w:r w:rsidR="002B75FF" w:rsidRPr="00350F19">
        <w:rPr>
          <w:szCs w:val="28"/>
          <w:lang w:val="en-GB"/>
        </w:rPr>
        <w:t>2018-19</w:t>
      </w:r>
      <w:r w:rsidR="002B75FF" w:rsidRPr="00350F19">
        <w:rPr>
          <w:rFonts w:hint="eastAsia"/>
          <w:szCs w:val="28"/>
          <w:lang w:val="en-GB"/>
        </w:rPr>
        <w:t>年度，再培訓局為新來港定居人士提供共七項專設課程，包括一項就業掛鈎課程及六項非就業掛鈎課程。截至</w:t>
      </w:r>
      <w:r w:rsidR="002B75FF" w:rsidRPr="00350F19">
        <w:rPr>
          <w:szCs w:val="28"/>
          <w:lang w:val="en-GB"/>
        </w:rPr>
        <w:t>2018</w:t>
      </w:r>
      <w:r w:rsidR="002B75FF" w:rsidRPr="00350F19">
        <w:rPr>
          <w:rFonts w:hint="eastAsia"/>
          <w:szCs w:val="28"/>
          <w:lang w:val="en-GB"/>
        </w:rPr>
        <w:t>年年底，約有</w:t>
      </w:r>
      <w:r w:rsidR="002B75FF" w:rsidRPr="00350F19">
        <w:rPr>
          <w:szCs w:val="28"/>
          <w:lang w:val="en-GB"/>
        </w:rPr>
        <w:t>256</w:t>
      </w:r>
      <w:r w:rsidR="002B75FF">
        <w:rPr>
          <w:szCs w:val="28"/>
          <w:lang w:val="en-GB"/>
        </w:rPr>
        <w:t> </w:t>
      </w:r>
      <w:r w:rsidR="002B75FF" w:rsidRPr="00350F19">
        <w:rPr>
          <w:szCs w:val="28"/>
          <w:lang w:val="en-GB"/>
        </w:rPr>
        <w:t>000</w:t>
      </w:r>
      <w:r w:rsidR="002B75FF" w:rsidRPr="00350F19">
        <w:rPr>
          <w:rFonts w:hint="eastAsia"/>
          <w:szCs w:val="28"/>
          <w:lang w:val="en-GB"/>
        </w:rPr>
        <w:t>人次的新來港定居人士修畢再培訓局提供的培訓課程；</w:t>
      </w:r>
    </w:p>
    <w:p w:rsidR="002B75FF" w:rsidRPr="00350F19" w:rsidRDefault="002B75FF" w:rsidP="002B75FF">
      <w:pPr>
        <w:tabs>
          <w:tab w:val="left" w:pos="1440"/>
        </w:tabs>
        <w:adjustRightInd w:val="0"/>
        <w:snapToGrid w:val="0"/>
        <w:spacing w:line="400" w:lineRule="atLeast"/>
        <w:jc w:val="both"/>
        <w:rPr>
          <w:szCs w:val="28"/>
          <w:lang w:val="en-GB"/>
        </w:rPr>
      </w:pPr>
    </w:p>
    <w:p w:rsidR="002B75FF" w:rsidRPr="00350F19" w:rsidRDefault="00CF3DEC" w:rsidP="00CF3DEC">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t>(b)</w:t>
      </w:r>
      <w:r>
        <w:rPr>
          <w:szCs w:val="28"/>
          <w:lang w:val="en-GB"/>
        </w:rPr>
        <w:tab/>
      </w:r>
      <w:r w:rsidR="002B75FF" w:rsidRPr="00350F19">
        <w:rPr>
          <w:rFonts w:hint="eastAsia"/>
          <w:szCs w:val="28"/>
          <w:lang w:val="en-GB"/>
        </w:rPr>
        <w:t>再培訓局為少數族裔人士提供以英語教授的課程。該局並提供特別支援，包括提供資源聘請傳譯員，以協助少數族裔學員學習和尋找工作。在</w:t>
      </w:r>
      <w:r w:rsidR="002B75FF" w:rsidRPr="00350F19">
        <w:rPr>
          <w:szCs w:val="28"/>
          <w:lang w:val="en-GB"/>
        </w:rPr>
        <w:t>2018-19</w:t>
      </w:r>
      <w:r w:rsidR="002B75FF" w:rsidRPr="00350F19">
        <w:rPr>
          <w:rFonts w:hint="eastAsia"/>
          <w:szCs w:val="28"/>
          <w:lang w:val="en-GB"/>
        </w:rPr>
        <w:t>年度，再培訓局為少數族裔人士提供</w:t>
      </w:r>
      <w:r w:rsidR="002B75FF" w:rsidRPr="00350F19">
        <w:rPr>
          <w:szCs w:val="28"/>
          <w:lang w:val="en-GB"/>
        </w:rPr>
        <w:t>11</w:t>
      </w:r>
      <w:r w:rsidR="002B75FF" w:rsidRPr="00350F19">
        <w:rPr>
          <w:rFonts w:hint="eastAsia"/>
          <w:szCs w:val="28"/>
          <w:lang w:val="en-GB"/>
        </w:rPr>
        <w:t>項全日制就業掛鈎課程及</w:t>
      </w:r>
      <w:r w:rsidR="002B75FF" w:rsidRPr="00350F19">
        <w:rPr>
          <w:szCs w:val="28"/>
          <w:lang w:val="en-GB"/>
        </w:rPr>
        <w:t>30</w:t>
      </w:r>
      <w:r w:rsidR="002B75FF" w:rsidRPr="00350F19">
        <w:rPr>
          <w:rFonts w:hint="eastAsia"/>
          <w:szCs w:val="28"/>
          <w:lang w:val="en-GB"/>
        </w:rPr>
        <w:t>項半日或晚間制非就業掛鈎課程，內容涵蓋職業技能培訓、資訊科技應用、求職技巧、職業語文（包括廣東話、普通話、中文（閱讀及寫作）及英語）。再培訓局的培訓機構會為完成專設就業掛鈎課程的少數族裔學員提供六個月的就業跟進服務。再培訓局亦資助其培訓機構發展輔助教材及加強對少數族裔人士的教學支援。再培訓局定期與「少數族裔人士培訓聚焦小組」舉行會議，以瞭解少數族裔人士的培訓及就業需要，以及制訂向他們推廣再培訓局培訓課程及服務的策略；</w:t>
      </w:r>
    </w:p>
    <w:p w:rsidR="002B75FF" w:rsidRPr="00350F19" w:rsidRDefault="002B75FF" w:rsidP="002B75FF">
      <w:pPr>
        <w:tabs>
          <w:tab w:val="left" w:pos="1440"/>
        </w:tabs>
        <w:adjustRightInd w:val="0"/>
        <w:snapToGrid w:val="0"/>
        <w:spacing w:line="400" w:lineRule="atLeast"/>
        <w:jc w:val="both"/>
        <w:rPr>
          <w:szCs w:val="28"/>
          <w:lang w:val="en-GB"/>
        </w:rPr>
      </w:pPr>
    </w:p>
    <w:p w:rsidR="002B75FF" w:rsidRPr="00350F19" w:rsidRDefault="00CF3DEC" w:rsidP="00CF3DEC">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t>(c)</w:t>
      </w:r>
      <w:r>
        <w:rPr>
          <w:szCs w:val="28"/>
          <w:lang w:val="en-GB"/>
        </w:rPr>
        <w:tab/>
      </w:r>
      <w:r w:rsidR="002B75FF" w:rsidRPr="00350F19">
        <w:rPr>
          <w:rFonts w:hint="eastAsia"/>
          <w:szCs w:val="28"/>
          <w:lang w:val="en-GB"/>
        </w:rPr>
        <w:t>因應婦女照顧家庭的需要，再培訓局提供靈活的安排和服務，例如「零存整付」證書、「先聘用、後培訓」及「度身訂造課程（兼職工）」計劃等，讓學員可因應自己的時間報讀課程。再培訓局亦提供免費的職位配對及轉介服務，以提升學員就業的機會；</w:t>
      </w:r>
    </w:p>
    <w:p w:rsidR="002B75FF" w:rsidRPr="00350F19" w:rsidRDefault="002B75FF" w:rsidP="002B75FF">
      <w:pPr>
        <w:tabs>
          <w:tab w:val="left" w:pos="1440"/>
        </w:tabs>
        <w:adjustRightInd w:val="0"/>
        <w:snapToGrid w:val="0"/>
        <w:spacing w:line="400" w:lineRule="atLeast"/>
        <w:jc w:val="both"/>
        <w:rPr>
          <w:szCs w:val="28"/>
          <w:lang w:val="en-GB"/>
        </w:rPr>
      </w:pPr>
    </w:p>
    <w:p w:rsidR="002B75FF" w:rsidRPr="00350F19" w:rsidRDefault="00CF3DEC" w:rsidP="00CF3DEC">
      <w:pPr>
        <w:widowControl/>
        <w:tabs>
          <w:tab w:val="left" w:pos="720"/>
          <w:tab w:val="left" w:pos="1440"/>
        </w:tabs>
        <w:adjustRightInd w:val="0"/>
        <w:snapToGrid w:val="0"/>
        <w:spacing w:line="400" w:lineRule="atLeast"/>
        <w:ind w:left="1440" w:hanging="1436"/>
        <w:jc w:val="both"/>
        <w:rPr>
          <w:szCs w:val="28"/>
          <w:lang w:val="en-GB"/>
        </w:rPr>
      </w:pPr>
      <w:r>
        <w:rPr>
          <w:szCs w:val="28"/>
          <w:lang w:val="en-GB"/>
        </w:rPr>
        <w:lastRenderedPageBreak/>
        <w:tab/>
      </w:r>
      <w:r>
        <w:rPr>
          <w:rFonts w:hint="eastAsia"/>
          <w:szCs w:val="28"/>
          <w:lang w:val="en-GB"/>
        </w:rPr>
        <w:t>(d)</w:t>
      </w:r>
      <w:r>
        <w:rPr>
          <w:rFonts w:hint="eastAsia"/>
          <w:szCs w:val="28"/>
          <w:lang w:val="en-GB"/>
        </w:rPr>
        <w:tab/>
      </w:r>
      <w:r w:rsidR="002B75FF" w:rsidRPr="00350F19">
        <w:rPr>
          <w:rFonts w:hint="eastAsia"/>
          <w:szCs w:val="28"/>
          <w:lang w:val="en-GB"/>
        </w:rPr>
        <w:t>再培訓局為年青服務對象開發多元化和配合他們不同興趣的全日制就業掛鈎課程，並為他們提供培訓和就業跟進服務，包括專為</w:t>
      </w:r>
      <w:r w:rsidR="002B75FF" w:rsidRPr="00350F19">
        <w:rPr>
          <w:szCs w:val="28"/>
          <w:lang w:val="en-GB"/>
        </w:rPr>
        <w:t>15</w:t>
      </w:r>
      <w:r w:rsidR="002B75FF" w:rsidRPr="00350F19">
        <w:rPr>
          <w:rFonts w:hint="eastAsia"/>
          <w:szCs w:val="28"/>
          <w:lang w:val="en-GB"/>
        </w:rPr>
        <w:t>至</w:t>
      </w:r>
      <w:r w:rsidR="002B75FF" w:rsidRPr="00350F19">
        <w:rPr>
          <w:szCs w:val="28"/>
          <w:lang w:val="en-GB"/>
        </w:rPr>
        <w:t>24</w:t>
      </w:r>
      <w:r w:rsidR="002B75FF" w:rsidRPr="00350F19">
        <w:rPr>
          <w:rFonts w:hint="eastAsia"/>
          <w:szCs w:val="28"/>
          <w:lang w:val="en-GB"/>
        </w:rPr>
        <w:t>歲待學、待業青年而設的“青年培育計劃＂課程；及</w:t>
      </w:r>
    </w:p>
    <w:p w:rsidR="002B75FF" w:rsidRPr="00CF3DEC" w:rsidRDefault="002B75FF" w:rsidP="002B75FF">
      <w:pPr>
        <w:tabs>
          <w:tab w:val="left" w:pos="1440"/>
        </w:tabs>
        <w:adjustRightInd w:val="0"/>
        <w:snapToGrid w:val="0"/>
        <w:spacing w:line="400" w:lineRule="atLeast"/>
        <w:jc w:val="both"/>
        <w:rPr>
          <w:szCs w:val="28"/>
          <w:lang w:val="en-GB"/>
        </w:rPr>
      </w:pPr>
    </w:p>
    <w:p w:rsidR="002B75FF" w:rsidRPr="00350F19" w:rsidRDefault="00CF3DEC" w:rsidP="00CF3DEC">
      <w:pPr>
        <w:widowControl/>
        <w:tabs>
          <w:tab w:val="left" w:pos="720"/>
          <w:tab w:val="left" w:pos="1440"/>
        </w:tabs>
        <w:adjustRightInd w:val="0"/>
        <w:snapToGrid w:val="0"/>
        <w:spacing w:line="400" w:lineRule="atLeast"/>
        <w:ind w:left="1436" w:hanging="1436"/>
        <w:jc w:val="both"/>
        <w:rPr>
          <w:szCs w:val="28"/>
          <w:lang w:val="en-GB"/>
        </w:rPr>
      </w:pPr>
      <w:r>
        <w:rPr>
          <w:szCs w:val="28"/>
          <w:lang w:val="en-GB"/>
        </w:rPr>
        <w:tab/>
      </w:r>
      <w:r>
        <w:rPr>
          <w:rFonts w:hint="eastAsia"/>
          <w:szCs w:val="28"/>
          <w:lang w:val="en-GB"/>
        </w:rPr>
        <w:t>(e)</w:t>
      </w:r>
      <w:r>
        <w:rPr>
          <w:szCs w:val="28"/>
          <w:lang w:val="en-GB"/>
        </w:rPr>
        <w:tab/>
      </w:r>
      <w:r w:rsidR="002B75FF" w:rsidRPr="00350F19">
        <w:rPr>
          <w:rFonts w:hint="eastAsia"/>
          <w:szCs w:val="28"/>
          <w:lang w:val="en-GB"/>
        </w:rPr>
        <w:t>再培訓局亦提供切合較年長人士（一般指</w:t>
      </w:r>
      <w:r w:rsidR="002B75FF" w:rsidRPr="00350F19">
        <w:rPr>
          <w:rFonts w:hint="eastAsia"/>
          <w:szCs w:val="28"/>
          <w:lang w:val="en-GB"/>
        </w:rPr>
        <w:t>50</w:t>
      </w:r>
      <w:r w:rsidR="002B75FF" w:rsidRPr="00350F19">
        <w:rPr>
          <w:rFonts w:hint="eastAsia"/>
          <w:szCs w:val="28"/>
          <w:lang w:val="en-GB"/>
        </w:rPr>
        <w:t>歲或以上）就業需要的培訓課程及服務，以協助他們投入勞動市場。</w:t>
      </w:r>
    </w:p>
    <w:p w:rsidR="002B75FF" w:rsidRDefault="002B75FF" w:rsidP="008375BB">
      <w:pPr>
        <w:jc w:val="both"/>
        <w:rPr>
          <w:rFonts w:cs="Times New Roman"/>
          <w:szCs w:val="28"/>
          <w:lang w:val="en-GB"/>
        </w:rPr>
        <w:sectPr w:rsidR="002B75FF" w:rsidSect="002B75FF">
          <w:footerReference w:type="default" r:id="rId30"/>
          <w:footerReference w:type="first" r:id="rId31"/>
          <w:pgSz w:w="11906" w:h="16838"/>
          <w:pgMar w:top="1440" w:right="1800" w:bottom="1440" w:left="1800" w:header="720" w:footer="720" w:gutter="0"/>
          <w:pgNumType w:start="1"/>
          <w:cols w:space="425"/>
          <w:titlePg/>
          <w:docGrid w:type="lines" w:linePitch="381"/>
        </w:sectPr>
      </w:pPr>
    </w:p>
    <w:p w:rsidR="002B75FF" w:rsidRPr="002B75FF" w:rsidRDefault="002B75FF" w:rsidP="002B75FF">
      <w:pPr>
        <w:tabs>
          <w:tab w:val="right" w:pos="8312"/>
        </w:tabs>
        <w:spacing w:line="360" w:lineRule="atLeast"/>
        <w:rPr>
          <w:rFonts w:cs="Times New Roman"/>
          <w:b/>
          <w:szCs w:val="28"/>
        </w:rPr>
      </w:pPr>
      <w:r w:rsidRPr="002B75FF">
        <w:rPr>
          <w:rFonts w:cs="Times New Roman"/>
          <w:b/>
          <w:szCs w:val="28"/>
        </w:rPr>
        <w:lastRenderedPageBreak/>
        <w:tab/>
      </w:r>
      <w:r w:rsidRPr="002B75FF">
        <w:rPr>
          <w:rFonts w:cs="Times New Roman" w:hint="eastAsia"/>
          <w:b/>
          <w:szCs w:val="28"/>
          <w:lang w:eastAsia="zh-HK"/>
        </w:rPr>
        <w:t>附件</w:t>
      </w:r>
      <w:r w:rsidRPr="002B75FF">
        <w:rPr>
          <w:rFonts w:cs="Times New Roman"/>
          <w:b/>
          <w:szCs w:val="28"/>
        </w:rPr>
        <w:t>6</w:t>
      </w:r>
      <w:r w:rsidRPr="002B75FF">
        <w:rPr>
          <w:rFonts w:cs="Times New Roman" w:hint="eastAsia"/>
          <w:b/>
          <w:szCs w:val="28"/>
        </w:rPr>
        <w:t>E</w:t>
      </w:r>
    </w:p>
    <w:p w:rsidR="002B75FF" w:rsidRPr="002B75FF" w:rsidRDefault="002B75FF" w:rsidP="002B75FF">
      <w:pPr>
        <w:snapToGrid w:val="0"/>
        <w:spacing w:line="360" w:lineRule="atLeast"/>
        <w:jc w:val="center"/>
        <w:rPr>
          <w:rFonts w:cs="Times New Roman"/>
          <w:b/>
          <w:szCs w:val="28"/>
          <w:lang w:val="en-GB"/>
        </w:rPr>
      </w:pPr>
      <w:r w:rsidRPr="002B75FF">
        <w:rPr>
          <w:rFonts w:cs="Times New Roman" w:hint="eastAsia"/>
          <w:b/>
          <w:szCs w:val="28"/>
          <w:lang w:val="en-GB"/>
        </w:rPr>
        <w:t>職業訓練局</w:t>
      </w:r>
    </w:p>
    <w:p w:rsidR="002B75FF" w:rsidRPr="002B75FF" w:rsidRDefault="002B75FF" w:rsidP="002B75FF">
      <w:pPr>
        <w:snapToGrid w:val="0"/>
        <w:spacing w:line="360" w:lineRule="atLeast"/>
        <w:jc w:val="center"/>
        <w:rPr>
          <w:rFonts w:cs="Times New Roman"/>
          <w:szCs w:val="28"/>
          <w:lang w:val="en-GB"/>
        </w:rPr>
      </w:pPr>
    </w:p>
    <w:p w:rsidR="002B75FF" w:rsidRPr="002B75FF" w:rsidRDefault="002B75FF" w:rsidP="002B75FF">
      <w:pPr>
        <w:tabs>
          <w:tab w:val="left" w:pos="1440"/>
        </w:tabs>
        <w:adjustRightInd w:val="0"/>
        <w:snapToGrid w:val="0"/>
        <w:spacing w:line="360" w:lineRule="atLeast"/>
        <w:jc w:val="both"/>
        <w:rPr>
          <w:rFonts w:cs="Times New Roman"/>
          <w:b/>
          <w:szCs w:val="28"/>
          <w:lang w:eastAsia="zh-HK"/>
        </w:rPr>
      </w:pPr>
      <w:r w:rsidRPr="002B75FF">
        <w:rPr>
          <w:rFonts w:cs="Times New Roman" w:hint="eastAsia"/>
          <w:szCs w:val="28"/>
          <w:lang w:val="en-GB"/>
        </w:rPr>
        <w:t>1</w:t>
      </w:r>
      <w:r w:rsidRPr="002B75FF">
        <w:rPr>
          <w:rFonts w:cs="Times New Roman"/>
          <w:szCs w:val="28"/>
          <w:lang w:val="en-GB"/>
        </w:rPr>
        <w:t>.</w:t>
      </w:r>
      <w:r w:rsidRPr="002B75FF">
        <w:rPr>
          <w:rFonts w:cs="Times New Roman"/>
          <w:szCs w:val="28"/>
          <w:lang w:val="en-GB"/>
        </w:rPr>
        <w:tab/>
      </w:r>
      <w:r w:rsidRPr="002B75FF">
        <w:rPr>
          <w:rFonts w:cs="Times New Roman" w:hint="eastAsia"/>
          <w:szCs w:val="28"/>
          <w:lang w:val="en-GB"/>
        </w:rPr>
        <w:t>職業訓練局</w:t>
      </w:r>
      <w:r w:rsidRPr="002B75FF">
        <w:rPr>
          <w:rFonts w:cs="Times New Roman" w:hint="eastAsia"/>
          <w:szCs w:val="28"/>
          <w:lang w:val="en-GB" w:eastAsia="zh-HK"/>
        </w:rPr>
        <w:t>的</w:t>
      </w:r>
      <w:r w:rsidRPr="002B75FF">
        <w:rPr>
          <w:rFonts w:cs="Times New Roman" w:hint="eastAsia"/>
          <w:szCs w:val="28"/>
          <w:lang w:val="en-GB"/>
        </w:rPr>
        <w:t>課程主要由機構成員提供，包括酒店及旅遊學院、中華廚藝學院、國際廚藝學院、海事訓練學院、以及</w:t>
      </w:r>
      <w:r w:rsidRPr="002B75FF">
        <w:rPr>
          <w:rFonts w:cs="Times New Roman"/>
          <w:szCs w:val="28"/>
          <w:lang w:val="en-GB"/>
        </w:rPr>
        <w:t>10</w:t>
      </w:r>
      <w:r w:rsidRPr="002B75FF">
        <w:rPr>
          <w:rFonts w:cs="Times New Roman" w:hint="eastAsia"/>
          <w:szCs w:val="28"/>
          <w:lang w:val="en-GB"/>
        </w:rPr>
        <w:t>個不同行業的卓越培訓發展中心。</w:t>
      </w:r>
      <w:r w:rsidRPr="002B75FF">
        <w:rPr>
          <w:rFonts w:cs="Times New Roman"/>
          <w:szCs w:val="28"/>
          <w:lang w:val="en-GB"/>
        </w:rPr>
        <w:t>14</w:t>
      </w:r>
      <w:r w:rsidRPr="002B75FF">
        <w:rPr>
          <w:rFonts w:cs="Times New Roman" w:hint="eastAsia"/>
          <w:szCs w:val="28"/>
          <w:lang w:val="en-GB"/>
        </w:rPr>
        <w:t>所院校在</w:t>
      </w:r>
      <w:r w:rsidRPr="002B75FF">
        <w:rPr>
          <w:rFonts w:cs="Times New Roman"/>
          <w:szCs w:val="28"/>
          <w:lang w:val="en-GB"/>
        </w:rPr>
        <w:t>2017-18</w:t>
      </w:r>
      <w:r w:rsidRPr="002B75FF">
        <w:rPr>
          <w:rFonts w:cs="Times New Roman" w:hint="eastAsia"/>
          <w:szCs w:val="28"/>
          <w:lang w:val="en-GB"/>
        </w:rPr>
        <w:t>學年共提供約</w:t>
      </w:r>
      <w:r w:rsidRPr="002B75FF">
        <w:rPr>
          <w:rFonts w:cs="Times New Roman"/>
          <w:szCs w:val="28"/>
          <w:lang w:val="en-GB"/>
        </w:rPr>
        <w:t>19 900</w:t>
      </w:r>
      <w:r w:rsidRPr="002B75FF">
        <w:rPr>
          <w:rFonts w:cs="Times New Roman" w:hint="eastAsia"/>
          <w:szCs w:val="28"/>
          <w:lang w:val="en-GB"/>
        </w:rPr>
        <w:t>個全日制及兼讀課程學額。於</w:t>
      </w:r>
      <w:r w:rsidRPr="002B75FF">
        <w:rPr>
          <w:rFonts w:cs="Times New Roman"/>
          <w:szCs w:val="28"/>
          <w:lang w:val="en-GB"/>
        </w:rPr>
        <w:t>2017-18</w:t>
      </w:r>
      <w:r w:rsidRPr="002B75FF">
        <w:rPr>
          <w:rFonts w:cs="Times New Roman" w:hint="eastAsia"/>
          <w:szCs w:val="28"/>
          <w:lang w:val="en-GB"/>
        </w:rPr>
        <w:t>學年按上課方式及課程程度計算的學生人數統計資料</w:t>
      </w:r>
      <w:r w:rsidRPr="002B75FF">
        <w:rPr>
          <w:rFonts w:cs="Times New Roman" w:hint="eastAsia"/>
          <w:szCs w:val="28"/>
          <w:lang w:val="en-GB" w:eastAsia="zh-HK"/>
        </w:rPr>
        <w:t>如下</w:t>
      </w:r>
      <w:r w:rsidRPr="002B75FF">
        <w:rPr>
          <w:rFonts w:cs="Times New Roman" w:hint="eastAsia"/>
          <w:szCs w:val="28"/>
          <w:lang w:val="en-GB"/>
        </w:rPr>
        <w:t>：</w:t>
      </w:r>
    </w:p>
    <w:p w:rsidR="002B75FF" w:rsidRPr="002B75FF" w:rsidRDefault="002B75FF" w:rsidP="002B75FF">
      <w:pPr>
        <w:snapToGrid w:val="0"/>
        <w:spacing w:line="360" w:lineRule="atLeast"/>
        <w:rPr>
          <w:rFonts w:cs="Times New Roman"/>
          <w:szCs w:val="28"/>
          <w:u w:val="single"/>
        </w:rPr>
      </w:pPr>
    </w:p>
    <w:p w:rsidR="002B75FF" w:rsidRPr="002B75FF" w:rsidRDefault="002B75FF" w:rsidP="002B75FF">
      <w:pPr>
        <w:snapToGrid w:val="0"/>
        <w:spacing w:line="360" w:lineRule="atLeast"/>
        <w:rPr>
          <w:rFonts w:cs="Times New Roman"/>
          <w:szCs w:val="28"/>
          <w:u w:val="single"/>
        </w:rPr>
      </w:pPr>
      <w:r w:rsidRPr="002B75FF">
        <w:rPr>
          <w:rFonts w:cs="Times New Roman" w:hint="eastAsia"/>
          <w:szCs w:val="28"/>
          <w:u w:val="single"/>
        </w:rPr>
        <w:t>職業訓練：</w:t>
      </w:r>
      <w:r w:rsidRPr="002B75FF">
        <w:rPr>
          <w:rFonts w:cs="Times New Roman" w:hint="eastAsia"/>
          <w:szCs w:val="28"/>
          <w:u w:val="single"/>
        </w:rPr>
        <w:t xml:space="preserve">2017-18 </w:t>
      </w:r>
      <w:r w:rsidRPr="002B75FF">
        <w:rPr>
          <w:rFonts w:cs="Times New Roman" w:hint="eastAsia"/>
          <w:szCs w:val="28"/>
          <w:u w:val="single"/>
        </w:rPr>
        <w:t>學年的學生人數</w:t>
      </w:r>
    </w:p>
    <w:p w:rsidR="002B75FF" w:rsidRPr="002B75FF" w:rsidRDefault="002B75FF" w:rsidP="002B75FF">
      <w:pPr>
        <w:snapToGrid w:val="0"/>
        <w:spacing w:line="360" w:lineRule="atLeast"/>
        <w:jc w:val="center"/>
        <w:rPr>
          <w:rFonts w:cs="Times New Roman"/>
          <w:b/>
          <w:szCs w:val="28"/>
        </w:rPr>
      </w:pPr>
    </w:p>
    <w:p w:rsidR="002B75FF" w:rsidRPr="002B75FF" w:rsidRDefault="002B75FF" w:rsidP="002B75FF">
      <w:pPr>
        <w:snapToGrid w:val="0"/>
        <w:spacing w:line="360" w:lineRule="atLeast"/>
        <w:rPr>
          <w:rFonts w:cs="Times New Roman"/>
          <w:szCs w:val="28"/>
        </w:rPr>
      </w:pPr>
      <w:r w:rsidRPr="002B75FF">
        <w:rPr>
          <w:rFonts w:cs="Times New Roman"/>
          <w:szCs w:val="28"/>
        </w:rPr>
        <w:t>(a)</w:t>
      </w:r>
      <w:r w:rsidRPr="002B75FF">
        <w:rPr>
          <w:rFonts w:cs="Times New Roman"/>
          <w:szCs w:val="28"/>
        </w:rPr>
        <w:tab/>
      </w:r>
      <w:r w:rsidRPr="002B75FF">
        <w:rPr>
          <w:rFonts w:cs="Times New Roman" w:hint="eastAsia"/>
          <w:szCs w:val="28"/>
        </w:rPr>
        <w:t>按上課形式劃分</w:t>
      </w:r>
    </w:p>
    <w:p w:rsidR="002B75FF" w:rsidRPr="002B75FF" w:rsidRDefault="002B75FF" w:rsidP="002B75FF">
      <w:pPr>
        <w:tabs>
          <w:tab w:val="left" w:pos="720"/>
        </w:tabs>
        <w:spacing w:line="400" w:lineRule="atLeast"/>
        <w:rPr>
          <w:rFonts w:eastAsia="新細明體" w:cs="Times New Roman"/>
          <w:szCs w:val="28"/>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785"/>
        <w:gridCol w:w="1530"/>
        <w:gridCol w:w="1620"/>
        <w:gridCol w:w="1710"/>
        <w:gridCol w:w="1350"/>
      </w:tblGrid>
      <w:tr w:rsidR="002B75FF" w:rsidRPr="002B75FF" w:rsidTr="00E22C88">
        <w:trPr>
          <w:trHeight w:val="555"/>
        </w:trPr>
        <w:tc>
          <w:tcPr>
            <w:tcW w:w="2785" w:type="dxa"/>
            <w:shd w:val="clear" w:color="auto" w:fill="auto"/>
            <w:vAlign w:val="center"/>
          </w:tcPr>
          <w:p w:rsidR="002B75FF" w:rsidRPr="002B75FF" w:rsidRDefault="002B75FF" w:rsidP="002B75FF">
            <w:pPr>
              <w:widowControl/>
              <w:snapToGrid w:val="0"/>
              <w:spacing w:line="360" w:lineRule="atLeast"/>
              <w:jc w:val="center"/>
              <w:rPr>
                <w:rFonts w:cs="Times New Roman"/>
                <w:b/>
                <w:bCs/>
                <w:szCs w:val="28"/>
              </w:rPr>
            </w:pPr>
          </w:p>
        </w:tc>
        <w:tc>
          <w:tcPr>
            <w:tcW w:w="1530" w:type="dxa"/>
            <w:shd w:val="clear" w:color="auto" w:fill="auto"/>
            <w:vAlign w:val="center"/>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b/>
                <w:bCs/>
                <w:szCs w:val="28"/>
              </w:rPr>
              <w:t>全日制</w:t>
            </w:r>
          </w:p>
        </w:tc>
        <w:tc>
          <w:tcPr>
            <w:tcW w:w="1620" w:type="dxa"/>
            <w:shd w:val="clear" w:color="auto" w:fill="auto"/>
            <w:vAlign w:val="center"/>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b/>
                <w:bCs/>
                <w:szCs w:val="28"/>
              </w:rPr>
              <w:t>日間</w:t>
            </w:r>
            <w:r w:rsidRPr="002B75FF">
              <w:rPr>
                <w:rFonts w:cs="Times New Roman"/>
                <w:b/>
                <w:bCs/>
                <w:szCs w:val="28"/>
              </w:rPr>
              <w:br/>
            </w:r>
            <w:r w:rsidRPr="002B75FF">
              <w:rPr>
                <w:rFonts w:cs="Times New Roman"/>
                <w:b/>
                <w:bCs/>
                <w:szCs w:val="28"/>
              </w:rPr>
              <w:t>兼讀制</w:t>
            </w:r>
          </w:p>
        </w:tc>
        <w:tc>
          <w:tcPr>
            <w:tcW w:w="1710" w:type="dxa"/>
            <w:shd w:val="clear" w:color="auto" w:fill="auto"/>
            <w:vAlign w:val="center"/>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b/>
                <w:bCs/>
                <w:szCs w:val="28"/>
              </w:rPr>
              <w:t>夜間</w:t>
            </w:r>
            <w:r w:rsidRPr="002B75FF">
              <w:rPr>
                <w:rFonts w:cs="Times New Roman"/>
                <w:b/>
                <w:bCs/>
                <w:szCs w:val="28"/>
              </w:rPr>
              <w:br/>
            </w:r>
            <w:r w:rsidRPr="002B75FF">
              <w:rPr>
                <w:rFonts w:cs="Times New Roman"/>
                <w:b/>
                <w:bCs/>
                <w:szCs w:val="28"/>
              </w:rPr>
              <w:t>兼讀制</w:t>
            </w:r>
          </w:p>
        </w:tc>
        <w:tc>
          <w:tcPr>
            <w:tcW w:w="1350" w:type="dxa"/>
            <w:shd w:val="clear" w:color="auto" w:fill="auto"/>
            <w:vAlign w:val="center"/>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b/>
                <w:bCs/>
                <w:szCs w:val="28"/>
              </w:rPr>
              <w:t>總計</w:t>
            </w:r>
          </w:p>
        </w:tc>
      </w:tr>
      <w:tr w:rsidR="002B75FF" w:rsidRPr="002B75FF" w:rsidTr="00E22C88">
        <w:trPr>
          <w:trHeight w:val="345"/>
        </w:trPr>
        <w:tc>
          <w:tcPr>
            <w:tcW w:w="2785" w:type="dxa"/>
            <w:shd w:val="clear" w:color="auto" w:fill="auto"/>
            <w:noWrap/>
            <w:vAlign w:val="bottom"/>
          </w:tcPr>
          <w:p w:rsidR="002B75FF" w:rsidRPr="002B75FF" w:rsidRDefault="002B75FF" w:rsidP="002B75FF">
            <w:pPr>
              <w:widowControl/>
              <w:snapToGrid w:val="0"/>
              <w:spacing w:line="360" w:lineRule="atLeast"/>
              <w:rPr>
                <w:rFonts w:cs="Times New Roman"/>
                <w:bCs/>
                <w:szCs w:val="28"/>
              </w:rPr>
            </w:pPr>
            <w:r w:rsidRPr="002B75FF">
              <w:rPr>
                <w:rFonts w:cs="Times New Roman" w:hint="eastAsia"/>
                <w:bCs/>
                <w:szCs w:val="28"/>
              </w:rPr>
              <w:t>香港專業教育學院、香港知專設計學院、工商資訊學院及青年學院</w:t>
            </w:r>
          </w:p>
        </w:tc>
        <w:tc>
          <w:tcPr>
            <w:tcW w:w="153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37 594</w:t>
            </w:r>
          </w:p>
        </w:tc>
        <w:tc>
          <w:tcPr>
            <w:tcW w:w="162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6 115</w:t>
            </w:r>
          </w:p>
        </w:tc>
        <w:tc>
          <w:tcPr>
            <w:tcW w:w="171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6 449</w:t>
            </w:r>
          </w:p>
        </w:tc>
        <w:tc>
          <w:tcPr>
            <w:tcW w:w="135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50 158</w:t>
            </w:r>
          </w:p>
        </w:tc>
      </w:tr>
      <w:tr w:rsidR="002B75FF" w:rsidRPr="002B75FF" w:rsidTr="00E22C88">
        <w:trPr>
          <w:trHeight w:val="345"/>
        </w:trPr>
        <w:tc>
          <w:tcPr>
            <w:tcW w:w="2785" w:type="dxa"/>
            <w:shd w:val="clear" w:color="auto" w:fill="auto"/>
            <w:noWrap/>
            <w:vAlign w:val="bottom"/>
          </w:tcPr>
          <w:p w:rsidR="002B75FF" w:rsidRPr="002B75FF" w:rsidRDefault="00781A3A" w:rsidP="002B6D11">
            <w:pPr>
              <w:widowControl/>
              <w:tabs>
                <w:tab w:val="left" w:pos="510"/>
              </w:tabs>
              <w:snapToGrid w:val="0"/>
              <w:spacing w:line="360" w:lineRule="atLeast"/>
              <w:rPr>
                <w:rFonts w:cs="Times New Roman"/>
                <w:bCs/>
                <w:i/>
                <w:szCs w:val="28"/>
              </w:rPr>
            </w:pPr>
            <w:proofErr w:type="gramStart"/>
            <w:r w:rsidRPr="002B6D11">
              <w:rPr>
                <w:rFonts w:ascii="標楷體" w:hAnsi="標楷體" w:cs="Times New Roman" w:hint="eastAsia"/>
                <w:bCs/>
                <w:szCs w:val="28"/>
              </w:rPr>
              <w:t>․</w:t>
            </w:r>
            <w:proofErr w:type="gramEnd"/>
            <w:r w:rsidR="002B6D11" w:rsidRPr="002B6D11">
              <w:rPr>
                <w:rFonts w:ascii="標楷體" w:hAnsi="標楷體" w:cs="Times New Roman"/>
                <w:bCs/>
                <w:szCs w:val="28"/>
              </w:rPr>
              <w:tab/>
            </w:r>
            <w:r w:rsidR="002B75FF" w:rsidRPr="002B6D11">
              <w:rPr>
                <w:rFonts w:ascii="標楷體" w:hAnsi="標楷體" w:cs="Times New Roman" w:hint="eastAsia"/>
                <w:bCs/>
                <w:i/>
                <w:szCs w:val="28"/>
              </w:rPr>
              <w:t>男生</w:t>
            </w:r>
          </w:p>
        </w:tc>
        <w:tc>
          <w:tcPr>
            <w:tcW w:w="153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23 951</w:t>
            </w:r>
          </w:p>
        </w:tc>
        <w:tc>
          <w:tcPr>
            <w:tcW w:w="162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5 816</w:t>
            </w:r>
          </w:p>
        </w:tc>
        <w:tc>
          <w:tcPr>
            <w:tcW w:w="171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5 965</w:t>
            </w:r>
          </w:p>
        </w:tc>
        <w:tc>
          <w:tcPr>
            <w:tcW w:w="135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35 732</w:t>
            </w:r>
          </w:p>
        </w:tc>
      </w:tr>
      <w:tr w:rsidR="002B75FF" w:rsidRPr="002B75FF" w:rsidTr="00E22C88">
        <w:trPr>
          <w:trHeight w:val="345"/>
        </w:trPr>
        <w:tc>
          <w:tcPr>
            <w:tcW w:w="2785" w:type="dxa"/>
            <w:shd w:val="clear" w:color="auto" w:fill="auto"/>
            <w:noWrap/>
            <w:vAlign w:val="bottom"/>
          </w:tcPr>
          <w:p w:rsidR="002B75FF" w:rsidRPr="002B75FF" w:rsidRDefault="00781A3A" w:rsidP="002B6D11">
            <w:pPr>
              <w:widowControl/>
              <w:tabs>
                <w:tab w:val="left" w:pos="510"/>
              </w:tabs>
              <w:snapToGrid w:val="0"/>
              <w:spacing w:line="360" w:lineRule="atLeast"/>
              <w:rPr>
                <w:rFonts w:cs="Times New Roman"/>
                <w:bCs/>
                <w:i/>
                <w:szCs w:val="28"/>
              </w:rPr>
            </w:pPr>
            <w:proofErr w:type="gramStart"/>
            <w:r w:rsidRPr="00781A3A">
              <w:rPr>
                <w:rFonts w:ascii="標楷體" w:hAnsi="標楷體" w:cs="Times New Roman" w:hint="eastAsia"/>
                <w:bCs/>
                <w:szCs w:val="28"/>
              </w:rPr>
              <w:t>․</w:t>
            </w:r>
            <w:proofErr w:type="gramEnd"/>
            <w:r>
              <w:rPr>
                <w:rFonts w:ascii="標楷體" w:hAnsi="標楷體" w:cs="Times New Roman"/>
                <w:bCs/>
                <w:i/>
                <w:szCs w:val="28"/>
              </w:rPr>
              <w:tab/>
            </w:r>
            <w:r w:rsidR="002B75FF" w:rsidRPr="002B75FF">
              <w:rPr>
                <w:rFonts w:cs="Times New Roman" w:hint="eastAsia"/>
                <w:bCs/>
                <w:i/>
                <w:szCs w:val="28"/>
                <w:lang w:eastAsia="zh-HK"/>
              </w:rPr>
              <w:t>女</w:t>
            </w:r>
            <w:r w:rsidR="002B75FF" w:rsidRPr="002B75FF">
              <w:rPr>
                <w:rFonts w:cs="Times New Roman" w:hint="eastAsia"/>
                <w:bCs/>
                <w:i/>
                <w:szCs w:val="28"/>
              </w:rPr>
              <w:t>生</w:t>
            </w:r>
          </w:p>
        </w:tc>
        <w:tc>
          <w:tcPr>
            <w:tcW w:w="153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13 643</w:t>
            </w:r>
          </w:p>
        </w:tc>
        <w:tc>
          <w:tcPr>
            <w:tcW w:w="162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299</w:t>
            </w:r>
          </w:p>
        </w:tc>
        <w:tc>
          <w:tcPr>
            <w:tcW w:w="1710" w:type="dxa"/>
            <w:shd w:val="clear" w:color="auto" w:fill="auto"/>
            <w:noWrap/>
            <w:vAlign w:val="center"/>
          </w:tcPr>
          <w:p w:rsidR="002B75FF" w:rsidRPr="002B75FF" w:rsidRDefault="002B75FF" w:rsidP="002B75FF">
            <w:pPr>
              <w:widowControl/>
              <w:spacing w:line="360" w:lineRule="atLeast"/>
              <w:jc w:val="center"/>
              <w:rPr>
                <w:rFonts w:cs="Times New Roman"/>
                <w:bCs/>
                <w:i/>
                <w:szCs w:val="28"/>
                <w:lang w:eastAsia="zh-HK"/>
              </w:rPr>
            </w:pPr>
            <w:r w:rsidRPr="002B75FF">
              <w:rPr>
                <w:rFonts w:cs="Times New Roman" w:hint="eastAsia"/>
                <w:bCs/>
                <w:i/>
                <w:szCs w:val="28"/>
                <w:lang w:eastAsia="zh-HK"/>
              </w:rPr>
              <w:t>484</w:t>
            </w:r>
          </w:p>
        </w:tc>
        <w:tc>
          <w:tcPr>
            <w:tcW w:w="1350" w:type="dxa"/>
            <w:shd w:val="clear" w:color="auto" w:fill="auto"/>
            <w:noWrap/>
            <w:vAlign w:val="center"/>
          </w:tcPr>
          <w:p w:rsidR="002B75FF" w:rsidRPr="002B75FF" w:rsidRDefault="002B75FF" w:rsidP="002B75FF">
            <w:pPr>
              <w:widowControl/>
              <w:spacing w:line="360" w:lineRule="atLeast"/>
              <w:jc w:val="center"/>
              <w:rPr>
                <w:rFonts w:cs="Times New Roman"/>
                <w:bCs/>
                <w:i/>
                <w:szCs w:val="28"/>
              </w:rPr>
            </w:pPr>
            <w:r w:rsidRPr="002B75FF">
              <w:rPr>
                <w:rFonts w:cs="Times New Roman"/>
                <w:bCs/>
                <w:i/>
                <w:szCs w:val="28"/>
              </w:rPr>
              <w:t>14 426</w:t>
            </w:r>
          </w:p>
        </w:tc>
      </w:tr>
      <w:tr w:rsidR="002B75FF" w:rsidRPr="002B75FF" w:rsidTr="00E22C88">
        <w:trPr>
          <w:trHeight w:val="345"/>
        </w:trPr>
        <w:tc>
          <w:tcPr>
            <w:tcW w:w="2785" w:type="dxa"/>
            <w:shd w:val="clear" w:color="auto" w:fill="auto"/>
            <w:noWrap/>
            <w:vAlign w:val="bottom"/>
          </w:tcPr>
          <w:p w:rsidR="002B75FF" w:rsidRPr="002B75FF" w:rsidRDefault="002B75FF" w:rsidP="002B75FF">
            <w:pPr>
              <w:widowControl/>
              <w:snapToGrid w:val="0"/>
              <w:spacing w:line="360" w:lineRule="atLeast"/>
              <w:rPr>
                <w:rFonts w:cs="Times New Roman"/>
                <w:bCs/>
                <w:szCs w:val="28"/>
              </w:rPr>
            </w:pPr>
            <w:r w:rsidRPr="002B75FF">
              <w:rPr>
                <w:rFonts w:cs="Times New Roman"/>
                <w:bCs/>
                <w:szCs w:val="28"/>
                <w:shd w:val="clear" w:color="auto" w:fill="FFFFFF"/>
              </w:rPr>
              <w:t>酒店及旅遊學院</w:t>
            </w:r>
            <w:r w:rsidRPr="002B75FF">
              <w:rPr>
                <w:rFonts w:cs="Times New Roman"/>
                <w:szCs w:val="28"/>
              </w:rPr>
              <w:t>、</w:t>
            </w:r>
            <w:r w:rsidRPr="002B75FF">
              <w:rPr>
                <w:rFonts w:cs="Times New Roman"/>
                <w:bCs/>
                <w:szCs w:val="28"/>
                <w:shd w:val="clear" w:color="auto" w:fill="FFFFFF"/>
              </w:rPr>
              <w:t>中華廚藝學院</w:t>
            </w:r>
            <w:r w:rsidRPr="002B75FF">
              <w:rPr>
                <w:rFonts w:cs="Times New Roman"/>
                <w:szCs w:val="28"/>
              </w:rPr>
              <w:t>、國際</w:t>
            </w:r>
            <w:r w:rsidRPr="002B75FF">
              <w:rPr>
                <w:rFonts w:cs="Times New Roman"/>
                <w:szCs w:val="28"/>
                <w:lang w:eastAsia="zh-Hans"/>
              </w:rPr>
              <w:t>廚藝學院</w:t>
            </w:r>
            <w:r w:rsidRPr="002B75FF">
              <w:rPr>
                <w:rFonts w:cs="Times New Roman"/>
                <w:szCs w:val="28"/>
              </w:rPr>
              <w:t>、</w:t>
            </w:r>
            <w:r w:rsidRPr="002B75FF">
              <w:rPr>
                <w:rFonts w:cs="Times New Roman"/>
                <w:szCs w:val="28"/>
                <w:lang w:eastAsia="zh-Hans"/>
              </w:rPr>
              <w:t>海事訓練學院</w:t>
            </w:r>
            <w:r w:rsidRPr="002B75FF">
              <w:rPr>
                <w:rFonts w:cs="Times New Roman"/>
                <w:szCs w:val="28"/>
              </w:rPr>
              <w:t>及</w:t>
            </w:r>
            <w:r w:rsidRPr="002B75FF">
              <w:rPr>
                <w:rFonts w:cs="Times New Roman"/>
                <w:bCs/>
                <w:szCs w:val="28"/>
                <w:shd w:val="clear" w:color="auto" w:fill="FFFFFF"/>
              </w:rPr>
              <w:t>卓越培訓發展中心</w:t>
            </w:r>
            <w:r w:rsidRPr="002B75FF">
              <w:rPr>
                <w:rFonts w:cs="Times New Roman"/>
                <w:szCs w:val="28"/>
                <w:lang w:eastAsia="zh-Hans"/>
              </w:rPr>
              <w:t>（包括</w:t>
            </w:r>
            <w:r w:rsidRPr="002B75FF">
              <w:rPr>
                <w:rFonts w:cs="Times New Roman"/>
                <w:szCs w:val="28"/>
              </w:rPr>
              <w:t>10</w:t>
            </w:r>
            <w:r w:rsidRPr="002B75FF">
              <w:rPr>
                <w:rFonts w:cs="Times New Roman"/>
                <w:szCs w:val="28"/>
              </w:rPr>
              <w:t>所訓練及發展中心）</w:t>
            </w:r>
            <w:r w:rsidRPr="002B75FF">
              <w:rPr>
                <w:rFonts w:cs="Times New Roman"/>
                <w:bCs/>
                <w:szCs w:val="28"/>
                <w:vertAlign w:val="superscript"/>
              </w:rPr>
              <w:t>註</w:t>
            </w:r>
          </w:p>
        </w:tc>
        <w:tc>
          <w:tcPr>
            <w:tcW w:w="153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5 396</w:t>
            </w:r>
          </w:p>
        </w:tc>
        <w:tc>
          <w:tcPr>
            <w:tcW w:w="162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10 758</w:t>
            </w:r>
          </w:p>
        </w:tc>
        <w:tc>
          <w:tcPr>
            <w:tcW w:w="171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3 738</w:t>
            </w:r>
          </w:p>
        </w:tc>
        <w:tc>
          <w:tcPr>
            <w:tcW w:w="1350" w:type="dxa"/>
            <w:shd w:val="clear" w:color="auto" w:fill="auto"/>
            <w:noWrap/>
            <w:vAlign w:val="center"/>
          </w:tcPr>
          <w:p w:rsidR="002B75FF" w:rsidRPr="002B75FF" w:rsidRDefault="002B75FF" w:rsidP="002B75FF">
            <w:pPr>
              <w:widowControl/>
              <w:spacing w:line="360" w:lineRule="atLeast"/>
              <w:jc w:val="center"/>
              <w:rPr>
                <w:rFonts w:cs="Times New Roman"/>
                <w:bCs/>
                <w:szCs w:val="28"/>
              </w:rPr>
            </w:pPr>
            <w:r w:rsidRPr="002B75FF">
              <w:rPr>
                <w:rFonts w:cs="Times New Roman"/>
                <w:bCs/>
                <w:szCs w:val="28"/>
              </w:rPr>
              <w:t>19 892</w:t>
            </w:r>
          </w:p>
        </w:tc>
      </w:tr>
      <w:tr w:rsidR="002B75FF" w:rsidRPr="002B75FF" w:rsidTr="00E22C88">
        <w:trPr>
          <w:trHeight w:val="345"/>
        </w:trPr>
        <w:tc>
          <w:tcPr>
            <w:tcW w:w="2785" w:type="dxa"/>
            <w:shd w:val="clear" w:color="auto" w:fill="auto"/>
            <w:noWrap/>
            <w:vAlign w:val="bottom"/>
          </w:tcPr>
          <w:p w:rsidR="002B75FF" w:rsidRPr="002B75FF" w:rsidRDefault="002B75FF" w:rsidP="002B75FF">
            <w:pPr>
              <w:widowControl/>
              <w:snapToGrid w:val="0"/>
              <w:spacing w:line="360" w:lineRule="atLeast"/>
              <w:rPr>
                <w:rFonts w:cs="Times New Roman"/>
                <w:b/>
                <w:szCs w:val="28"/>
              </w:rPr>
            </w:pPr>
            <w:r w:rsidRPr="002B75FF">
              <w:rPr>
                <w:rFonts w:cs="Times New Roman" w:hint="eastAsia"/>
                <w:b/>
                <w:szCs w:val="28"/>
              </w:rPr>
              <w:t>總計</w:t>
            </w:r>
          </w:p>
        </w:tc>
        <w:tc>
          <w:tcPr>
            <w:tcW w:w="1530" w:type="dxa"/>
            <w:shd w:val="clear" w:color="auto" w:fill="auto"/>
            <w:noWrap/>
            <w:vAlign w:val="bottom"/>
          </w:tcPr>
          <w:p w:rsidR="002B75FF" w:rsidRPr="002B75FF" w:rsidRDefault="002B75FF" w:rsidP="002B75FF">
            <w:pPr>
              <w:widowControl/>
              <w:spacing w:line="360" w:lineRule="atLeast"/>
              <w:jc w:val="center"/>
              <w:rPr>
                <w:rFonts w:cs="Times New Roman"/>
                <w:b/>
                <w:szCs w:val="28"/>
              </w:rPr>
            </w:pPr>
            <w:r w:rsidRPr="002B75FF">
              <w:rPr>
                <w:rFonts w:cs="Times New Roman"/>
                <w:b/>
                <w:szCs w:val="28"/>
              </w:rPr>
              <w:t xml:space="preserve">42 990 </w:t>
            </w:r>
          </w:p>
        </w:tc>
        <w:tc>
          <w:tcPr>
            <w:tcW w:w="1620" w:type="dxa"/>
            <w:shd w:val="clear" w:color="auto" w:fill="auto"/>
            <w:noWrap/>
            <w:vAlign w:val="bottom"/>
          </w:tcPr>
          <w:p w:rsidR="002B75FF" w:rsidRPr="002B75FF" w:rsidRDefault="002B75FF" w:rsidP="002B75FF">
            <w:pPr>
              <w:widowControl/>
              <w:spacing w:line="360" w:lineRule="atLeast"/>
              <w:jc w:val="center"/>
              <w:rPr>
                <w:rFonts w:cs="Times New Roman"/>
                <w:b/>
                <w:szCs w:val="28"/>
              </w:rPr>
            </w:pPr>
            <w:r w:rsidRPr="002B75FF">
              <w:rPr>
                <w:rFonts w:cs="Times New Roman"/>
                <w:b/>
                <w:szCs w:val="28"/>
              </w:rPr>
              <w:t xml:space="preserve">16 873 </w:t>
            </w:r>
          </w:p>
        </w:tc>
        <w:tc>
          <w:tcPr>
            <w:tcW w:w="1710" w:type="dxa"/>
            <w:shd w:val="clear" w:color="auto" w:fill="auto"/>
            <w:noWrap/>
            <w:vAlign w:val="bottom"/>
          </w:tcPr>
          <w:p w:rsidR="002B75FF" w:rsidRPr="002B75FF" w:rsidRDefault="002B75FF" w:rsidP="002B75FF">
            <w:pPr>
              <w:widowControl/>
              <w:spacing w:line="360" w:lineRule="atLeast"/>
              <w:jc w:val="center"/>
              <w:rPr>
                <w:rFonts w:cs="Times New Roman"/>
                <w:b/>
                <w:szCs w:val="28"/>
              </w:rPr>
            </w:pPr>
            <w:r w:rsidRPr="002B75FF">
              <w:rPr>
                <w:rFonts w:cs="Times New Roman"/>
                <w:b/>
                <w:szCs w:val="28"/>
              </w:rPr>
              <w:t xml:space="preserve">10 187 </w:t>
            </w:r>
          </w:p>
        </w:tc>
        <w:tc>
          <w:tcPr>
            <w:tcW w:w="1350" w:type="dxa"/>
            <w:shd w:val="clear" w:color="auto" w:fill="auto"/>
            <w:noWrap/>
            <w:vAlign w:val="bottom"/>
          </w:tcPr>
          <w:p w:rsidR="002B75FF" w:rsidRPr="002B75FF" w:rsidRDefault="002B75FF" w:rsidP="002B75FF">
            <w:pPr>
              <w:widowControl/>
              <w:spacing w:line="360" w:lineRule="atLeast"/>
              <w:jc w:val="center"/>
              <w:rPr>
                <w:rFonts w:cs="Times New Roman"/>
                <w:b/>
                <w:szCs w:val="28"/>
              </w:rPr>
            </w:pPr>
            <w:r w:rsidRPr="002B75FF">
              <w:rPr>
                <w:rFonts w:cs="Times New Roman"/>
                <w:b/>
                <w:szCs w:val="28"/>
              </w:rPr>
              <w:t xml:space="preserve">70 050 </w:t>
            </w:r>
          </w:p>
        </w:tc>
      </w:tr>
    </w:tbl>
    <w:p w:rsidR="002B75FF" w:rsidRPr="002B75FF" w:rsidRDefault="002B75FF" w:rsidP="002B75FF">
      <w:pPr>
        <w:tabs>
          <w:tab w:val="left" w:pos="720"/>
        </w:tabs>
        <w:snapToGrid w:val="0"/>
        <w:jc w:val="both"/>
        <w:rPr>
          <w:rFonts w:eastAsia="新細明體" w:cs="Times New Roman"/>
          <w:szCs w:val="28"/>
          <w:lang w:val="en-GB"/>
        </w:rPr>
      </w:pPr>
    </w:p>
    <w:p w:rsidR="002B75FF" w:rsidRPr="002B75FF" w:rsidRDefault="002B75FF" w:rsidP="002B75FF">
      <w:pPr>
        <w:tabs>
          <w:tab w:val="left" w:pos="720"/>
        </w:tabs>
        <w:snapToGrid w:val="0"/>
        <w:jc w:val="both"/>
        <w:rPr>
          <w:rFonts w:ascii="標楷體" w:hAnsi="標楷體" w:cs="Times New Roman"/>
          <w:szCs w:val="28"/>
          <w:lang w:val="en-GB"/>
        </w:rPr>
      </w:pPr>
      <w:r w:rsidRPr="002B75FF">
        <w:rPr>
          <w:rFonts w:ascii="標楷體" w:hAnsi="標楷體" w:cs="Times New Roman" w:hint="eastAsia"/>
          <w:szCs w:val="28"/>
          <w:lang w:val="en-GB"/>
        </w:rPr>
        <w:t>註：没有備存按學生性別劃分的統計資料。</w:t>
      </w:r>
    </w:p>
    <w:p w:rsidR="002B75FF" w:rsidRPr="002B75FF" w:rsidRDefault="002B75FF" w:rsidP="002B75FF">
      <w:pPr>
        <w:spacing w:line="360" w:lineRule="atLeast"/>
        <w:rPr>
          <w:rFonts w:cs="Times New Roman"/>
          <w:szCs w:val="28"/>
        </w:rPr>
      </w:pPr>
    </w:p>
    <w:p w:rsidR="002B75FF" w:rsidRPr="002B75FF" w:rsidRDefault="002B75FF" w:rsidP="002B75FF">
      <w:pPr>
        <w:spacing w:line="360" w:lineRule="atLeast"/>
        <w:rPr>
          <w:rFonts w:eastAsia="SimSun" w:cs="Times New Roman"/>
          <w:i/>
          <w:color w:val="3333FF"/>
          <w:szCs w:val="28"/>
        </w:rPr>
      </w:pPr>
    </w:p>
    <w:p w:rsidR="002B75FF" w:rsidRPr="002B75FF" w:rsidRDefault="002B75FF" w:rsidP="002B75FF">
      <w:pPr>
        <w:spacing w:line="360" w:lineRule="atLeast"/>
        <w:rPr>
          <w:rFonts w:cs="Times New Roman"/>
          <w:i/>
          <w:color w:val="3333FF"/>
          <w:szCs w:val="28"/>
        </w:rPr>
      </w:pPr>
    </w:p>
    <w:p w:rsidR="002B75FF" w:rsidRPr="002B75FF" w:rsidRDefault="002B75FF" w:rsidP="002B75FF">
      <w:pPr>
        <w:tabs>
          <w:tab w:val="left" w:pos="720"/>
        </w:tabs>
        <w:snapToGrid w:val="0"/>
        <w:spacing w:line="360" w:lineRule="atLeast"/>
        <w:rPr>
          <w:rFonts w:cs="Times New Roman"/>
          <w:szCs w:val="28"/>
        </w:rPr>
      </w:pPr>
      <w:r w:rsidRPr="002B75FF">
        <w:rPr>
          <w:rFonts w:cs="Times New Roman"/>
          <w:szCs w:val="28"/>
        </w:rPr>
        <w:br w:type="page"/>
      </w:r>
      <w:r w:rsidRPr="002B75FF">
        <w:rPr>
          <w:rFonts w:cs="Times New Roman"/>
          <w:szCs w:val="28"/>
        </w:rPr>
        <w:lastRenderedPageBreak/>
        <w:t>(b)</w:t>
      </w:r>
      <w:r w:rsidRPr="002B75FF">
        <w:rPr>
          <w:rFonts w:cs="Times New Roman"/>
          <w:szCs w:val="28"/>
        </w:rPr>
        <w:tab/>
      </w:r>
      <w:r w:rsidRPr="002B75FF">
        <w:rPr>
          <w:rFonts w:cs="Times New Roman" w:hint="eastAsia"/>
          <w:szCs w:val="28"/>
        </w:rPr>
        <w:t>按課程程度劃分</w:t>
      </w:r>
    </w:p>
    <w:p w:rsidR="002B75FF" w:rsidRPr="002B75FF" w:rsidRDefault="002B75FF" w:rsidP="002B75FF">
      <w:pPr>
        <w:tabs>
          <w:tab w:val="left" w:pos="720"/>
        </w:tabs>
        <w:spacing w:line="360" w:lineRule="atLeast"/>
        <w:rPr>
          <w:rFonts w:cs="Times New Roman"/>
          <w:b/>
          <w:szCs w:val="28"/>
        </w:rPr>
      </w:pPr>
    </w:p>
    <w:p w:rsidR="002B75FF" w:rsidRPr="002B75FF" w:rsidRDefault="002B75FF" w:rsidP="001F3C5E">
      <w:pPr>
        <w:tabs>
          <w:tab w:val="left" w:pos="0"/>
          <w:tab w:val="left" w:pos="720"/>
        </w:tabs>
        <w:snapToGrid w:val="0"/>
        <w:spacing w:line="360" w:lineRule="atLeast"/>
        <w:ind w:left="716" w:hanging="716"/>
        <w:jc w:val="both"/>
        <w:rPr>
          <w:rFonts w:cs="Times New Roman"/>
          <w:szCs w:val="28"/>
          <w:u w:val="single"/>
        </w:rPr>
      </w:pPr>
      <w:r w:rsidRPr="002B75FF">
        <w:rPr>
          <w:rFonts w:cs="Times New Roman"/>
          <w:szCs w:val="28"/>
        </w:rPr>
        <w:t>(1)</w:t>
      </w:r>
      <w:r w:rsidRPr="002B75FF">
        <w:rPr>
          <w:rFonts w:cs="Times New Roman"/>
          <w:szCs w:val="28"/>
        </w:rPr>
        <w:tab/>
      </w:r>
      <w:r w:rsidRPr="002B75FF">
        <w:rPr>
          <w:rFonts w:cs="Times New Roman" w:hint="eastAsia"/>
          <w:szCs w:val="28"/>
        </w:rPr>
        <w:t>香港專業教育學院、香港知專設計學院、工商資訊學院及青年學院</w:t>
      </w:r>
    </w:p>
    <w:p w:rsidR="002B75FF" w:rsidRPr="002B75FF" w:rsidRDefault="002B75FF" w:rsidP="002B75FF">
      <w:pPr>
        <w:tabs>
          <w:tab w:val="left" w:pos="720"/>
        </w:tabs>
        <w:spacing w:line="360" w:lineRule="atLeast"/>
        <w:rPr>
          <w:rFonts w:cs="Times New Roman"/>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938"/>
        <w:gridCol w:w="732"/>
        <w:gridCol w:w="732"/>
        <w:gridCol w:w="733"/>
        <w:gridCol w:w="732"/>
        <w:gridCol w:w="732"/>
        <w:gridCol w:w="733"/>
        <w:gridCol w:w="732"/>
        <w:gridCol w:w="732"/>
        <w:gridCol w:w="733"/>
        <w:gridCol w:w="767"/>
      </w:tblGrid>
      <w:tr w:rsidR="002B75FF" w:rsidRPr="002B75FF" w:rsidTr="00E22C88">
        <w:trPr>
          <w:trHeight w:val="360"/>
        </w:trPr>
        <w:tc>
          <w:tcPr>
            <w:tcW w:w="566" w:type="pct"/>
            <w:tcBorders>
              <w:bottom w:val="nil"/>
            </w:tcBorders>
            <w:shd w:val="clear" w:color="auto" w:fill="auto"/>
            <w:noWrap/>
            <w:vAlign w:val="bottom"/>
          </w:tcPr>
          <w:p w:rsidR="002B75FF" w:rsidRPr="002B75FF" w:rsidRDefault="002B75FF" w:rsidP="002B75FF">
            <w:pPr>
              <w:widowControl/>
              <w:adjustRightInd w:val="0"/>
              <w:snapToGrid w:val="0"/>
              <w:spacing w:line="360" w:lineRule="atLeast"/>
              <w:rPr>
                <w:rFonts w:cs="Times New Roman"/>
                <w:b/>
                <w:bCs/>
                <w:szCs w:val="28"/>
              </w:rPr>
            </w:pPr>
          </w:p>
        </w:tc>
        <w:tc>
          <w:tcPr>
            <w:tcW w:w="1324" w:type="pct"/>
            <w:gridSpan w:val="3"/>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lang w:eastAsia="zh-HK"/>
              </w:rPr>
              <w:t>全日制</w:t>
            </w:r>
          </w:p>
        </w:tc>
        <w:tc>
          <w:tcPr>
            <w:tcW w:w="1324" w:type="pct"/>
            <w:gridSpan w:val="3"/>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rPr>
              <w:t>日間兼讀制</w:t>
            </w:r>
          </w:p>
        </w:tc>
        <w:tc>
          <w:tcPr>
            <w:tcW w:w="1324" w:type="pct"/>
            <w:gridSpan w:val="3"/>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rPr>
              <w:t>夜間兼讀制</w:t>
            </w:r>
          </w:p>
        </w:tc>
        <w:tc>
          <w:tcPr>
            <w:tcW w:w="463" w:type="pct"/>
            <w:tcBorders>
              <w:bottom w:val="nil"/>
            </w:tcBorders>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rPr>
              <w:t>總計</w:t>
            </w:r>
          </w:p>
        </w:tc>
      </w:tr>
      <w:tr w:rsidR="002B75FF" w:rsidRPr="002B75FF" w:rsidTr="00E22C88">
        <w:trPr>
          <w:trHeight w:val="360"/>
        </w:trPr>
        <w:tc>
          <w:tcPr>
            <w:tcW w:w="566" w:type="pct"/>
            <w:tcBorders>
              <w:top w:val="nil"/>
            </w:tcBorders>
            <w:shd w:val="clear" w:color="auto" w:fill="auto"/>
            <w:noWrap/>
            <w:vAlign w:val="bottom"/>
          </w:tcPr>
          <w:p w:rsidR="002B75FF" w:rsidRPr="002B75FF" w:rsidRDefault="002B75FF" w:rsidP="002B75FF">
            <w:pPr>
              <w:widowControl/>
              <w:adjustRightInd w:val="0"/>
              <w:snapToGrid w:val="0"/>
              <w:spacing w:line="360" w:lineRule="atLeast"/>
              <w:rPr>
                <w:rFonts w:cs="Times New Roman"/>
                <w:bCs/>
                <w:szCs w:val="28"/>
              </w:rPr>
            </w:pPr>
            <w:r w:rsidRPr="002B75FF">
              <w:rPr>
                <w:rFonts w:cs="Times New Roman" w:hint="eastAsia"/>
                <w:bCs/>
                <w:szCs w:val="28"/>
                <w:lang w:eastAsia="zh-HK"/>
              </w:rPr>
              <w:t>程</w:t>
            </w:r>
            <w:r w:rsidRPr="002B75FF">
              <w:rPr>
                <w:rFonts w:cs="Times New Roman" w:hint="eastAsia"/>
                <w:bCs/>
                <w:szCs w:val="28"/>
              </w:rPr>
              <w:t>度</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lang w:eastAsia="zh-HK"/>
              </w:rPr>
              <w:t>女生</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lang w:eastAsia="zh-HK"/>
              </w:rPr>
              <w:t>男生</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lang w:eastAsia="zh-HK"/>
              </w:rPr>
              <w:t>小計</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rPr>
              <w:t>女生</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rPr>
              <w:t>男生</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lang w:eastAsia="zh-HK"/>
              </w:rPr>
              <w:t>小計</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rPr>
              <w:t>女生</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rPr>
              <w:t>男生</w:t>
            </w:r>
          </w:p>
        </w:tc>
        <w:tc>
          <w:tcPr>
            <w:tcW w:w="441" w:type="pct"/>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r w:rsidRPr="002B75FF">
              <w:rPr>
                <w:rFonts w:cs="Times New Roman" w:hint="eastAsia"/>
                <w:bCs/>
                <w:szCs w:val="28"/>
                <w:lang w:eastAsia="zh-HK"/>
              </w:rPr>
              <w:t>小計</w:t>
            </w:r>
          </w:p>
        </w:tc>
        <w:tc>
          <w:tcPr>
            <w:tcW w:w="463" w:type="pct"/>
            <w:tcBorders>
              <w:top w:val="nil"/>
            </w:tcBorders>
            <w:shd w:val="clear" w:color="auto" w:fill="auto"/>
            <w:noWrap/>
            <w:vAlign w:val="bottom"/>
          </w:tcPr>
          <w:p w:rsidR="002B75FF" w:rsidRPr="002B75FF" w:rsidRDefault="002B75FF" w:rsidP="002B75FF">
            <w:pPr>
              <w:widowControl/>
              <w:adjustRightInd w:val="0"/>
              <w:snapToGrid w:val="0"/>
              <w:spacing w:line="360" w:lineRule="atLeast"/>
              <w:jc w:val="center"/>
              <w:rPr>
                <w:rFonts w:cs="Times New Roman"/>
                <w:bCs/>
                <w:szCs w:val="28"/>
              </w:rPr>
            </w:pPr>
          </w:p>
        </w:tc>
      </w:tr>
      <w:tr w:rsidR="002B75FF" w:rsidRPr="002B75FF" w:rsidTr="00E22C88">
        <w:trPr>
          <w:trHeight w:val="360"/>
        </w:trPr>
        <w:tc>
          <w:tcPr>
            <w:tcW w:w="566" w:type="pct"/>
            <w:shd w:val="clear" w:color="auto" w:fill="auto"/>
            <w:noWrap/>
            <w:vAlign w:val="bottom"/>
          </w:tcPr>
          <w:p w:rsidR="002B75FF" w:rsidRPr="002B75FF" w:rsidRDefault="002B75FF" w:rsidP="002B75FF">
            <w:pPr>
              <w:widowControl/>
              <w:adjustRightInd w:val="0"/>
              <w:snapToGrid w:val="0"/>
              <w:spacing w:line="360" w:lineRule="atLeast"/>
              <w:rPr>
                <w:rFonts w:cs="Times New Roman"/>
                <w:bCs/>
                <w:szCs w:val="28"/>
              </w:rPr>
            </w:pPr>
            <w:r w:rsidRPr="002B75FF">
              <w:rPr>
                <w:rFonts w:cs="Times New Roman" w:hint="eastAsia"/>
                <w:bCs/>
                <w:szCs w:val="28"/>
                <w:lang w:eastAsia="zh-HK"/>
              </w:rPr>
              <w:t>高級</w:t>
            </w:r>
            <w:r w:rsidRPr="002B75FF">
              <w:rPr>
                <w:rFonts w:cs="Times New Roman"/>
                <w:bCs/>
                <w:szCs w:val="28"/>
                <w:lang w:eastAsia="zh-HK"/>
              </w:rPr>
              <w:br/>
            </w:r>
            <w:r w:rsidRPr="002B75FF">
              <w:rPr>
                <w:rFonts w:cs="Times New Roman" w:hint="eastAsia"/>
                <w:bCs/>
                <w:szCs w:val="28"/>
                <w:lang w:eastAsia="zh-HK"/>
              </w:rPr>
              <w:t>技</w:t>
            </w:r>
            <w:r w:rsidRPr="002B75FF">
              <w:rPr>
                <w:rFonts w:cs="Times New Roman" w:hint="eastAsia"/>
                <w:bCs/>
                <w:szCs w:val="28"/>
              </w:rPr>
              <w:t>術員</w:t>
            </w:r>
          </w:p>
        </w:tc>
        <w:tc>
          <w:tcPr>
            <w:tcW w:w="441" w:type="pct"/>
            <w:shd w:val="clear" w:color="auto" w:fill="auto"/>
            <w:noWrap/>
            <w:vAlign w:val="center"/>
          </w:tcPr>
          <w:p w:rsidR="002B75FF" w:rsidRPr="002B75FF" w:rsidRDefault="002B75FF" w:rsidP="002B75FF">
            <w:pPr>
              <w:widowControl/>
              <w:jc w:val="center"/>
              <w:rPr>
                <w:rFonts w:eastAsia="新細明體" w:cs="Times New Roman"/>
                <w:sz w:val="24"/>
                <w:szCs w:val="28"/>
              </w:rPr>
            </w:pPr>
            <w:r w:rsidRPr="002B75FF">
              <w:rPr>
                <w:rFonts w:eastAsia="新細明體" w:cs="Times New Roman"/>
                <w:sz w:val="24"/>
                <w:szCs w:val="28"/>
              </w:rPr>
              <w:t>9 377</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15 169</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24 546</w:t>
            </w:r>
          </w:p>
        </w:tc>
        <w:tc>
          <w:tcPr>
            <w:tcW w:w="441" w:type="pct"/>
            <w:shd w:val="clear" w:color="auto" w:fill="auto"/>
            <w:noWrap/>
            <w:vAlign w:val="center"/>
          </w:tcPr>
          <w:p w:rsidR="002B75FF" w:rsidRPr="002B75FF" w:rsidRDefault="002B75FF" w:rsidP="002B75FF">
            <w:pPr>
              <w:widowControl/>
              <w:jc w:val="center"/>
              <w:rPr>
                <w:rFonts w:eastAsia="新細明體" w:cs="Times New Roman"/>
                <w:sz w:val="24"/>
                <w:szCs w:val="28"/>
              </w:rPr>
            </w:pPr>
            <w:r w:rsidRPr="002B75FF">
              <w:rPr>
                <w:rFonts w:eastAsia="新細明體" w:cs="Times New Roman"/>
                <w:sz w:val="24"/>
                <w:szCs w:val="28"/>
              </w:rPr>
              <w:t>148</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1 478</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1 626</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455</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4 144</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4 599</w:t>
            </w:r>
          </w:p>
        </w:tc>
        <w:tc>
          <w:tcPr>
            <w:tcW w:w="463" w:type="pct"/>
            <w:shd w:val="clear" w:color="auto" w:fill="auto"/>
            <w:noWrap/>
            <w:vAlign w:val="center"/>
          </w:tcPr>
          <w:p w:rsidR="002B75FF" w:rsidRPr="002B75FF" w:rsidRDefault="002B75FF" w:rsidP="002B75FF">
            <w:pPr>
              <w:widowControl/>
              <w:jc w:val="center"/>
              <w:rPr>
                <w:rFonts w:eastAsia="新細明體" w:cs="Times New Roman"/>
                <w:sz w:val="24"/>
                <w:szCs w:val="28"/>
              </w:rPr>
            </w:pPr>
            <w:r w:rsidRPr="002B75FF">
              <w:rPr>
                <w:rFonts w:eastAsia="新細明體" w:cs="Times New Roman"/>
                <w:sz w:val="24"/>
                <w:szCs w:val="28"/>
              </w:rPr>
              <w:t>30 771</w:t>
            </w:r>
          </w:p>
        </w:tc>
      </w:tr>
      <w:tr w:rsidR="002B75FF" w:rsidRPr="002B75FF" w:rsidTr="00E22C88">
        <w:trPr>
          <w:trHeight w:val="360"/>
        </w:trPr>
        <w:tc>
          <w:tcPr>
            <w:tcW w:w="566" w:type="pct"/>
            <w:shd w:val="clear" w:color="auto" w:fill="auto"/>
            <w:noWrap/>
            <w:vAlign w:val="bottom"/>
          </w:tcPr>
          <w:p w:rsidR="002B75FF" w:rsidRPr="002B75FF" w:rsidRDefault="002B75FF" w:rsidP="002B75FF">
            <w:pPr>
              <w:widowControl/>
              <w:adjustRightInd w:val="0"/>
              <w:snapToGrid w:val="0"/>
              <w:spacing w:line="360" w:lineRule="atLeast"/>
              <w:rPr>
                <w:rFonts w:cs="Times New Roman"/>
                <w:bCs/>
                <w:szCs w:val="28"/>
              </w:rPr>
            </w:pPr>
            <w:r w:rsidRPr="002B75FF">
              <w:rPr>
                <w:rFonts w:cs="Times New Roman" w:hint="eastAsia"/>
                <w:bCs/>
                <w:szCs w:val="28"/>
                <w:lang w:eastAsia="zh-HK"/>
              </w:rPr>
              <w:t>技</w:t>
            </w:r>
            <w:r w:rsidRPr="002B75FF">
              <w:rPr>
                <w:rFonts w:cs="Times New Roman" w:hint="eastAsia"/>
                <w:bCs/>
                <w:szCs w:val="28"/>
              </w:rPr>
              <w:t>術員</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4 266</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8 782</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13 048</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133</w:t>
            </w:r>
          </w:p>
        </w:tc>
        <w:tc>
          <w:tcPr>
            <w:tcW w:w="441" w:type="pct"/>
            <w:shd w:val="clear" w:color="auto" w:fill="auto"/>
            <w:noWrap/>
            <w:vAlign w:val="center"/>
          </w:tcPr>
          <w:p w:rsidR="002B75FF" w:rsidRPr="002B75FF" w:rsidRDefault="002B75FF" w:rsidP="002B75FF">
            <w:pPr>
              <w:snapToGrid w:val="0"/>
              <w:jc w:val="center"/>
              <w:rPr>
                <w:rFonts w:eastAsia="新細明體" w:cs="Times New Roman"/>
                <w:sz w:val="24"/>
                <w:szCs w:val="28"/>
              </w:rPr>
            </w:pPr>
            <w:r w:rsidRPr="002B75FF">
              <w:rPr>
                <w:rFonts w:eastAsia="新細明體" w:cs="Times New Roman"/>
                <w:sz w:val="24"/>
                <w:szCs w:val="28"/>
              </w:rPr>
              <w:t>2</w:t>
            </w:r>
            <w:r w:rsidRPr="002B75FF">
              <w:rPr>
                <w:rFonts w:ascii="Microsoft YaHei" w:eastAsia="Microsoft YaHei" w:hAnsi="Microsoft YaHei" w:cs="Times New Roman"/>
                <w:sz w:val="24"/>
                <w:szCs w:val="28"/>
              </w:rPr>
              <w:t> </w:t>
            </w:r>
            <w:r w:rsidRPr="002B75FF">
              <w:rPr>
                <w:rFonts w:eastAsia="新細明體" w:cs="Times New Roman"/>
                <w:sz w:val="24"/>
                <w:szCs w:val="28"/>
              </w:rPr>
              <w:t>049</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2 182</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23</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805</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828</w:t>
            </w:r>
          </w:p>
        </w:tc>
        <w:tc>
          <w:tcPr>
            <w:tcW w:w="463"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16 058</w:t>
            </w:r>
          </w:p>
        </w:tc>
      </w:tr>
      <w:tr w:rsidR="002B75FF" w:rsidRPr="002B75FF" w:rsidTr="00E22C88">
        <w:trPr>
          <w:trHeight w:val="360"/>
        </w:trPr>
        <w:tc>
          <w:tcPr>
            <w:tcW w:w="566" w:type="pct"/>
            <w:shd w:val="clear" w:color="auto" w:fill="auto"/>
            <w:noWrap/>
            <w:vAlign w:val="bottom"/>
          </w:tcPr>
          <w:p w:rsidR="002B75FF" w:rsidRPr="002B75FF" w:rsidRDefault="002B75FF" w:rsidP="002B75FF">
            <w:pPr>
              <w:widowControl/>
              <w:adjustRightInd w:val="0"/>
              <w:snapToGrid w:val="0"/>
              <w:spacing w:line="360" w:lineRule="atLeast"/>
              <w:rPr>
                <w:rFonts w:cs="Times New Roman"/>
                <w:bCs/>
                <w:szCs w:val="28"/>
              </w:rPr>
            </w:pPr>
            <w:r w:rsidRPr="002B75FF">
              <w:rPr>
                <w:rFonts w:cs="Times New Roman" w:hint="eastAsia"/>
                <w:bCs/>
                <w:szCs w:val="28"/>
                <w:lang w:eastAsia="zh-HK"/>
              </w:rPr>
              <w:t>技</w:t>
            </w:r>
            <w:r w:rsidRPr="002B75FF">
              <w:rPr>
                <w:rFonts w:cs="Times New Roman" w:hint="eastAsia"/>
                <w:bCs/>
                <w:szCs w:val="28"/>
              </w:rPr>
              <w:t>工</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18</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2 289</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2 307</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6</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1 016</w:t>
            </w:r>
          </w:p>
        </w:tc>
        <w:tc>
          <w:tcPr>
            <w:tcW w:w="441"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1 022</w:t>
            </w:r>
          </w:p>
        </w:tc>
        <w:tc>
          <w:tcPr>
            <w:tcW w:w="463" w:type="pct"/>
            <w:shd w:val="clear" w:color="auto" w:fill="auto"/>
            <w:noWrap/>
            <w:vAlign w:val="center"/>
          </w:tcPr>
          <w:p w:rsidR="002B75FF" w:rsidRPr="002B75FF" w:rsidRDefault="002B75FF" w:rsidP="002B75FF">
            <w:pPr>
              <w:jc w:val="center"/>
              <w:rPr>
                <w:rFonts w:eastAsia="新細明體" w:cs="Times New Roman"/>
                <w:sz w:val="24"/>
                <w:szCs w:val="28"/>
              </w:rPr>
            </w:pPr>
            <w:r w:rsidRPr="002B75FF">
              <w:rPr>
                <w:rFonts w:eastAsia="新細明體" w:cs="Times New Roman"/>
                <w:sz w:val="24"/>
                <w:szCs w:val="28"/>
              </w:rPr>
              <w:t>3 329</w:t>
            </w:r>
          </w:p>
        </w:tc>
      </w:tr>
      <w:tr w:rsidR="002B75FF" w:rsidRPr="002B75FF" w:rsidTr="00E22C88">
        <w:trPr>
          <w:trHeight w:val="360"/>
        </w:trPr>
        <w:tc>
          <w:tcPr>
            <w:tcW w:w="566" w:type="pct"/>
            <w:shd w:val="clear" w:color="auto" w:fill="auto"/>
            <w:noWrap/>
            <w:vAlign w:val="bottom"/>
          </w:tcPr>
          <w:p w:rsidR="002B75FF" w:rsidRPr="002B75FF" w:rsidRDefault="002B75FF" w:rsidP="002B75FF">
            <w:pPr>
              <w:widowControl/>
              <w:adjustRightInd w:val="0"/>
              <w:snapToGrid w:val="0"/>
              <w:spacing w:line="360" w:lineRule="atLeast"/>
              <w:rPr>
                <w:rFonts w:cs="Times New Roman"/>
                <w:b/>
                <w:szCs w:val="28"/>
              </w:rPr>
            </w:pPr>
            <w:r w:rsidRPr="002B75FF">
              <w:rPr>
                <w:rFonts w:cs="Times New Roman" w:hint="eastAsia"/>
                <w:b/>
                <w:szCs w:val="28"/>
                <w:lang w:eastAsia="zh-HK"/>
              </w:rPr>
              <w:t>總計</w:t>
            </w:r>
          </w:p>
        </w:tc>
        <w:tc>
          <w:tcPr>
            <w:tcW w:w="441" w:type="pct"/>
            <w:shd w:val="clear" w:color="auto" w:fill="auto"/>
            <w:noWrap/>
            <w:vAlign w:val="center"/>
          </w:tcPr>
          <w:p w:rsidR="002B75FF" w:rsidRPr="002B75FF" w:rsidRDefault="002B75FF" w:rsidP="002B75FF">
            <w:pPr>
              <w:widowControl/>
              <w:jc w:val="center"/>
              <w:rPr>
                <w:rFonts w:eastAsia="新細明體" w:cs="Times New Roman"/>
                <w:b/>
                <w:bCs/>
                <w:sz w:val="24"/>
                <w:szCs w:val="28"/>
              </w:rPr>
            </w:pPr>
            <w:r w:rsidRPr="002B75FF">
              <w:rPr>
                <w:rFonts w:eastAsia="新細明體" w:cs="Times New Roman"/>
                <w:b/>
                <w:bCs/>
                <w:sz w:val="24"/>
                <w:szCs w:val="28"/>
              </w:rPr>
              <w:t>13 643</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23 951</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37 594</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299</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5 816</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6 115</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484</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5 965</w:t>
            </w:r>
          </w:p>
        </w:tc>
        <w:tc>
          <w:tcPr>
            <w:tcW w:w="441"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6 449</w:t>
            </w:r>
          </w:p>
        </w:tc>
        <w:tc>
          <w:tcPr>
            <w:tcW w:w="463" w:type="pct"/>
            <w:shd w:val="clear" w:color="auto" w:fill="auto"/>
            <w:noWrap/>
            <w:vAlign w:val="center"/>
          </w:tcPr>
          <w:p w:rsidR="002B75FF" w:rsidRPr="002B75FF" w:rsidRDefault="002B75FF" w:rsidP="002B75FF">
            <w:pPr>
              <w:jc w:val="center"/>
              <w:rPr>
                <w:rFonts w:eastAsia="新細明體" w:cs="Times New Roman"/>
                <w:b/>
                <w:bCs/>
                <w:sz w:val="24"/>
                <w:szCs w:val="28"/>
              </w:rPr>
            </w:pPr>
            <w:r w:rsidRPr="002B75FF">
              <w:rPr>
                <w:rFonts w:eastAsia="新細明體" w:cs="Times New Roman"/>
                <w:b/>
                <w:bCs/>
                <w:sz w:val="24"/>
                <w:szCs w:val="28"/>
              </w:rPr>
              <w:t>50 158</w:t>
            </w:r>
          </w:p>
        </w:tc>
      </w:tr>
    </w:tbl>
    <w:p w:rsidR="002B75FF" w:rsidRPr="002B75FF" w:rsidRDefault="002B75FF" w:rsidP="002B75FF">
      <w:pPr>
        <w:spacing w:line="360" w:lineRule="atLeast"/>
        <w:rPr>
          <w:rFonts w:cs="Times New Roman"/>
          <w:szCs w:val="28"/>
        </w:rPr>
      </w:pPr>
    </w:p>
    <w:p w:rsidR="002B75FF" w:rsidRPr="002B75FF" w:rsidRDefault="002B75FF" w:rsidP="001F3C5E">
      <w:pPr>
        <w:tabs>
          <w:tab w:val="left" w:pos="0"/>
          <w:tab w:val="left" w:pos="720"/>
        </w:tabs>
        <w:snapToGrid w:val="0"/>
        <w:spacing w:line="360" w:lineRule="atLeast"/>
        <w:ind w:left="716" w:hanging="716"/>
        <w:rPr>
          <w:rFonts w:cs="Times New Roman"/>
          <w:szCs w:val="28"/>
        </w:rPr>
      </w:pPr>
      <w:r w:rsidRPr="002B75FF">
        <w:rPr>
          <w:rFonts w:cs="Times New Roman"/>
          <w:szCs w:val="28"/>
        </w:rPr>
        <w:t>(2)</w:t>
      </w:r>
      <w:r w:rsidRPr="002B75FF">
        <w:rPr>
          <w:rFonts w:cs="Times New Roman"/>
          <w:szCs w:val="28"/>
        </w:rPr>
        <w:tab/>
      </w:r>
      <w:r w:rsidRPr="002B75FF">
        <w:rPr>
          <w:rFonts w:cs="Times New Roman" w:hint="eastAsia"/>
          <w:szCs w:val="28"/>
        </w:rPr>
        <w:t>酒店及旅遊學院、中華廚藝學院、國際廚藝學院、海事訓練學院及卓越培訓發展中心（包括</w:t>
      </w:r>
      <w:r w:rsidRPr="002B75FF">
        <w:rPr>
          <w:rFonts w:cs="Times New Roman" w:hint="eastAsia"/>
          <w:szCs w:val="28"/>
        </w:rPr>
        <w:t>10</w:t>
      </w:r>
      <w:r w:rsidRPr="002B75FF">
        <w:rPr>
          <w:rFonts w:cs="Times New Roman" w:hint="eastAsia"/>
          <w:szCs w:val="28"/>
        </w:rPr>
        <w:t>所訓練及發展中心）</w:t>
      </w:r>
      <w:r w:rsidRPr="002B75FF">
        <w:rPr>
          <w:rFonts w:cs="Times New Roman" w:hint="eastAsia"/>
          <w:szCs w:val="28"/>
          <w:vertAlign w:val="superscript"/>
        </w:rPr>
        <w:t>註</w:t>
      </w:r>
    </w:p>
    <w:p w:rsidR="002B75FF" w:rsidRPr="002B75FF" w:rsidRDefault="002B75FF" w:rsidP="002B75FF">
      <w:pPr>
        <w:widowControl/>
        <w:spacing w:line="360" w:lineRule="atLeast"/>
        <w:rPr>
          <w:rFonts w:cs="Times New Roman"/>
          <w:szCs w:val="28"/>
        </w:rPr>
      </w:pPr>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1653"/>
        <w:gridCol w:w="1654"/>
        <w:gridCol w:w="1654"/>
        <w:gridCol w:w="1369"/>
      </w:tblGrid>
      <w:tr w:rsidR="002B75FF" w:rsidRPr="002B75FF" w:rsidTr="00E22C88">
        <w:trPr>
          <w:tblHeader/>
        </w:trPr>
        <w:tc>
          <w:tcPr>
            <w:tcW w:w="2013" w:type="dxa"/>
          </w:tcPr>
          <w:p w:rsidR="002B75FF" w:rsidRPr="002B75FF" w:rsidRDefault="002B75FF" w:rsidP="002B75FF">
            <w:pPr>
              <w:snapToGrid w:val="0"/>
              <w:jc w:val="center"/>
              <w:rPr>
                <w:rFonts w:ascii="標楷體" w:hAnsi="標楷體" w:cs="Times New Roman"/>
                <w:b/>
                <w:szCs w:val="28"/>
              </w:rPr>
            </w:pPr>
            <w:r w:rsidRPr="002B75FF">
              <w:rPr>
                <w:rFonts w:ascii="標楷體" w:hAnsi="標楷體" w:cs="Times New Roman" w:hint="eastAsia"/>
                <w:b/>
                <w:szCs w:val="28"/>
              </w:rPr>
              <w:t>程度</w:t>
            </w:r>
          </w:p>
        </w:tc>
        <w:tc>
          <w:tcPr>
            <w:tcW w:w="1653" w:type="dxa"/>
            <w:shd w:val="clear" w:color="auto" w:fill="auto"/>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lang w:eastAsia="zh-HK"/>
              </w:rPr>
              <w:t>全日制</w:t>
            </w:r>
          </w:p>
        </w:tc>
        <w:tc>
          <w:tcPr>
            <w:tcW w:w="1654" w:type="dxa"/>
            <w:shd w:val="clear" w:color="auto" w:fill="auto"/>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rPr>
              <w:t>日間兼讀制</w:t>
            </w:r>
          </w:p>
        </w:tc>
        <w:tc>
          <w:tcPr>
            <w:tcW w:w="1654" w:type="dxa"/>
            <w:shd w:val="clear" w:color="auto" w:fill="auto"/>
            <w:vAlign w:val="bottom"/>
          </w:tcPr>
          <w:p w:rsidR="002B75FF" w:rsidRPr="002B75FF" w:rsidRDefault="002B75FF" w:rsidP="002B75FF">
            <w:pPr>
              <w:widowControl/>
              <w:adjustRightInd w:val="0"/>
              <w:snapToGrid w:val="0"/>
              <w:spacing w:line="360" w:lineRule="atLeast"/>
              <w:jc w:val="center"/>
              <w:rPr>
                <w:rFonts w:cs="Times New Roman"/>
                <w:b/>
                <w:bCs/>
                <w:szCs w:val="28"/>
              </w:rPr>
            </w:pPr>
            <w:r w:rsidRPr="002B75FF">
              <w:rPr>
                <w:rFonts w:cs="Times New Roman" w:hint="eastAsia"/>
                <w:b/>
                <w:bCs/>
                <w:szCs w:val="28"/>
              </w:rPr>
              <w:t>夜間兼讀制</w:t>
            </w:r>
          </w:p>
        </w:tc>
        <w:tc>
          <w:tcPr>
            <w:tcW w:w="1369" w:type="dxa"/>
            <w:vAlign w:val="center"/>
          </w:tcPr>
          <w:p w:rsidR="002B75FF" w:rsidRPr="002B75FF" w:rsidRDefault="002B75FF" w:rsidP="002B75FF">
            <w:pPr>
              <w:keepNext/>
              <w:adjustRightInd w:val="0"/>
              <w:snapToGrid w:val="0"/>
              <w:spacing w:line="360" w:lineRule="atLeast"/>
              <w:jc w:val="center"/>
              <w:outlineLvl w:val="2"/>
              <w:rPr>
                <w:rFonts w:ascii="標楷體" w:hAnsi="標楷體" w:cs="Times New Roman"/>
                <w:b/>
                <w:bCs/>
                <w:szCs w:val="28"/>
                <w:lang w:val="en-GB"/>
              </w:rPr>
            </w:pPr>
            <w:r w:rsidRPr="002B75FF">
              <w:rPr>
                <w:rFonts w:ascii="標楷體" w:hAnsi="標楷體" w:cs="Times New Roman" w:hint="eastAsia"/>
                <w:b/>
                <w:bCs/>
                <w:szCs w:val="28"/>
                <w:lang w:val="en-GB"/>
              </w:rPr>
              <w:t>總計</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高級技術員</w:t>
            </w:r>
          </w:p>
        </w:tc>
        <w:tc>
          <w:tcPr>
            <w:tcW w:w="1653"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365</w:t>
            </w:r>
          </w:p>
        </w:tc>
        <w:tc>
          <w:tcPr>
            <w:tcW w:w="1654"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w:t>
            </w:r>
          </w:p>
        </w:tc>
        <w:tc>
          <w:tcPr>
            <w:tcW w:w="1654"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365</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技師</w:t>
            </w:r>
          </w:p>
        </w:tc>
        <w:tc>
          <w:tcPr>
            <w:tcW w:w="1653"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204</w:t>
            </w:r>
          </w:p>
        </w:tc>
        <w:tc>
          <w:tcPr>
            <w:tcW w:w="1654"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39</w:t>
            </w:r>
          </w:p>
        </w:tc>
        <w:tc>
          <w:tcPr>
            <w:tcW w:w="1654"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243</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督導員</w:t>
            </w:r>
          </w:p>
        </w:tc>
        <w:tc>
          <w:tcPr>
            <w:tcW w:w="1653"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27</w:t>
            </w:r>
          </w:p>
        </w:tc>
        <w:tc>
          <w:tcPr>
            <w:tcW w:w="1654"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1</w:t>
            </w:r>
            <w:r w:rsidRPr="002B75FF">
              <w:rPr>
                <w:rFonts w:eastAsia="新細明體" w:cs="Times New Roman"/>
                <w:szCs w:val="28"/>
                <w:lang w:eastAsia="zh-HK"/>
              </w:rPr>
              <w:t> </w:t>
            </w:r>
            <w:r w:rsidRPr="002B75FF">
              <w:rPr>
                <w:rFonts w:eastAsia="新細明體" w:cs="Times New Roman"/>
                <w:szCs w:val="28"/>
                <w:lang w:val="en-GB" w:eastAsia="zh-HK"/>
              </w:rPr>
              <w:t>627</w:t>
            </w:r>
          </w:p>
        </w:tc>
        <w:tc>
          <w:tcPr>
            <w:tcW w:w="1654" w:type="dxa"/>
            <w:vAlign w:val="center"/>
          </w:tcPr>
          <w:p w:rsidR="002B75FF" w:rsidRPr="002B75FF" w:rsidRDefault="002B75FF" w:rsidP="002B75FF">
            <w:pPr>
              <w:pBdr>
                <w:left w:val="single" w:sz="6" w:space="4" w:color="auto"/>
              </w:pBdr>
              <w:adjustRightInd w:val="0"/>
              <w:snapToGrid w:val="0"/>
              <w:spacing w:line="360" w:lineRule="atLeast"/>
              <w:jc w:val="center"/>
              <w:rPr>
                <w:rFonts w:eastAsia="新細明體" w:cs="Times New Roman"/>
                <w:szCs w:val="28"/>
                <w:lang w:eastAsia="zh-HK"/>
              </w:rPr>
            </w:pPr>
            <w:r w:rsidRPr="002B75FF">
              <w:rPr>
                <w:rFonts w:eastAsia="新細明體" w:cs="Times New Roman"/>
                <w:szCs w:val="28"/>
                <w:lang w:eastAsia="zh-HK"/>
              </w:rPr>
              <w:t>7</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1</w:t>
            </w:r>
            <w:r w:rsidRPr="002B75FF">
              <w:rPr>
                <w:rFonts w:eastAsia="新細明體" w:cs="Times New Roman"/>
                <w:szCs w:val="28"/>
              </w:rPr>
              <w:t> </w:t>
            </w:r>
            <w:r w:rsidRPr="002B75FF">
              <w:rPr>
                <w:rFonts w:eastAsia="新細明體" w:cs="Times New Roman"/>
                <w:szCs w:val="28"/>
                <w:lang w:val="en-GB"/>
              </w:rPr>
              <w:t>661</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技術員</w:t>
            </w:r>
          </w:p>
        </w:tc>
        <w:tc>
          <w:tcPr>
            <w:tcW w:w="1653"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2</w:t>
            </w:r>
            <w:r w:rsidRPr="002B75FF">
              <w:rPr>
                <w:rFonts w:eastAsia="新細明體" w:cs="Times New Roman"/>
                <w:szCs w:val="28"/>
                <w:lang w:eastAsia="zh-HK"/>
              </w:rPr>
              <w:t> </w:t>
            </w:r>
            <w:r w:rsidRPr="002B75FF">
              <w:rPr>
                <w:rFonts w:eastAsia="新細明體" w:cs="Times New Roman"/>
                <w:szCs w:val="28"/>
                <w:lang w:val="en-GB" w:eastAsia="zh-HK"/>
              </w:rPr>
              <w:t>248</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1</w:t>
            </w:r>
            <w:r w:rsidRPr="002B75FF">
              <w:rPr>
                <w:rFonts w:eastAsia="新細明體" w:cs="Times New Roman"/>
                <w:szCs w:val="28"/>
              </w:rPr>
              <w:t> </w:t>
            </w:r>
            <w:r w:rsidRPr="002B75FF">
              <w:rPr>
                <w:rFonts w:eastAsia="新細明體" w:cs="Times New Roman"/>
                <w:szCs w:val="28"/>
                <w:lang w:val="en-GB"/>
              </w:rPr>
              <w:t>424</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rPr>
            </w:pPr>
            <w:r w:rsidRPr="002B75FF">
              <w:rPr>
                <w:rFonts w:eastAsia="新細明體" w:cs="Times New Roman"/>
                <w:szCs w:val="28"/>
              </w:rPr>
              <w:t>218</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3</w:t>
            </w:r>
            <w:r w:rsidRPr="002B75FF">
              <w:rPr>
                <w:rFonts w:eastAsia="新細明體" w:cs="Times New Roman"/>
                <w:szCs w:val="28"/>
              </w:rPr>
              <w:t> </w:t>
            </w:r>
            <w:r w:rsidRPr="002B75FF">
              <w:rPr>
                <w:rFonts w:eastAsia="新細明體" w:cs="Times New Roman"/>
                <w:szCs w:val="28"/>
                <w:lang w:val="en-GB"/>
              </w:rPr>
              <w:t>890</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技工</w:t>
            </w:r>
          </w:p>
        </w:tc>
        <w:tc>
          <w:tcPr>
            <w:tcW w:w="1653"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1</w:t>
            </w:r>
            <w:r w:rsidRPr="002B75FF">
              <w:rPr>
                <w:rFonts w:eastAsia="新細明體" w:cs="Times New Roman"/>
                <w:szCs w:val="28"/>
                <w:lang w:eastAsia="zh-HK"/>
              </w:rPr>
              <w:t> </w:t>
            </w:r>
            <w:r w:rsidRPr="002B75FF">
              <w:rPr>
                <w:rFonts w:eastAsia="新細明體" w:cs="Times New Roman"/>
                <w:szCs w:val="28"/>
                <w:lang w:val="en-GB" w:eastAsia="zh-HK"/>
              </w:rPr>
              <w:t>532</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3</w:t>
            </w:r>
            <w:r w:rsidRPr="002B75FF">
              <w:rPr>
                <w:rFonts w:eastAsia="新細明體" w:cs="Times New Roman"/>
                <w:szCs w:val="28"/>
              </w:rPr>
              <w:t> </w:t>
            </w:r>
            <w:r w:rsidRPr="002B75FF">
              <w:rPr>
                <w:rFonts w:eastAsia="新細明體" w:cs="Times New Roman"/>
                <w:szCs w:val="28"/>
                <w:lang w:val="en-GB"/>
              </w:rPr>
              <w:t>716</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3</w:t>
            </w:r>
            <w:r w:rsidRPr="002B75FF">
              <w:rPr>
                <w:rFonts w:eastAsia="新細明體" w:cs="Times New Roman"/>
                <w:szCs w:val="28"/>
              </w:rPr>
              <w:t> </w:t>
            </w:r>
            <w:r w:rsidRPr="002B75FF">
              <w:rPr>
                <w:rFonts w:eastAsia="新細明體" w:cs="Times New Roman"/>
                <w:szCs w:val="28"/>
                <w:lang w:val="en-GB"/>
              </w:rPr>
              <w:t>185</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rPr>
            </w:pPr>
            <w:r w:rsidRPr="002B75FF">
              <w:rPr>
                <w:rFonts w:eastAsia="新細明體" w:cs="Times New Roman"/>
                <w:szCs w:val="28"/>
                <w:lang w:val="en-GB"/>
              </w:rPr>
              <w:t>8 433</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操作工</w:t>
            </w:r>
          </w:p>
        </w:tc>
        <w:tc>
          <w:tcPr>
            <w:tcW w:w="1653" w:type="dxa"/>
            <w:vAlign w:val="center"/>
          </w:tcPr>
          <w:p w:rsidR="002B75FF" w:rsidRPr="002B75FF" w:rsidRDefault="002B75FF" w:rsidP="002B75FF">
            <w:pPr>
              <w:adjustRightInd w:val="0"/>
              <w:snapToGrid w:val="0"/>
              <w:spacing w:line="360" w:lineRule="atLeast"/>
              <w:jc w:val="center"/>
              <w:rPr>
                <w:rFonts w:eastAsia="新細明體" w:cs="Times New Roman"/>
                <w:szCs w:val="28"/>
                <w:lang w:eastAsia="zh-HK"/>
              </w:rPr>
            </w:pPr>
            <w:r w:rsidRPr="002B75FF">
              <w:rPr>
                <w:rFonts w:eastAsia="新細明體" w:cs="Times New Roman"/>
                <w:szCs w:val="28"/>
                <w:lang w:eastAsia="zh-HK"/>
              </w:rPr>
              <w:t>970</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eastAsia="zh-HK"/>
              </w:rPr>
            </w:pPr>
            <w:r w:rsidRPr="002B75FF">
              <w:rPr>
                <w:rFonts w:eastAsia="新細明體" w:cs="Times New Roman"/>
                <w:szCs w:val="28"/>
                <w:lang w:eastAsia="zh-HK"/>
              </w:rPr>
              <w:t>3 181</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eastAsia="zh-HK"/>
              </w:rPr>
            </w:pPr>
            <w:r w:rsidRPr="002B75FF">
              <w:rPr>
                <w:rFonts w:eastAsia="新細明體" w:cs="Times New Roman"/>
                <w:szCs w:val="28"/>
                <w:lang w:eastAsia="zh-HK"/>
              </w:rPr>
              <w:t>54</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4</w:t>
            </w:r>
            <w:r w:rsidRPr="002B75FF">
              <w:rPr>
                <w:rFonts w:eastAsia="新細明體" w:cs="Times New Roman"/>
                <w:szCs w:val="28"/>
                <w:lang w:eastAsia="zh-HK"/>
              </w:rPr>
              <w:t> </w:t>
            </w:r>
            <w:r w:rsidRPr="002B75FF">
              <w:rPr>
                <w:rFonts w:eastAsia="新細明體" w:cs="Times New Roman"/>
                <w:szCs w:val="28"/>
                <w:lang w:val="en-GB" w:eastAsia="zh-HK"/>
              </w:rPr>
              <w:t>205</w:t>
            </w:r>
          </w:p>
        </w:tc>
      </w:tr>
      <w:tr w:rsidR="002B75FF" w:rsidRPr="002B75FF" w:rsidTr="00E22C88">
        <w:trPr>
          <w:trHeight w:val="432"/>
        </w:trPr>
        <w:tc>
          <w:tcPr>
            <w:tcW w:w="2013" w:type="dxa"/>
          </w:tcPr>
          <w:p w:rsidR="002B75FF" w:rsidRPr="002B75FF" w:rsidRDefault="002B75FF" w:rsidP="002B75FF">
            <w:pPr>
              <w:snapToGrid w:val="0"/>
              <w:rPr>
                <w:rFonts w:ascii="標楷體" w:hAnsi="標楷體" w:cs="Times New Roman"/>
                <w:szCs w:val="28"/>
              </w:rPr>
            </w:pPr>
            <w:r w:rsidRPr="002B75FF">
              <w:rPr>
                <w:rFonts w:ascii="標楷體" w:hAnsi="標楷體" w:cs="Times New Roman" w:hint="eastAsia"/>
                <w:szCs w:val="28"/>
              </w:rPr>
              <w:t>其他</w:t>
            </w:r>
            <w:r w:rsidRPr="002B75FF">
              <w:rPr>
                <w:rFonts w:ascii="標楷體" w:hAnsi="標楷體" w:cs="Times New Roman"/>
                <w:szCs w:val="28"/>
              </w:rPr>
              <w:br/>
            </w:r>
            <w:r w:rsidRPr="002B75FF">
              <w:rPr>
                <w:rFonts w:ascii="標楷體" w:hAnsi="標楷體" w:cs="Times New Roman" w:hint="eastAsia"/>
                <w:szCs w:val="28"/>
              </w:rPr>
              <w:t>(如興趣班等)</w:t>
            </w:r>
          </w:p>
        </w:tc>
        <w:tc>
          <w:tcPr>
            <w:tcW w:w="1653"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50</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eastAsia="zh-HK"/>
              </w:rPr>
            </w:pPr>
            <w:r w:rsidRPr="002B75FF">
              <w:rPr>
                <w:rFonts w:eastAsia="新細明體" w:cs="Times New Roman"/>
                <w:szCs w:val="28"/>
                <w:lang w:eastAsia="zh-HK"/>
              </w:rPr>
              <w:t>771</w:t>
            </w:r>
          </w:p>
        </w:tc>
        <w:tc>
          <w:tcPr>
            <w:tcW w:w="1654" w:type="dxa"/>
            <w:vAlign w:val="center"/>
          </w:tcPr>
          <w:p w:rsidR="002B75FF" w:rsidRPr="002B75FF" w:rsidRDefault="002B75FF" w:rsidP="002B75FF">
            <w:pPr>
              <w:adjustRightInd w:val="0"/>
              <w:snapToGrid w:val="0"/>
              <w:spacing w:line="360" w:lineRule="atLeast"/>
              <w:jc w:val="center"/>
              <w:rPr>
                <w:rFonts w:eastAsia="新細明體" w:cs="Times New Roman"/>
                <w:szCs w:val="28"/>
                <w:lang w:eastAsia="zh-HK"/>
              </w:rPr>
            </w:pPr>
            <w:r w:rsidRPr="002B75FF">
              <w:rPr>
                <w:rFonts w:eastAsia="新細明體" w:cs="Times New Roman"/>
                <w:szCs w:val="28"/>
                <w:lang w:eastAsia="zh-HK"/>
              </w:rPr>
              <w:t>274</w:t>
            </w:r>
          </w:p>
        </w:tc>
        <w:tc>
          <w:tcPr>
            <w:tcW w:w="1369" w:type="dxa"/>
            <w:vAlign w:val="center"/>
          </w:tcPr>
          <w:p w:rsidR="002B75FF" w:rsidRPr="002B75FF" w:rsidRDefault="002B75FF" w:rsidP="002B75FF">
            <w:pPr>
              <w:adjustRightInd w:val="0"/>
              <w:snapToGrid w:val="0"/>
              <w:spacing w:line="360" w:lineRule="atLeast"/>
              <w:jc w:val="center"/>
              <w:rPr>
                <w:rFonts w:eastAsia="新細明體" w:cs="Times New Roman"/>
                <w:szCs w:val="28"/>
                <w:lang w:val="en-GB" w:eastAsia="zh-HK"/>
              </w:rPr>
            </w:pPr>
            <w:r w:rsidRPr="002B75FF">
              <w:rPr>
                <w:rFonts w:eastAsia="新細明體" w:cs="Times New Roman"/>
                <w:szCs w:val="28"/>
                <w:lang w:val="en-GB" w:eastAsia="zh-HK"/>
              </w:rPr>
              <w:t>1</w:t>
            </w:r>
            <w:r w:rsidRPr="002B75FF">
              <w:rPr>
                <w:rFonts w:eastAsia="新細明體" w:cs="Times New Roman"/>
                <w:szCs w:val="28"/>
                <w:lang w:eastAsia="zh-HK"/>
              </w:rPr>
              <w:t> </w:t>
            </w:r>
            <w:r w:rsidRPr="002B75FF">
              <w:rPr>
                <w:rFonts w:eastAsia="新細明體" w:cs="Times New Roman"/>
                <w:szCs w:val="28"/>
                <w:lang w:val="en-GB" w:eastAsia="zh-HK"/>
              </w:rPr>
              <w:t>095</w:t>
            </w:r>
          </w:p>
        </w:tc>
      </w:tr>
    </w:tbl>
    <w:p w:rsidR="002B75FF" w:rsidRDefault="002B75FF" w:rsidP="002B75FF">
      <w:pPr>
        <w:tabs>
          <w:tab w:val="left" w:pos="720"/>
        </w:tabs>
        <w:snapToGrid w:val="0"/>
        <w:jc w:val="both"/>
        <w:rPr>
          <w:rFonts w:ascii="標楷體" w:hAnsi="標楷體" w:cs="Times New Roman"/>
          <w:szCs w:val="28"/>
          <w:lang w:val="en-GB"/>
        </w:rPr>
      </w:pPr>
    </w:p>
    <w:p w:rsidR="002B75FF" w:rsidRPr="002B75FF" w:rsidRDefault="002B75FF" w:rsidP="002B75FF">
      <w:pPr>
        <w:tabs>
          <w:tab w:val="left" w:pos="720"/>
        </w:tabs>
        <w:snapToGrid w:val="0"/>
        <w:jc w:val="both"/>
        <w:rPr>
          <w:rFonts w:ascii="標楷體" w:hAnsi="標楷體" w:cs="Times New Roman"/>
          <w:szCs w:val="28"/>
          <w:lang w:val="en-GB"/>
        </w:rPr>
      </w:pPr>
      <w:r w:rsidRPr="002B75FF">
        <w:rPr>
          <w:rFonts w:ascii="標楷體" w:hAnsi="標楷體" w:cs="Times New Roman" w:hint="eastAsia"/>
          <w:szCs w:val="28"/>
          <w:lang w:val="en-GB"/>
        </w:rPr>
        <w:t>註：没有備存按學生性別劃分的統計資料。</w:t>
      </w:r>
    </w:p>
    <w:p w:rsidR="002B75FF" w:rsidRPr="002B75FF" w:rsidRDefault="002B75FF" w:rsidP="002B75FF">
      <w:pPr>
        <w:widowControl/>
        <w:spacing w:line="360" w:lineRule="atLeast"/>
        <w:rPr>
          <w:rFonts w:cs="Times New Roman"/>
          <w:szCs w:val="28"/>
          <w:lang w:val="en-GB"/>
        </w:rPr>
      </w:pPr>
    </w:p>
    <w:p w:rsidR="000D6A5B" w:rsidRDefault="000D6A5B" w:rsidP="008375BB">
      <w:pPr>
        <w:jc w:val="both"/>
        <w:rPr>
          <w:rFonts w:cs="Times New Roman"/>
          <w:szCs w:val="28"/>
          <w:lang w:val="en-GB"/>
        </w:rPr>
        <w:sectPr w:rsidR="000D6A5B" w:rsidSect="002B75FF">
          <w:footerReference w:type="default" r:id="rId32"/>
          <w:pgSz w:w="11906" w:h="16838" w:code="9"/>
          <w:pgMar w:top="1440" w:right="1800" w:bottom="1440" w:left="1800" w:header="720" w:footer="720" w:gutter="0"/>
          <w:pgNumType w:start="1"/>
          <w:cols w:space="425"/>
          <w:docGrid w:type="lines" w:linePitch="381"/>
        </w:sectPr>
      </w:pPr>
    </w:p>
    <w:p w:rsidR="000D6A5B" w:rsidRDefault="000D6A5B" w:rsidP="000D6A5B">
      <w:pPr>
        <w:snapToGrid w:val="0"/>
        <w:spacing w:line="400" w:lineRule="atLeast"/>
        <w:jc w:val="right"/>
        <w:rPr>
          <w:rFonts w:cs="Times New Roman"/>
          <w:b/>
          <w:szCs w:val="28"/>
        </w:rPr>
      </w:pPr>
      <w:r w:rsidRPr="00F45BB9">
        <w:rPr>
          <w:rFonts w:cs="Times New Roman"/>
          <w:b/>
          <w:szCs w:val="28"/>
          <w:lang w:eastAsia="zh-HK"/>
        </w:rPr>
        <w:lastRenderedPageBreak/>
        <w:t>附件</w:t>
      </w:r>
      <w:r w:rsidRPr="00F45BB9">
        <w:rPr>
          <w:rFonts w:cs="Times New Roman"/>
          <w:b/>
          <w:szCs w:val="28"/>
        </w:rPr>
        <w:t>7A</w:t>
      </w:r>
    </w:p>
    <w:p w:rsidR="000D6A5B" w:rsidRDefault="000D6A5B" w:rsidP="000D6A5B">
      <w:pPr>
        <w:snapToGrid w:val="0"/>
        <w:spacing w:line="400" w:lineRule="atLeast"/>
        <w:jc w:val="right"/>
        <w:rPr>
          <w:rFonts w:cs="Times New Roman"/>
          <w:b/>
          <w:szCs w:val="28"/>
        </w:rPr>
      </w:pPr>
    </w:p>
    <w:p w:rsidR="000D6A5B" w:rsidRDefault="000D6A5B" w:rsidP="000D6A5B">
      <w:pPr>
        <w:snapToGrid w:val="0"/>
        <w:spacing w:line="400" w:lineRule="atLeast"/>
        <w:jc w:val="center"/>
        <w:rPr>
          <w:b/>
          <w:kern w:val="0"/>
          <w:szCs w:val="28"/>
        </w:rPr>
      </w:pPr>
      <w:r w:rsidRPr="00CD1EF8">
        <w:rPr>
          <w:b/>
          <w:kern w:val="0"/>
          <w:szCs w:val="28"/>
        </w:rPr>
        <w:t>法定最低工資</w:t>
      </w:r>
    </w:p>
    <w:p w:rsidR="000D6A5B" w:rsidRDefault="000D6A5B" w:rsidP="000D6A5B">
      <w:pPr>
        <w:snapToGrid w:val="0"/>
        <w:spacing w:line="400" w:lineRule="atLeast"/>
        <w:jc w:val="center"/>
        <w:rPr>
          <w:b/>
          <w:kern w:val="0"/>
          <w:szCs w:val="28"/>
        </w:rPr>
      </w:pPr>
    </w:p>
    <w:p w:rsidR="000D6A5B" w:rsidRPr="00F45BB9" w:rsidRDefault="000D6A5B" w:rsidP="000D6A5B">
      <w:pPr>
        <w:tabs>
          <w:tab w:val="left" w:pos="1440"/>
        </w:tabs>
        <w:snapToGrid w:val="0"/>
        <w:spacing w:line="400" w:lineRule="atLeast"/>
        <w:jc w:val="both"/>
        <w:rPr>
          <w:rFonts w:cs="Times New Roman"/>
          <w:szCs w:val="28"/>
        </w:rPr>
      </w:pPr>
      <w:r>
        <w:rPr>
          <w:rFonts w:cs="Times New Roman" w:hint="eastAsia"/>
          <w:szCs w:val="28"/>
        </w:rPr>
        <w:t>1.</w:t>
      </w:r>
      <w:r>
        <w:rPr>
          <w:rFonts w:cs="Times New Roman"/>
          <w:szCs w:val="28"/>
        </w:rPr>
        <w:tab/>
      </w:r>
      <w:r w:rsidRPr="00F45BB9">
        <w:rPr>
          <w:rFonts w:cs="Times New Roman" w:hint="eastAsia"/>
          <w:szCs w:val="28"/>
        </w:rPr>
        <w:t>首個法定最低工資水平於</w:t>
      </w:r>
      <w:r w:rsidRPr="00F45BB9">
        <w:rPr>
          <w:rFonts w:cs="Times New Roman" w:hint="eastAsia"/>
          <w:szCs w:val="28"/>
        </w:rPr>
        <w:t>2011</w:t>
      </w:r>
      <w:r w:rsidRPr="00F45BB9">
        <w:rPr>
          <w:rFonts w:cs="Times New Roman" w:hint="eastAsia"/>
          <w:szCs w:val="28"/>
        </w:rPr>
        <w:t>年</w:t>
      </w:r>
      <w:r w:rsidRPr="00F45BB9">
        <w:rPr>
          <w:rFonts w:cs="Times New Roman" w:hint="eastAsia"/>
          <w:szCs w:val="28"/>
        </w:rPr>
        <w:t>5</w:t>
      </w:r>
      <w:r w:rsidRPr="00F45BB9">
        <w:rPr>
          <w:rFonts w:cs="Times New Roman" w:hint="eastAsia"/>
          <w:szCs w:val="28"/>
        </w:rPr>
        <w:t>月訂為每小時</w:t>
      </w:r>
      <w:r w:rsidRPr="00F45BB9">
        <w:rPr>
          <w:rFonts w:cs="Times New Roman" w:hint="eastAsia"/>
          <w:szCs w:val="28"/>
        </w:rPr>
        <w:t>28</w:t>
      </w:r>
      <w:r w:rsidRPr="00F45BB9">
        <w:rPr>
          <w:rFonts w:cs="Times New Roman" w:hint="eastAsia"/>
          <w:szCs w:val="28"/>
        </w:rPr>
        <w:t>元，並於</w:t>
      </w:r>
      <w:r w:rsidRPr="00F45BB9">
        <w:rPr>
          <w:rFonts w:cs="Times New Roman" w:hint="eastAsia"/>
          <w:szCs w:val="28"/>
        </w:rPr>
        <w:t>2013</w:t>
      </w:r>
      <w:r w:rsidRPr="00F45BB9">
        <w:rPr>
          <w:rFonts w:cs="Times New Roman" w:hint="eastAsia"/>
          <w:szCs w:val="28"/>
        </w:rPr>
        <w:t>年</w:t>
      </w:r>
      <w:r w:rsidRPr="00F45BB9">
        <w:rPr>
          <w:rFonts w:cs="Times New Roman" w:hint="eastAsia"/>
          <w:szCs w:val="28"/>
        </w:rPr>
        <w:t>5</w:t>
      </w:r>
      <w:r w:rsidRPr="00F45BB9">
        <w:rPr>
          <w:rFonts w:cs="Times New Roman" w:hint="eastAsia"/>
          <w:szCs w:val="28"/>
        </w:rPr>
        <w:t>月上調至</w:t>
      </w:r>
      <w:r w:rsidRPr="00F45BB9">
        <w:rPr>
          <w:rFonts w:cs="Times New Roman" w:hint="eastAsia"/>
          <w:szCs w:val="28"/>
        </w:rPr>
        <w:t>30</w:t>
      </w:r>
      <w:r w:rsidRPr="00F45BB9">
        <w:rPr>
          <w:rFonts w:cs="Times New Roman" w:hint="eastAsia"/>
          <w:szCs w:val="28"/>
        </w:rPr>
        <w:t>元，於</w:t>
      </w:r>
      <w:r w:rsidRPr="00F45BB9">
        <w:rPr>
          <w:rFonts w:cs="Times New Roman" w:hint="eastAsia"/>
          <w:szCs w:val="28"/>
        </w:rPr>
        <w:t>2015</w:t>
      </w:r>
      <w:r w:rsidRPr="00F45BB9">
        <w:rPr>
          <w:rFonts w:cs="Times New Roman" w:hint="eastAsia"/>
          <w:szCs w:val="28"/>
        </w:rPr>
        <w:t>年</w:t>
      </w:r>
      <w:r w:rsidRPr="00F45BB9">
        <w:rPr>
          <w:rFonts w:cs="Times New Roman" w:hint="eastAsia"/>
          <w:szCs w:val="28"/>
        </w:rPr>
        <w:t>5</w:t>
      </w:r>
      <w:r w:rsidRPr="00F45BB9">
        <w:rPr>
          <w:rFonts w:cs="Times New Roman" w:hint="eastAsia"/>
          <w:szCs w:val="28"/>
        </w:rPr>
        <w:t>月為</w:t>
      </w:r>
      <w:r w:rsidRPr="00F45BB9">
        <w:rPr>
          <w:rFonts w:cs="Times New Roman" w:hint="eastAsia"/>
          <w:szCs w:val="28"/>
        </w:rPr>
        <w:t>32.5</w:t>
      </w:r>
      <w:r w:rsidRPr="00F45BB9">
        <w:rPr>
          <w:rFonts w:cs="Times New Roman" w:hint="eastAsia"/>
          <w:szCs w:val="28"/>
        </w:rPr>
        <w:t>元，以及於</w:t>
      </w:r>
      <w:r w:rsidRPr="00F45BB9">
        <w:rPr>
          <w:rFonts w:cs="Times New Roman" w:hint="eastAsia"/>
          <w:szCs w:val="28"/>
        </w:rPr>
        <w:t>2017</w:t>
      </w:r>
      <w:r w:rsidRPr="00F45BB9">
        <w:rPr>
          <w:rFonts w:cs="Times New Roman" w:hint="eastAsia"/>
          <w:szCs w:val="28"/>
        </w:rPr>
        <w:t>年</w:t>
      </w:r>
      <w:r w:rsidRPr="00F45BB9">
        <w:rPr>
          <w:rFonts w:cs="Times New Roman" w:hint="eastAsia"/>
          <w:szCs w:val="28"/>
        </w:rPr>
        <w:t>5</w:t>
      </w:r>
      <w:r w:rsidRPr="00F45BB9">
        <w:rPr>
          <w:rFonts w:cs="Times New Roman" w:hint="eastAsia"/>
          <w:szCs w:val="28"/>
        </w:rPr>
        <w:t>月為</w:t>
      </w:r>
      <w:r w:rsidRPr="00F45BB9">
        <w:rPr>
          <w:rFonts w:cs="Times New Roman" w:hint="eastAsia"/>
          <w:szCs w:val="28"/>
        </w:rPr>
        <w:t>34.5</w:t>
      </w:r>
      <w:r w:rsidRPr="00F45BB9">
        <w:rPr>
          <w:rFonts w:cs="Times New Roman" w:hint="eastAsia"/>
          <w:szCs w:val="28"/>
        </w:rPr>
        <w:t>元。根據《最低工資</w:t>
      </w:r>
      <w:r>
        <w:rPr>
          <w:rFonts w:cs="Times New Roman" w:hint="eastAsia"/>
          <w:szCs w:val="28"/>
        </w:rPr>
        <w:t>條例》設立，由勞工界、商界、學術界和政府代表組成最低工資委員會</w:t>
      </w:r>
      <w:r w:rsidRPr="00F45BB9">
        <w:rPr>
          <w:rFonts w:cs="Times New Roman" w:hint="eastAsia"/>
          <w:szCs w:val="28"/>
        </w:rPr>
        <w:t>。行政長官會同行政會議於</w:t>
      </w:r>
      <w:r w:rsidRPr="00F45BB9">
        <w:rPr>
          <w:rFonts w:cs="Times New Roman" w:hint="eastAsia"/>
          <w:szCs w:val="28"/>
        </w:rPr>
        <w:t>2018</w:t>
      </w:r>
      <w:r w:rsidRPr="00F45BB9">
        <w:rPr>
          <w:rFonts w:cs="Times New Roman" w:hint="eastAsia"/>
          <w:szCs w:val="28"/>
        </w:rPr>
        <w:t>年</w:t>
      </w:r>
      <w:r w:rsidRPr="00F45BB9">
        <w:rPr>
          <w:rFonts w:cs="Times New Roman" w:hint="eastAsia"/>
          <w:szCs w:val="28"/>
        </w:rPr>
        <w:t>10</w:t>
      </w:r>
      <w:r w:rsidRPr="00F45BB9">
        <w:rPr>
          <w:rFonts w:cs="Times New Roman" w:hint="eastAsia"/>
          <w:szCs w:val="28"/>
        </w:rPr>
        <w:t>月接納委員會的建議，將法定最低工資水平調升至每小時</w:t>
      </w:r>
      <w:r w:rsidRPr="00F45BB9">
        <w:rPr>
          <w:rFonts w:cs="Times New Roman" w:hint="eastAsia"/>
          <w:szCs w:val="28"/>
        </w:rPr>
        <w:t>37.5</w:t>
      </w:r>
      <w:r w:rsidRPr="00F45BB9">
        <w:rPr>
          <w:rFonts w:cs="Times New Roman" w:hint="eastAsia"/>
          <w:szCs w:val="28"/>
        </w:rPr>
        <w:t>元。在立法會通過後，</w:t>
      </w:r>
      <w:r w:rsidRPr="00F45BB9">
        <w:rPr>
          <w:rFonts w:cs="Times New Roman" w:hint="eastAsia"/>
          <w:szCs w:val="28"/>
          <w:lang w:eastAsia="zh-HK"/>
        </w:rPr>
        <w:t>新</w:t>
      </w:r>
      <w:r w:rsidRPr="00F45BB9">
        <w:rPr>
          <w:rFonts w:cs="Times New Roman" w:hint="eastAsia"/>
          <w:szCs w:val="28"/>
        </w:rPr>
        <w:t>的法定最低工資水平將於</w:t>
      </w:r>
      <w:r w:rsidRPr="00F45BB9">
        <w:rPr>
          <w:rFonts w:cs="Times New Roman" w:hint="eastAsia"/>
          <w:szCs w:val="28"/>
        </w:rPr>
        <w:t>2019</w:t>
      </w:r>
      <w:r w:rsidRPr="00F45BB9">
        <w:rPr>
          <w:rFonts w:cs="Times New Roman" w:hint="eastAsia"/>
          <w:szCs w:val="28"/>
        </w:rPr>
        <w:t>年</w:t>
      </w:r>
      <w:r w:rsidRPr="00F45BB9">
        <w:rPr>
          <w:rFonts w:cs="Times New Roman" w:hint="eastAsia"/>
          <w:szCs w:val="28"/>
        </w:rPr>
        <w:t>5</w:t>
      </w:r>
      <w:r w:rsidRPr="00F45BB9">
        <w:rPr>
          <w:rFonts w:cs="Times New Roman" w:hint="eastAsia"/>
          <w:szCs w:val="28"/>
        </w:rPr>
        <w:t>月</w:t>
      </w:r>
      <w:r w:rsidRPr="00F45BB9">
        <w:rPr>
          <w:rFonts w:cs="Times New Roman" w:hint="eastAsia"/>
          <w:szCs w:val="28"/>
        </w:rPr>
        <w:t>1</w:t>
      </w:r>
      <w:r w:rsidRPr="00F45BB9">
        <w:rPr>
          <w:rFonts w:cs="Times New Roman" w:hint="eastAsia"/>
          <w:szCs w:val="28"/>
        </w:rPr>
        <w:t>日生效。</w:t>
      </w:r>
    </w:p>
    <w:p w:rsidR="000D6A5B" w:rsidRPr="00F45BB9" w:rsidRDefault="000D6A5B" w:rsidP="000D6A5B">
      <w:pPr>
        <w:tabs>
          <w:tab w:val="left" w:pos="1440"/>
        </w:tabs>
        <w:snapToGrid w:val="0"/>
        <w:spacing w:line="400" w:lineRule="atLeast"/>
        <w:jc w:val="both"/>
        <w:rPr>
          <w:rFonts w:cs="Times New Roman"/>
          <w:szCs w:val="28"/>
        </w:rPr>
      </w:pPr>
    </w:p>
    <w:p w:rsidR="000D6A5B" w:rsidRPr="00F45BB9" w:rsidRDefault="000D6A5B" w:rsidP="000D6A5B">
      <w:pPr>
        <w:tabs>
          <w:tab w:val="left" w:pos="1440"/>
        </w:tabs>
        <w:snapToGrid w:val="0"/>
        <w:spacing w:line="400" w:lineRule="atLeast"/>
        <w:jc w:val="both"/>
        <w:rPr>
          <w:rFonts w:cs="Times New Roman"/>
          <w:szCs w:val="28"/>
        </w:rPr>
      </w:pPr>
      <w:r>
        <w:rPr>
          <w:rFonts w:cs="Times New Roman" w:hint="eastAsia"/>
          <w:szCs w:val="28"/>
        </w:rPr>
        <w:t>2.</w:t>
      </w:r>
      <w:r>
        <w:rPr>
          <w:rFonts w:cs="Times New Roman"/>
          <w:szCs w:val="28"/>
        </w:rPr>
        <w:tab/>
      </w:r>
      <w:r w:rsidRPr="00F45BB9">
        <w:rPr>
          <w:rFonts w:cs="Times New Roman" w:hint="eastAsia"/>
          <w:szCs w:val="28"/>
        </w:rPr>
        <w:t>在檢討法定最低工資水平時，</w:t>
      </w:r>
      <w:r w:rsidRPr="00F45BB9">
        <w:rPr>
          <w:rFonts w:cs="Times New Roman" w:hint="eastAsia"/>
          <w:szCs w:val="28"/>
          <w:lang w:eastAsia="zh-HK"/>
        </w:rPr>
        <w:t>該</w:t>
      </w:r>
      <w:r w:rsidRPr="00F45BB9">
        <w:rPr>
          <w:rFonts w:cs="Times New Roman" w:hint="eastAsia"/>
          <w:szCs w:val="28"/>
        </w:rPr>
        <w:t>委員會審視多項統計調查所得的數據，以掌握香港特區的社會經濟及就業情況，包括通脹走勢。委員會亦就</w:t>
      </w:r>
      <w:r w:rsidRPr="00F45BB9">
        <w:rPr>
          <w:rFonts w:cs="Times New Roman" w:hint="eastAsia"/>
          <w:szCs w:val="28"/>
          <w:lang w:eastAsia="zh-HK"/>
        </w:rPr>
        <w:t>評</w:t>
      </w:r>
      <w:r w:rsidRPr="00F45BB9">
        <w:rPr>
          <w:rFonts w:cs="Times New Roman" w:hint="eastAsia"/>
          <w:szCs w:val="28"/>
        </w:rPr>
        <w:t>估最低工資水平的影響，並考慮其他未能完全量化的相關因素以及社會意見。</w:t>
      </w:r>
    </w:p>
    <w:p w:rsidR="000D6A5B" w:rsidRPr="00F45BB9" w:rsidRDefault="000D6A5B" w:rsidP="000D6A5B">
      <w:pPr>
        <w:tabs>
          <w:tab w:val="left" w:pos="1440"/>
        </w:tabs>
        <w:snapToGrid w:val="0"/>
        <w:spacing w:line="400" w:lineRule="atLeast"/>
        <w:jc w:val="both"/>
        <w:rPr>
          <w:rFonts w:cs="Times New Roman"/>
          <w:szCs w:val="28"/>
        </w:rPr>
      </w:pPr>
    </w:p>
    <w:p w:rsidR="000D6A5B" w:rsidRPr="00F45BB9" w:rsidRDefault="000D6A5B" w:rsidP="000D6A5B">
      <w:pPr>
        <w:tabs>
          <w:tab w:val="left" w:pos="1440"/>
        </w:tabs>
        <w:snapToGrid w:val="0"/>
        <w:spacing w:line="400" w:lineRule="atLeast"/>
        <w:jc w:val="both"/>
        <w:rPr>
          <w:rFonts w:cs="Times New Roman"/>
          <w:b/>
          <w:szCs w:val="28"/>
        </w:rPr>
      </w:pPr>
      <w:r>
        <w:rPr>
          <w:rFonts w:cs="Times New Roman" w:hint="eastAsia"/>
          <w:szCs w:val="28"/>
        </w:rPr>
        <w:t>3.</w:t>
      </w:r>
      <w:r>
        <w:rPr>
          <w:rFonts w:cs="Times New Roman"/>
          <w:szCs w:val="28"/>
        </w:rPr>
        <w:tab/>
      </w:r>
      <w:r w:rsidRPr="00F45BB9">
        <w:rPr>
          <w:rFonts w:cs="Times New Roman" w:hint="eastAsia"/>
          <w:szCs w:val="28"/>
        </w:rPr>
        <w:t>法定最低工資制度運作暢順，低薪僱員的工資收入顯著改善。在</w:t>
      </w:r>
      <w:r w:rsidRPr="00F45BB9">
        <w:rPr>
          <w:rFonts w:cs="Times New Roman" w:hint="eastAsia"/>
          <w:szCs w:val="28"/>
        </w:rPr>
        <w:t>2018</w:t>
      </w:r>
      <w:r w:rsidRPr="00F45BB9">
        <w:rPr>
          <w:rFonts w:cs="Times New Roman" w:hint="eastAsia"/>
          <w:szCs w:val="28"/>
        </w:rPr>
        <w:t>年</w:t>
      </w:r>
      <w:r w:rsidRPr="00F45BB9">
        <w:rPr>
          <w:rFonts w:cs="Times New Roman" w:hint="eastAsia"/>
          <w:szCs w:val="28"/>
        </w:rPr>
        <w:t>10</w:t>
      </w:r>
      <w:r w:rsidRPr="00F45BB9">
        <w:rPr>
          <w:rFonts w:cs="Times New Roman" w:hint="eastAsia"/>
          <w:szCs w:val="28"/>
        </w:rPr>
        <w:t>月至</w:t>
      </w:r>
      <w:r w:rsidRPr="00F45BB9">
        <w:rPr>
          <w:rFonts w:cs="Times New Roman" w:hint="eastAsia"/>
          <w:szCs w:val="28"/>
        </w:rPr>
        <w:t>12</w:t>
      </w:r>
      <w:r w:rsidRPr="00F45BB9">
        <w:rPr>
          <w:rFonts w:cs="Times New Roman" w:hint="eastAsia"/>
          <w:szCs w:val="28"/>
        </w:rPr>
        <w:t>月，最低十等分組別全職僱員</w:t>
      </w:r>
      <w:r w:rsidRPr="00473141">
        <w:rPr>
          <w:rStyle w:val="a9"/>
          <w:rFonts w:cs="Times New Roman"/>
          <w:sz w:val="24"/>
          <w:szCs w:val="24"/>
        </w:rPr>
        <w:footnoteReference w:customMarkFollows="1" w:id="7"/>
        <w:t>1</w:t>
      </w:r>
      <w:r w:rsidRPr="00F45BB9">
        <w:rPr>
          <w:rFonts w:cs="Times New Roman" w:hint="eastAsia"/>
          <w:szCs w:val="28"/>
        </w:rPr>
        <w:t>的平均每月就業收入較法定最低工資實施前的季度累計上升了</w:t>
      </w:r>
      <w:r w:rsidRPr="00F45BB9">
        <w:rPr>
          <w:rFonts w:cs="Times New Roman" w:hint="eastAsia"/>
          <w:szCs w:val="28"/>
        </w:rPr>
        <w:t>59.4%</w:t>
      </w:r>
      <w:r w:rsidRPr="00F45BB9">
        <w:rPr>
          <w:rFonts w:cs="Times New Roman" w:hint="eastAsia"/>
          <w:szCs w:val="28"/>
        </w:rPr>
        <w:t>（扣除通脹後的實質升幅是</w:t>
      </w:r>
      <w:r w:rsidRPr="00F45BB9">
        <w:rPr>
          <w:rFonts w:cs="Times New Roman" w:hint="eastAsia"/>
          <w:szCs w:val="28"/>
        </w:rPr>
        <w:t>23.3%</w:t>
      </w:r>
      <w:r w:rsidRPr="00F45BB9">
        <w:rPr>
          <w:rFonts w:cs="Times New Roman" w:hint="eastAsia"/>
          <w:szCs w:val="28"/>
        </w:rPr>
        <w:t>）。較佳的收入前景，加上就業市場大致平穩，吸引了更多人特別是較年長的女性投入或重投勞工市場。由於實施法定最低工資的時間至今不長，以及現行每兩年至少檢討法定最低工資水平一次大致運作良好，現階段維持此安排是適當的。</w:t>
      </w:r>
    </w:p>
    <w:p w:rsidR="00473141" w:rsidRDefault="00473141" w:rsidP="008375BB">
      <w:pPr>
        <w:jc w:val="both"/>
        <w:rPr>
          <w:rFonts w:cs="Times New Roman"/>
          <w:szCs w:val="28"/>
        </w:rPr>
        <w:sectPr w:rsidR="00473141" w:rsidSect="00473141">
          <w:footerReference w:type="default" r:id="rId33"/>
          <w:pgSz w:w="11906" w:h="16838"/>
          <w:pgMar w:top="1440" w:right="1800" w:bottom="1440" w:left="1800" w:header="720" w:footer="720" w:gutter="0"/>
          <w:pgNumType w:start="1"/>
          <w:cols w:space="425"/>
          <w:docGrid w:type="lines" w:linePitch="381"/>
        </w:sectPr>
      </w:pPr>
    </w:p>
    <w:p w:rsidR="001E730A" w:rsidRPr="00A24A63" w:rsidRDefault="001E730A" w:rsidP="001E730A">
      <w:pPr>
        <w:snapToGrid w:val="0"/>
        <w:spacing w:line="400" w:lineRule="atLeast"/>
        <w:jc w:val="right"/>
        <w:rPr>
          <w:rFonts w:cs="Times New Roman"/>
        </w:rPr>
      </w:pPr>
      <w:r w:rsidRPr="00A24A63">
        <w:rPr>
          <w:rFonts w:cs="Times New Roman"/>
          <w:b/>
          <w:szCs w:val="28"/>
          <w:lang w:eastAsia="zh-HK"/>
        </w:rPr>
        <w:lastRenderedPageBreak/>
        <w:t>附件</w:t>
      </w:r>
      <w:r w:rsidRPr="00A24A63">
        <w:rPr>
          <w:rFonts w:cs="Times New Roman"/>
          <w:b/>
          <w:szCs w:val="28"/>
          <w:lang w:eastAsia="zh-HK"/>
        </w:rPr>
        <w:t>7</w:t>
      </w:r>
      <w:r w:rsidRPr="00A24A63">
        <w:rPr>
          <w:rFonts w:cs="Times New Roman"/>
          <w:b/>
          <w:szCs w:val="28"/>
        </w:rPr>
        <w:t>B</w:t>
      </w:r>
    </w:p>
    <w:p w:rsidR="001E730A" w:rsidRDefault="001E730A" w:rsidP="001E730A">
      <w:pPr>
        <w:snapToGrid w:val="0"/>
        <w:spacing w:line="400" w:lineRule="atLeast"/>
        <w:jc w:val="right"/>
      </w:pPr>
    </w:p>
    <w:p w:rsidR="001E730A" w:rsidRDefault="001E730A" w:rsidP="001E730A">
      <w:pPr>
        <w:snapToGrid w:val="0"/>
        <w:spacing w:line="400" w:lineRule="atLeast"/>
        <w:jc w:val="center"/>
        <w:rPr>
          <w:b/>
          <w:szCs w:val="28"/>
        </w:rPr>
      </w:pPr>
      <w:r w:rsidRPr="006C5958">
        <w:rPr>
          <w:rFonts w:hint="eastAsia"/>
          <w:b/>
          <w:szCs w:val="28"/>
        </w:rPr>
        <w:t>僱傭保障：僱員權益及福利</w:t>
      </w:r>
    </w:p>
    <w:p w:rsidR="001E730A" w:rsidRDefault="001E730A" w:rsidP="001E730A">
      <w:pPr>
        <w:snapToGrid w:val="0"/>
        <w:spacing w:line="400" w:lineRule="atLeast"/>
        <w:jc w:val="center"/>
        <w:rPr>
          <w:b/>
          <w:szCs w:val="28"/>
        </w:rPr>
      </w:pPr>
    </w:p>
    <w:p w:rsidR="001E730A" w:rsidRPr="00A24A63" w:rsidRDefault="001E730A" w:rsidP="001E730A">
      <w:pPr>
        <w:tabs>
          <w:tab w:val="left" w:pos="1440"/>
        </w:tabs>
        <w:snapToGrid w:val="0"/>
        <w:spacing w:line="400" w:lineRule="atLeast"/>
        <w:jc w:val="both"/>
        <w:rPr>
          <w:rFonts w:cs="Times New Roman"/>
          <w:szCs w:val="28"/>
        </w:rPr>
      </w:pPr>
      <w:r>
        <w:rPr>
          <w:rFonts w:cs="Times New Roman" w:hint="eastAsia"/>
          <w:szCs w:val="28"/>
        </w:rPr>
        <w:t>1.</w:t>
      </w:r>
      <w:r>
        <w:rPr>
          <w:rFonts w:cs="Times New Roman"/>
          <w:szCs w:val="28"/>
        </w:rPr>
        <w:tab/>
      </w:r>
      <w:r w:rsidRPr="00A24A63">
        <w:rPr>
          <w:rFonts w:cs="Times New Roman" w:hint="eastAsia"/>
          <w:szCs w:val="28"/>
        </w:rPr>
        <w:t>如上次報告第</w:t>
      </w:r>
      <w:r w:rsidRPr="00A24A63">
        <w:rPr>
          <w:rFonts w:cs="Times New Roman"/>
          <w:szCs w:val="28"/>
        </w:rPr>
        <w:t>7.9</w:t>
      </w:r>
      <w:r w:rsidRPr="00A24A63">
        <w:rPr>
          <w:rFonts w:cs="Times New Roman" w:hint="eastAsia"/>
          <w:szCs w:val="28"/>
        </w:rPr>
        <w:t>段所述，政府檢討了《僱傭條例》中</w:t>
      </w:r>
      <w:r w:rsidRPr="00040CE0">
        <w:rPr>
          <w:rFonts w:cs="Times New Roman" w:hint="eastAsia"/>
          <w:szCs w:val="28"/>
        </w:rPr>
        <w:t>連續性合約的規定</w:t>
      </w:r>
      <w:r>
        <w:rPr>
          <w:rStyle w:val="a9"/>
          <w:szCs w:val="28"/>
        </w:rPr>
        <w:footnoteReference w:id="8"/>
      </w:r>
      <w:r w:rsidRPr="00040CE0">
        <w:rPr>
          <w:rFonts w:cs="Times New Roman" w:hint="eastAsia"/>
          <w:szCs w:val="28"/>
        </w:rPr>
        <w:t>，</w:t>
      </w:r>
      <w:r w:rsidRPr="00A24A63">
        <w:rPr>
          <w:rFonts w:cs="Times New Roman" w:hint="eastAsia"/>
          <w:szCs w:val="28"/>
        </w:rPr>
        <w:t>並提出不同的可行改善方向供勞工顧問委員會（勞顧會）考慮。勞顧會是具代表性的三方諮詢組織，就勞工事務向政府提供意見。勞顧會在</w:t>
      </w:r>
      <w:r w:rsidRPr="00A24A63">
        <w:rPr>
          <w:rFonts w:cs="Times New Roman"/>
          <w:szCs w:val="28"/>
        </w:rPr>
        <w:t>2013</w:t>
      </w:r>
      <w:r w:rsidRPr="00A24A63">
        <w:rPr>
          <w:rFonts w:cs="Times New Roman" w:hint="eastAsia"/>
          <w:szCs w:val="28"/>
        </w:rPr>
        <w:t>年及</w:t>
      </w:r>
      <w:r w:rsidRPr="00A24A63">
        <w:rPr>
          <w:rFonts w:cs="Times New Roman"/>
          <w:szCs w:val="28"/>
        </w:rPr>
        <w:t>2014</w:t>
      </w:r>
      <w:r w:rsidRPr="00A24A63">
        <w:rPr>
          <w:rFonts w:cs="Times New Roman" w:hint="eastAsia"/>
          <w:szCs w:val="28"/>
        </w:rPr>
        <w:t>年曾多次深入討論，但由於課題複雜和持份者關注不同，未能達成共識。為掌握短期及／或短工時僱員的最新特徵及就業模式，政府計劃進行新一輪統計調查，並在勞顧會再作探討。</w:t>
      </w:r>
    </w:p>
    <w:p w:rsidR="001E730A" w:rsidRPr="00A24A63" w:rsidRDefault="001E730A" w:rsidP="001E730A">
      <w:pPr>
        <w:tabs>
          <w:tab w:val="left" w:pos="1440"/>
        </w:tabs>
        <w:snapToGrid w:val="0"/>
        <w:spacing w:line="400" w:lineRule="atLeast"/>
        <w:jc w:val="both"/>
        <w:rPr>
          <w:rFonts w:cs="Times New Roman"/>
          <w:szCs w:val="28"/>
        </w:rPr>
      </w:pPr>
    </w:p>
    <w:p w:rsidR="001E730A" w:rsidRPr="00A24A63" w:rsidRDefault="001E730A" w:rsidP="001E730A">
      <w:pPr>
        <w:tabs>
          <w:tab w:val="left" w:pos="1440"/>
        </w:tabs>
        <w:snapToGrid w:val="0"/>
        <w:spacing w:line="400" w:lineRule="atLeast"/>
        <w:jc w:val="both"/>
        <w:rPr>
          <w:rFonts w:cs="Times New Roman"/>
          <w:szCs w:val="28"/>
        </w:rPr>
      </w:pPr>
      <w:r>
        <w:rPr>
          <w:rFonts w:cs="Times New Roman" w:hint="eastAsia"/>
          <w:szCs w:val="28"/>
        </w:rPr>
        <w:t>2.</w:t>
      </w:r>
      <w:r w:rsidRPr="00A24A63">
        <w:rPr>
          <w:rFonts w:cs="Times New Roman"/>
          <w:szCs w:val="28"/>
        </w:rPr>
        <w:tab/>
      </w:r>
      <w:r w:rsidRPr="00A24A63">
        <w:rPr>
          <w:rFonts w:cs="Times New Roman" w:hint="eastAsia"/>
          <w:szCs w:val="28"/>
        </w:rPr>
        <w:t>隨著勞工處加強執法和廣泛宣傳僱員的法定權益及僱主的責任，及法院對違例欠薪的僱主施以較重的懲處（包括監禁），該處在</w:t>
      </w:r>
      <w:r w:rsidRPr="00A24A63">
        <w:rPr>
          <w:rFonts w:cs="Times New Roman"/>
          <w:szCs w:val="28"/>
        </w:rPr>
        <w:t>2018</w:t>
      </w:r>
      <w:r w:rsidRPr="00A24A63">
        <w:rPr>
          <w:rFonts w:cs="Times New Roman" w:hint="eastAsia"/>
          <w:szCs w:val="28"/>
        </w:rPr>
        <w:t>年共接獲</w:t>
      </w:r>
      <w:r w:rsidRPr="00A24A63">
        <w:rPr>
          <w:rFonts w:cs="Times New Roman"/>
          <w:szCs w:val="28"/>
        </w:rPr>
        <w:t>288</w:t>
      </w:r>
      <w:r w:rsidRPr="00A24A63">
        <w:rPr>
          <w:rFonts w:cs="Times New Roman" w:hint="eastAsia"/>
          <w:szCs w:val="28"/>
        </w:rPr>
        <w:t>宗涉嫌違例欠薪的個案，較</w:t>
      </w:r>
      <w:r w:rsidRPr="00A24A63">
        <w:rPr>
          <w:rFonts w:cs="Times New Roman"/>
          <w:szCs w:val="28"/>
        </w:rPr>
        <w:t>2009</w:t>
      </w:r>
      <w:r w:rsidRPr="00A24A63">
        <w:rPr>
          <w:rFonts w:cs="Times New Roman" w:hint="eastAsia"/>
          <w:szCs w:val="28"/>
        </w:rPr>
        <w:t>年的</w:t>
      </w:r>
      <w:r w:rsidRPr="00A24A63">
        <w:rPr>
          <w:rFonts w:cs="Times New Roman"/>
          <w:szCs w:val="28"/>
        </w:rPr>
        <w:t>393</w:t>
      </w:r>
      <w:r w:rsidRPr="00A24A63">
        <w:rPr>
          <w:rFonts w:cs="Times New Roman" w:hint="eastAsia"/>
          <w:szCs w:val="28"/>
        </w:rPr>
        <w:t>宗下跌</w:t>
      </w:r>
      <w:r w:rsidRPr="00A24A63">
        <w:rPr>
          <w:rFonts w:cs="Times New Roman"/>
          <w:szCs w:val="28"/>
        </w:rPr>
        <w:t>26.7%</w:t>
      </w:r>
      <w:r w:rsidRPr="00A24A63">
        <w:rPr>
          <w:rFonts w:cs="Times New Roman" w:hint="eastAsia"/>
          <w:szCs w:val="28"/>
        </w:rPr>
        <w:t>。涉及違例欠薪經定罪的傳票在</w:t>
      </w:r>
      <w:r w:rsidRPr="00A24A63">
        <w:rPr>
          <w:rFonts w:cs="Times New Roman"/>
          <w:szCs w:val="28"/>
        </w:rPr>
        <w:t>2018</w:t>
      </w:r>
      <w:r w:rsidRPr="00A24A63">
        <w:rPr>
          <w:rFonts w:cs="Times New Roman" w:hint="eastAsia"/>
          <w:szCs w:val="28"/>
        </w:rPr>
        <w:t>年有</w:t>
      </w:r>
      <w:r w:rsidRPr="00A24A63">
        <w:rPr>
          <w:rFonts w:cs="Times New Roman"/>
          <w:szCs w:val="28"/>
        </w:rPr>
        <w:t>513</w:t>
      </w:r>
      <w:r w:rsidRPr="00A24A63">
        <w:rPr>
          <w:rFonts w:cs="Times New Roman" w:hint="eastAsia"/>
          <w:szCs w:val="28"/>
        </w:rPr>
        <w:t>張，較</w:t>
      </w:r>
      <w:r w:rsidRPr="00A24A63">
        <w:rPr>
          <w:rFonts w:cs="Times New Roman"/>
          <w:szCs w:val="28"/>
        </w:rPr>
        <w:t>2009</w:t>
      </w:r>
      <w:r w:rsidRPr="00A24A63">
        <w:rPr>
          <w:rFonts w:cs="Times New Roman" w:hint="eastAsia"/>
          <w:szCs w:val="28"/>
        </w:rPr>
        <w:t>年的</w:t>
      </w:r>
      <w:r w:rsidRPr="00A24A63">
        <w:rPr>
          <w:rFonts w:cs="Times New Roman"/>
          <w:szCs w:val="28"/>
        </w:rPr>
        <w:t>1 314</w:t>
      </w:r>
      <w:r w:rsidRPr="00A24A63">
        <w:rPr>
          <w:rFonts w:cs="Times New Roman" w:hint="eastAsia"/>
          <w:szCs w:val="28"/>
        </w:rPr>
        <w:t>張下跌</w:t>
      </w:r>
      <w:r w:rsidRPr="00A24A63">
        <w:rPr>
          <w:rFonts w:cs="Times New Roman"/>
          <w:szCs w:val="28"/>
        </w:rPr>
        <w:t>61.0%</w:t>
      </w:r>
      <w:r w:rsidRPr="00A24A63">
        <w:rPr>
          <w:rFonts w:cs="Times New Roman" w:hint="eastAsia"/>
          <w:szCs w:val="28"/>
        </w:rPr>
        <w:t>。</w:t>
      </w:r>
    </w:p>
    <w:p w:rsidR="001E730A" w:rsidRPr="00A24A63" w:rsidRDefault="001E730A" w:rsidP="001E730A">
      <w:pPr>
        <w:tabs>
          <w:tab w:val="left" w:pos="1440"/>
        </w:tabs>
        <w:snapToGrid w:val="0"/>
        <w:spacing w:line="400" w:lineRule="atLeast"/>
        <w:jc w:val="both"/>
        <w:rPr>
          <w:rFonts w:cs="Times New Roman"/>
          <w:szCs w:val="28"/>
        </w:rPr>
      </w:pPr>
    </w:p>
    <w:p w:rsidR="001E730A" w:rsidRPr="00A24A63" w:rsidRDefault="001E730A" w:rsidP="001E730A">
      <w:pPr>
        <w:tabs>
          <w:tab w:val="left" w:pos="1440"/>
        </w:tabs>
        <w:snapToGrid w:val="0"/>
        <w:spacing w:line="400" w:lineRule="atLeast"/>
        <w:jc w:val="both"/>
        <w:rPr>
          <w:rFonts w:cs="Times New Roman"/>
          <w:szCs w:val="28"/>
        </w:rPr>
      </w:pPr>
      <w:r>
        <w:rPr>
          <w:rFonts w:cs="Times New Roman" w:hint="eastAsia"/>
          <w:szCs w:val="28"/>
        </w:rPr>
        <w:t>3.</w:t>
      </w:r>
      <w:r w:rsidRPr="00A24A63">
        <w:rPr>
          <w:rFonts w:cs="Times New Roman" w:hint="eastAsia"/>
          <w:szCs w:val="28"/>
        </w:rPr>
        <w:tab/>
      </w:r>
      <w:r w:rsidRPr="00A24A63">
        <w:rPr>
          <w:rFonts w:cs="Times New Roman" w:hint="eastAsia"/>
          <w:szCs w:val="28"/>
        </w:rPr>
        <w:t>勞工處認同復康服務對促進工傷僱員復原和早日重返工作崗位十分重要。該處積極研究可行方案加強服務。初步構思包括安排獨立個案管理員跟進參與計劃的工傷僱員，協調持份者（包括醫療專業人員、受傷僱員、保險公司和僱主）之間的溝通，協助受傷工人重返工作崗位，並考慮透過私營機構提供醫療和復康服務，為工傷僱員提供適時及高度協調的治療及復康服務。</w:t>
      </w:r>
    </w:p>
    <w:p w:rsidR="004377C6" w:rsidRDefault="004377C6" w:rsidP="008375BB">
      <w:pPr>
        <w:jc w:val="both"/>
        <w:rPr>
          <w:rFonts w:cs="Times New Roman"/>
          <w:szCs w:val="28"/>
        </w:rPr>
        <w:sectPr w:rsidR="004377C6" w:rsidSect="006A05AA">
          <w:footerReference w:type="default" r:id="rId34"/>
          <w:footnotePr>
            <w:numRestart w:val="eachSect"/>
          </w:footnotePr>
          <w:pgSz w:w="11906" w:h="16838"/>
          <w:pgMar w:top="1440" w:right="1800" w:bottom="1440" w:left="1800" w:header="720" w:footer="720" w:gutter="0"/>
          <w:pgNumType w:start="1"/>
          <w:cols w:space="425"/>
          <w:docGrid w:type="lines" w:linePitch="381"/>
        </w:sectPr>
      </w:pPr>
    </w:p>
    <w:p w:rsidR="00D62B04" w:rsidRDefault="00D62B04" w:rsidP="00D62B04">
      <w:pPr>
        <w:autoSpaceDE w:val="0"/>
        <w:autoSpaceDN w:val="0"/>
        <w:adjustRightInd w:val="0"/>
        <w:snapToGrid w:val="0"/>
        <w:jc w:val="right"/>
        <w:rPr>
          <w:rFonts w:cs="Times New Roman"/>
          <w:b/>
          <w:bCs/>
          <w:color w:val="000000"/>
          <w:kern w:val="0"/>
          <w:szCs w:val="28"/>
        </w:rPr>
      </w:pPr>
      <w:r w:rsidRPr="00742541">
        <w:rPr>
          <w:rFonts w:cs="Times New Roman"/>
          <w:b/>
          <w:bCs/>
          <w:color w:val="000000"/>
          <w:kern w:val="0"/>
          <w:szCs w:val="28"/>
        </w:rPr>
        <w:lastRenderedPageBreak/>
        <w:t>附件</w:t>
      </w:r>
      <w:r w:rsidRPr="00742541">
        <w:rPr>
          <w:rFonts w:cs="Times New Roman" w:hint="eastAsia"/>
          <w:b/>
          <w:bCs/>
          <w:color w:val="000000"/>
          <w:kern w:val="0"/>
          <w:szCs w:val="28"/>
        </w:rPr>
        <w:t>7C</w:t>
      </w:r>
    </w:p>
    <w:p w:rsidR="00D62B04" w:rsidRPr="004A743A" w:rsidRDefault="00D62B04" w:rsidP="00D62B04">
      <w:pPr>
        <w:snapToGrid w:val="0"/>
        <w:jc w:val="center"/>
        <w:rPr>
          <w:rFonts w:ascii="標楷體" w:hAnsi="標楷體" w:cs="Times New Roman"/>
          <w:b/>
          <w:szCs w:val="20"/>
          <w:lang w:val="en-GB"/>
        </w:rPr>
      </w:pPr>
    </w:p>
    <w:p w:rsidR="00D62B04" w:rsidRPr="004A743A" w:rsidRDefault="00D62B04" w:rsidP="00D62B04">
      <w:pPr>
        <w:snapToGrid w:val="0"/>
        <w:jc w:val="center"/>
        <w:rPr>
          <w:rFonts w:cs="Times New Roman"/>
          <w:b/>
          <w:szCs w:val="20"/>
          <w:lang w:val="en-GB"/>
        </w:rPr>
      </w:pPr>
      <w:r w:rsidRPr="004A743A">
        <w:rPr>
          <w:rFonts w:cs="Times New Roman"/>
          <w:b/>
          <w:szCs w:val="20"/>
          <w:lang w:val="en-GB"/>
        </w:rPr>
        <w:t>《肺塵埃沉着病及間皮瘤（補償）條例》（第</w:t>
      </w:r>
      <w:r w:rsidRPr="004A743A">
        <w:rPr>
          <w:rFonts w:cs="Times New Roman"/>
          <w:b/>
          <w:szCs w:val="20"/>
          <w:lang w:val="en-GB"/>
        </w:rPr>
        <w:t>360</w:t>
      </w:r>
      <w:r w:rsidRPr="004A743A">
        <w:rPr>
          <w:rFonts w:cs="Times New Roman"/>
          <w:b/>
          <w:szCs w:val="20"/>
          <w:lang w:val="en-GB"/>
        </w:rPr>
        <w:t>章）</w:t>
      </w:r>
    </w:p>
    <w:p w:rsidR="00D62B04" w:rsidRPr="004A743A" w:rsidRDefault="00D62B04" w:rsidP="00D62B04">
      <w:pPr>
        <w:snapToGrid w:val="0"/>
        <w:jc w:val="center"/>
        <w:rPr>
          <w:rFonts w:cs="Times New Roman"/>
          <w:b/>
          <w:szCs w:val="20"/>
          <w:lang w:val="en-GB"/>
        </w:rPr>
      </w:pPr>
      <w:r w:rsidRPr="004A743A">
        <w:rPr>
          <w:rFonts w:cs="Times New Roman"/>
          <w:b/>
          <w:szCs w:val="20"/>
          <w:lang w:val="en-GB"/>
        </w:rPr>
        <w:t>規定的補償</w:t>
      </w:r>
    </w:p>
    <w:p w:rsidR="00D62B04" w:rsidRPr="000718AB" w:rsidRDefault="00D62B04" w:rsidP="00D62B04">
      <w:pPr>
        <w:autoSpaceDE w:val="0"/>
        <w:autoSpaceDN w:val="0"/>
        <w:adjustRightInd w:val="0"/>
        <w:rPr>
          <w:rFonts w:cs="Times New Roman"/>
          <w:color w:val="000000"/>
          <w:kern w:val="0"/>
          <w:szCs w:val="28"/>
        </w:rPr>
      </w:pPr>
    </w:p>
    <w:p w:rsidR="00D62B04" w:rsidRPr="000718AB" w:rsidRDefault="00D62B04" w:rsidP="00D62B04">
      <w:pPr>
        <w:autoSpaceDE w:val="0"/>
        <w:autoSpaceDN w:val="0"/>
        <w:adjustRightInd w:val="0"/>
        <w:snapToGrid w:val="0"/>
        <w:spacing w:line="400" w:lineRule="atLeast"/>
        <w:jc w:val="both"/>
        <w:rPr>
          <w:rFonts w:ascii="標楷體" w:hAnsi="標楷體" w:cs="Times New Roman"/>
          <w:color w:val="000000"/>
          <w:kern w:val="0"/>
          <w:szCs w:val="28"/>
          <w:lang w:eastAsia="zh-HK"/>
        </w:rPr>
      </w:pPr>
      <w:r w:rsidRPr="000718AB">
        <w:rPr>
          <w:rFonts w:ascii="標楷體" w:hAnsi="標楷體" w:cs="Times New Roman" w:hint="eastAsia"/>
          <w:color w:val="000000"/>
          <w:kern w:val="0"/>
          <w:szCs w:val="28"/>
        </w:rPr>
        <w:t>正如上一份報告所述，我們已將前稱《肺塵埃沉着病（補償）條例》的保障擴大至涵蓋癌症間皮瘤的患者，條例的名稱亦相應修改為《肺塵埃沉着病及間皮瘤（補償）條例》。政府在適當情況下</w:t>
      </w:r>
      <w:r w:rsidRPr="000718AB">
        <w:rPr>
          <w:rFonts w:ascii="標楷體" w:hAnsi="標楷體" w:cs="Times New Roman" w:hint="eastAsia"/>
          <w:color w:val="000000"/>
          <w:kern w:val="0"/>
          <w:szCs w:val="28"/>
          <w:lang w:eastAsia="zh-HK"/>
        </w:rPr>
        <w:t>按機制</w:t>
      </w:r>
      <w:r w:rsidRPr="000718AB">
        <w:rPr>
          <w:rFonts w:ascii="標楷體" w:hAnsi="標楷體" w:cs="Times New Roman" w:hint="eastAsia"/>
          <w:color w:val="000000"/>
          <w:kern w:val="0"/>
          <w:szCs w:val="28"/>
        </w:rPr>
        <w:t>每年或每兩年調整各補償項目的金額，條例現時提供的權益及補償金額</w:t>
      </w:r>
      <w:r w:rsidRPr="000718AB">
        <w:rPr>
          <w:rFonts w:ascii="標楷體" w:hAnsi="標楷體" w:cs="Times New Roman" w:hint="eastAsia"/>
          <w:color w:val="000000"/>
          <w:kern w:val="0"/>
          <w:szCs w:val="28"/>
          <w:lang w:eastAsia="zh-HK"/>
        </w:rPr>
        <w:t>如下</w:t>
      </w:r>
      <w:r w:rsidRPr="000718AB">
        <w:rPr>
          <w:rFonts w:ascii="標楷體" w:hAnsi="標楷體" w:cs="Times New Roman" w:hint="eastAsia"/>
          <w:color w:val="000000"/>
          <w:kern w:val="0"/>
          <w:szCs w:val="28"/>
        </w:rPr>
        <w:t>：</w:t>
      </w:r>
    </w:p>
    <w:p w:rsidR="00D62B04" w:rsidRPr="000718AB" w:rsidRDefault="00D62B04" w:rsidP="00D62B04">
      <w:pPr>
        <w:autoSpaceDE w:val="0"/>
        <w:autoSpaceDN w:val="0"/>
        <w:adjustRightInd w:val="0"/>
        <w:snapToGrid w:val="0"/>
        <w:spacing w:line="400" w:lineRule="atLeast"/>
        <w:rPr>
          <w:rFonts w:ascii="標楷體" w:hAnsi="標楷體" w:cs="Times New Roman"/>
          <w:color w:val="000000"/>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 xml:space="preserve">(a) </w:t>
      </w:r>
      <w:r w:rsidRPr="00CF3DEC">
        <w:rPr>
          <w:rFonts w:cs="Times New Roman"/>
          <w:kern w:val="0"/>
          <w:szCs w:val="28"/>
        </w:rPr>
        <w:tab/>
      </w:r>
      <w:r w:rsidRPr="00CF3DEC">
        <w:rPr>
          <w:rFonts w:cs="Times New Roman"/>
          <w:b/>
          <w:bCs/>
          <w:kern w:val="0"/>
          <w:szCs w:val="28"/>
        </w:rPr>
        <w:t>喪失工作能力：</w:t>
      </w:r>
      <w:r w:rsidRPr="00CF3DEC">
        <w:rPr>
          <w:rFonts w:cs="Times New Roman"/>
          <w:bCs/>
          <w:kern w:val="0"/>
          <w:szCs w:val="28"/>
        </w:rPr>
        <w:t>完全（</w:t>
      </w:r>
      <w:r w:rsidRPr="00CF3DEC">
        <w:rPr>
          <w:rFonts w:cs="Times New Roman"/>
          <w:bCs/>
          <w:kern w:val="0"/>
          <w:szCs w:val="28"/>
        </w:rPr>
        <w:t>100%</w:t>
      </w:r>
      <w:r w:rsidRPr="00CF3DEC">
        <w:rPr>
          <w:rFonts w:cs="Times New Roman"/>
          <w:bCs/>
          <w:kern w:val="0"/>
          <w:szCs w:val="28"/>
        </w:rPr>
        <w:t>）喪失工作能力的肺塵埃沉着病及／或間皮瘤患者，每月可獲補償</w:t>
      </w:r>
      <w:r w:rsidRPr="00CF3DEC">
        <w:rPr>
          <w:rFonts w:cs="Times New Roman"/>
          <w:bCs/>
          <w:kern w:val="0"/>
          <w:szCs w:val="28"/>
        </w:rPr>
        <w:t>30,610</w:t>
      </w:r>
      <w:r w:rsidRPr="00CF3DEC">
        <w:rPr>
          <w:rFonts w:cs="Times New Roman"/>
          <w:bCs/>
          <w:kern w:val="0"/>
          <w:szCs w:val="28"/>
        </w:rPr>
        <w:t>元，直至去世為止。部分（少於</w:t>
      </w:r>
      <w:r w:rsidRPr="00CF3DEC">
        <w:rPr>
          <w:rFonts w:cs="Times New Roman"/>
          <w:bCs/>
          <w:kern w:val="0"/>
          <w:szCs w:val="28"/>
        </w:rPr>
        <w:t>100%</w:t>
      </w:r>
      <w:r w:rsidRPr="00CF3DEC">
        <w:rPr>
          <w:rFonts w:cs="Times New Roman"/>
          <w:bCs/>
          <w:kern w:val="0"/>
          <w:szCs w:val="28"/>
        </w:rPr>
        <w:t>）喪失工作能力的患者，每月領取的補償額，是完全喪失工作能力所得補償的一部分，所佔比例按喪失工作能力的程度而定；</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 xml:space="preserve">(b) </w:t>
      </w:r>
      <w:r w:rsidRPr="00CF3DEC">
        <w:rPr>
          <w:rFonts w:cs="Times New Roman"/>
          <w:kern w:val="0"/>
          <w:szCs w:val="28"/>
        </w:rPr>
        <w:tab/>
      </w:r>
      <w:r w:rsidRPr="00CF3DEC">
        <w:rPr>
          <w:rFonts w:cs="Times New Roman"/>
          <w:b/>
          <w:bCs/>
          <w:kern w:val="0"/>
          <w:szCs w:val="28"/>
        </w:rPr>
        <w:t>判傷日期前喪失工作能力：</w:t>
      </w:r>
      <w:r w:rsidRPr="00CF3DEC">
        <w:rPr>
          <w:rFonts w:cs="Times New Roman"/>
          <w:bCs/>
          <w:kern w:val="0"/>
          <w:szCs w:val="28"/>
        </w:rPr>
        <w:t>患者可一次過領取整筆補償，款額按每月平均收入、喪失工作能力的程度，以及最早診斷患上肺塵埃沉着病及／或間皮瘤的日期與判傷日期所相隔的月數（最長不得超過</w:t>
      </w:r>
      <w:r w:rsidRPr="00CF3DEC">
        <w:rPr>
          <w:rFonts w:cs="Times New Roman"/>
          <w:bCs/>
          <w:kern w:val="0"/>
          <w:szCs w:val="28"/>
        </w:rPr>
        <w:t>24</w:t>
      </w:r>
      <w:r w:rsidRPr="00CF3DEC">
        <w:rPr>
          <w:rFonts w:cs="Times New Roman"/>
          <w:bCs/>
          <w:kern w:val="0"/>
          <w:szCs w:val="28"/>
        </w:rPr>
        <w:t>個月）計算；</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 xml:space="preserve">(c) </w:t>
      </w:r>
      <w:r w:rsidRPr="00CF3DEC">
        <w:rPr>
          <w:rFonts w:cs="Times New Roman"/>
          <w:kern w:val="0"/>
          <w:szCs w:val="28"/>
        </w:rPr>
        <w:tab/>
      </w:r>
      <w:r w:rsidRPr="00CF3DEC">
        <w:rPr>
          <w:rFonts w:cs="Times New Roman"/>
          <w:b/>
          <w:kern w:val="0"/>
          <w:szCs w:val="28"/>
        </w:rPr>
        <w:t>疼痛、痛苦與喪失生活樂趣</w:t>
      </w:r>
      <w:r w:rsidRPr="00CF3DEC">
        <w:rPr>
          <w:rFonts w:cs="Times New Roman"/>
          <w:kern w:val="0"/>
          <w:szCs w:val="28"/>
        </w:rPr>
        <w:t>：患者每月可獲補償</w:t>
      </w:r>
      <w:r w:rsidRPr="00CF3DEC">
        <w:rPr>
          <w:rFonts w:cs="Times New Roman"/>
          <w:kern w:val="0"/>
          <w:szCs w:val="28"/>
        </w:rPr>
        <w:t>5,110</w:t>
      </w:r>
      <w:r w:rsidRPr="00CF3DEC">
        <w:rPr>
          <w:rFonts w:cs="Times New Roman"/>
          <w:kern w:val="0"/>
          <w:szCs w:val="28"/>
        </w:rPr>
        <w:t>元，不論其疼痛、痛苦與喪失生活樂趣的程度為何，直至去世為止；</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(d)</w:t>
      </w:r>
      <w:r w:rsidRPr="00CF3DEC">
        <w:rPr>
          <w:rFonts w:cs="Times New Roman"/>
          <w:kern w:val="0"/>
          <w:szCs w:val="28"/>
        </w:rPr>
        <w:tab/>
      </w:r>
      <w:r w:rsidRPr="00CF3DEC">
        <w:rPr>
          <w:rFonts w:cs="Times New Roman"/>
          <w:b/>
          <w:kern w:val="0"/>
          <w:szCs w:val="28"/>
        </w:rPr>
        <w:t>護理和照顧</w:t>
      </w:r>
      <w:r w:rsidRPr="00CF3DEC">
        <w:rPr>
          <w:rFonts w:cs="Times New Roman"/>
          <w:kern w:val="0"/>
          <w:szCs w:val="28"/>
        </w:rPr>
        <w:t>：患者如無他人護理及照顧是不能進行日常生活所需活動，可申領護理和照顧補償，款額為每月</w:t>
      </w:r>
      <w:r w:rsidRPr="00CF3DEC">
        <w:rPr>
          <w:rFonts w:cs="Times New Roman"/>
          <w:kern w:val="0"/>
          <w:szCs w:val="28"/>
        </w:rPr>
        <w:t>5,210</w:t>
      </w:r>
      <w:r w:rsidRPr="00CF3DEC">
        <w:rPr>
          <w:rFonts w:cs="Times New Roman"/>
          <w:kern w:val="0"/>
          <w:szCs w:val="28"/>
        </w:rPr>
        <w:t>元；</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 xml:space="preserve">(e) </w:t>
      </w:r>
      <w:r w:rsidRPr="00CF3DEC">
        <w:rPr>
          <w:rFonts w:cs="Times New Roman"/>
          <w:kern w:val="0"/>
          <w:szCs w:val="28"/>
        </w:rPr>
        <w:tab/>
      </w:r>
      <w:r w:rsidRPr="00CF3DEC">
        <w:rPr>
          <w:rFonts w:cs="Times New Roman"/>
          <w:b/>
          <w:bCs/>
          <w:kern w:val="0"/>
          <w:szCs w:val="28"/>
        </w:rPr>
        <w:t>醫療費用：</w:t>
      </w:r>
      <w:r w:rsidRPr="00CF3DEC">
        <w:rPr>
          <w:rFonts w:cs="Times New Roman"/>
          <w:bCs/>
          <w:kern w:val="0"/>
          <w:szCs w:val="28"/>
        </w:rPr>
        <w:t>合資格的患者，如因肺塵埃沉着病及／或間皮瘤而須接受治療，可索回有關費用。醫療費的每天最高限額為</w:t>
      </w:r>
      <w:r w:rsidRPr="00CF3DEC">
        <w:rPr>
          <w:rFonts w:cs="Times New Roman"/>
          <w:bCs/>
          <w:kern w:val="0"/>
          <w:szCs w:val="28"/>
        </w:rPr>
        <w:t>300</w:t>
      </w:r>
      <w:r w:rsidRPr="00CF3DEC">
        <w:rPr>
          <w:rFonts w:cs="Times New Roman"/>
          <w:bCs/>
          <w:kern w:val="0"/>
          <w:szCs w:val="28"/>
        </w:rPr>
        <w:t>元（住院或門診治療）或</w:t>
      </w:r>
      <w:r w:rsidRPr="00CF3DEC">
        <w:rPr>
          <w:rFonts w:cs="Times New Roman"/>
          <w:bCs/>
          <w:kern w:val="0"/>
          <w:szCs w:val="28"/>
        </w:rPr>
        <w:t>370</w:t>
      </w:r>
      <w:r w:rsidRPr="00CF3DEC">
        <w:rPr>
          <w:rFonts w:cs="Times New Roman"/>
          <w:bCs/>
          <w:kern w:val="0"/>
          <w:szCs w:val="28"/>
        </w:rPr>
        <w:t>元（在同一天接受住院及門診治療）；</w:t>
      </w:r>
      <w:r w:rsidRPr="00CF3DEC">
        <w:rPr>
          <w:rFonts w:cs="Times New Roman"/>
          <w:kern w:val="0"/>
          <w:szCs w:val="28"/>
        </w:rPr>
        <w:t xml:space="preserve"> </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 xml:space="preserve">(f) </w:t>
      </w:r>
      <w:r w:rsidRPr="00CF3DEC">
        <w:rPr>
          <w:rFonts w:cs="Times New Roman"/>
          <w:kern w:val="0"/>
          <w:szCs w:val="28"/>
        </w:rPr>
        <w:tab/>
      </w:r>
      <w:r w:rsidRPr="00CF3DEC">
        <w:rPr>
          <w:rFonts w:cs="Times New Roman"/>
          <w:b/>
          <w:bCs/>
          <w:kern w:val="0"/>
          <w:szCs w:val="28"/>
        </w:rPr>
        <w:t>醫療裝置費用：</w:t>
      </w:r>
      <w:r w:rsidRPr="00CF3DEC">
        <w:rPr>
          <w:rFonts w:cs="Times New Roman"/>
          <w:bCs/>
          <w:kern w:val="0"/>
          <w:szCs w:val="28"/>
        </w:rPr>
        <w:t>合資格的患者如須使用或購置某些指定的醫療用具，例如輪椅、氧氣濃縮機和氧氣樽等，可申索有關費用；</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b/>
          <w:bCs/>
          <w:kern w:val="0"/>
          <w:szCs w:val="28"/>
        </w:rPr>
      </w:pPr>
      <w:r w:rsidRPr="00CF3DEC">
        <w:rPr>
          <w:rFonts w:cs="Times New Roman"/>
          <w:kern w:val="0"/>
          <w:szCs w:val="28"/>
        </w:rPr>
        <w:t xml:space="preserve">(g) </w:t>
      </w:r>
      <w:r w:rsidRPr="00CF3DEC">
        <w:rPr>
          <w:rFonts w:cs="Times New Roman"/>
          <w:kern w:val="0"/>
          <w:szCs w:val="28"/>
        </w:rPr>
        <w:tab/>
      </w:r>
      <w:r w:rsidRPr="00CF3DEC">
        <w:rPr>
          <w:rFonts w:cs="Times New Roman"/>
          <w:b/>
          <w:bCs/>
          <w:kern w:val="0"/>
          <w:szCs w:val="28"/>
        </w:rPr>
        <w:t>死亡：</w:t>
      </w:r>
      <w:r w:rsidRPr="00CF3DEC">
        <w:rPr>
          <w:rFonts w:cs="Times New Roman"/>
          <w:bCs/>
          <w:kern w:val="0"/>
          <w:szCs w:val="28"/>
        </w:rPr>
        <w:t>患者如因肺塵埃沉着病及／或間皮瘤去世，其家屬可申領死亡補償。補償額是按死者去世時的年齡計算，並須扣除死者生</w:t>
      </w:r>
      <w:r w:rsidRPr="00CF3DEC">
        <w:rPr>
          <w:rFonts w:cs="Times New Roman"/>
          <w:bCs/>
          <w:kern w:val="0"/>
          <w:szCs w:val="28"/>
        </w:rPr>
        <w:lastRenderedPageBreak/>
        <w:t>前領取的喪失工作能力及疼痛、痛苦與喪失生活樂趣補償（即上述</w:t>
      </w:r>
      <w:r w:rsidRPr="00CF3DEC">
        <w:rPr>
          <w:rFonts w:cs="Times New Roman"/>
          <w:bCs/>
          <w:kern w:val="0"/>
          <w:szCs w:val="28"/>
        </w:rPr>
        <w:t>(a)</w:t>
      </w:r>
      <w:r w:rsidRPr="00CF3DEC">
        <w:rPr>
          <w:rFonts w:cs="Times New Roman"/>
          <w:bCs/>
          <w:kern w:val="0"/>
          <w:szCs w:val="28"/>
        </w:rPr>
        <w:t>及</w:t>
      </w:r>
      <w:r w:rsidRPr="00CF3DEC">
        <w:rPr>
          <w:rFonts w:cs="Times New Roman"/>
          <w:bCs/>
          <w:kern w:val="0"/>
          <w:szCs w:val="28"/>
        </w:rPr>
        <w:t>(c)</w:t>
      </w:r>
      <w:r w:rsidRPr="00CF3DEC">
        <w:rPr>
          <w:rFonts w:cs="Times New Roman"/>
          <w:bCs/>
          <w:kern w:val="0"/>
          <w:szCs w:val="28"/>
        </w:rPr>
        <w:t>項）的累積款額，最低補償額為</w:t>
      </w:r>
      <w:r w:rsidRPr="00CF3DEC">
        <w:rPr>
          <w:rFonts w:cs="Times New Roman"/>
          <w:bCs/>
          <w:kern w:val="0"/>
          <w:szCs w:val="28"/>
        </w:rPr>
        <w:t>121,230</w:t>
      </w:r>
      <w:r w:rsidRPr="00CF3DEC">
        <w:rPr>
          <w:rFonts w:cs="Times New Roman"/>
          <w:bCs/>
          <w:kern w:val="0"/>
          <w:szCs w:val="28"/>
        </w:rPr>
        <w:t>元；</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(h)</w:t>
      </w:r>
      <w:r w:rsidRPr="00CF3DEC">
        <w:rPr>
          <w:rFonts w:cs="Times New Roman"/>
          <w:kern w:val="0"/>
          <w:szCs w:val="28"/>
        </w:rPr>
        <w:tab/>
      </w:r>
      <w:r w:rsidRPr="00CF3DEC">
        <w:rPr>
          <w:rFonts w:cs="Times New Roman"/>
          <w:b/>
          <w:bCs/>
          <w:kern w:val="0"/>
          <w:szCs w:val="28"/>
        </w:rPr>
        <w:t>親屬喪亡之痛：</w:t>
      </w:r>
      <w:r w:rsidRPr="00CF3DEC">
        <w:rPr>
          <w:rFonts w:cs="Times New Roman"/>
          <w:bCs/>
          <w:kern w:val="0"/>
          <w:szCs w:val="28"/>
        </w:rPr>
        <w:t>患者如生前未獲任何補償，則不論是因肺塵埃沉着病、間皮瘤或其他原因去世，其家屬均有資格申索</w:t>
      </w:r>
      <w:r w:rsidRPr="00CF3DEC">
        <w:rPr>
          <w:rFonts w:cs="Times New Roman"/>
          <w:bCs/>
          <w:kern w:val="0"/>
          <w:szCs w:val="28"/>
        </w:rPr>
        <w:t>121,230</w:t>
      </w:r>
      <w:r w:rsidRPr="00CF3DEC">
        <w:rPr>
          <w:rFonts w:cs="Times New Roman"/>
          <w:bCs/>
          <w:kern w:val="0"/>
          <w:szCs w:val="28"/>
        </w:rPr>
        <w:t>元的補償；以及</w:t>
      </w:r>
    </w:p>
    <w:p w:rsidR="00D62B04" w:rsidRPr="00CF3DEC" w:rsidRDefault="00D62B04" w:rsidP="00D62B04">
      <w:pPr>
        <w:widowControl/>
        <w:snapToGrid w:val="0"/>
        <w:spacing w:line="360" w:lineRule="atLeast"/>
        <w:jc w:val="both"/>
        <w:rPr>
          <w:rFonts w:cs="Times New Roman"/>
          <w:kern w:val="0"/>
          <w:szCs w:val="28"/>
        </w:rPr>
      </w:pPr>
    </w:p>
    <w:p w:rsidR="00D62B04" w:rsidRPr="00CF3DEC" w:rsidRDefault="00D62B04" w:rsidP="00CF3DEC">
      <w:pPr>
        <w:widowControl/>
        <w:snapToGrid w:val="0"/>
        <w:spacing w:line="360" w:lineRule="atLeast"/>
        <w:ind w:left="476" w:hanging="476"/>
        <w:jc w:val="both"/>
        <w:rPr>
          <w:rFonts w:cs="Times New Roman"/>
          <w:kern w:val="0"/>
          <w:szCs w:val="28"/>
        </w:rPr>
      </w:pPr>
      <w:r w:rsidRPr="00CF3DEC">
        <w:rPr>
          <w:rFonts w:cs="Times New Roman"/>
          <w:kern w:val="0"/>
          <w:szCs w:val="28"/>
        </w:rPr>
        <w:t xml:space="preserve">(i) </w:t>
      </w:r>
      <w:r w:rsidRPr="00CF3DEC">
        <w:rPr>
          <w:rFonts w:cs="Times New Roman"/>
          <w:kern w:val="0"/>
          <w:szCs w:val="28"/>
        </w:rPr>
        <w:tab/>
      </w:r>
      <w:r w:rsidRPr="00CF3DEC">
        <w:rPr>
          <w:rFonts w:cs="Times New Roman"/>
          <w:b/>
          <w:bCs/>
          <w:kern w:val="0"/>
          <w:szCs w:val="28"/>
        </w:rPr>
        <w:t>殯殮費用：</w:t>
      </w:r>
      <w:r w:rsidRPr="00CF3DEC">
        <w:rPr>
          <w:rFonts w:cs="Times New Roman"/>
          <w:bCs/>
          <w:kern w:val="0"/>
          <w:szCs w:val="28"/>
        </w:rPr>
        <w:t>任何人（包括死者的家庭成員）如為因肺塵埃沉着病及／或間皮瘤而去世的人士舉行殯殮，可索回殯殮費用，最多為</w:t>
      </w:r>
      <w:r w:rsidRPr="00CF3DEC">
        <w:rPr>
          <w:rFonts w:cs="Times New Roman"/>
          <w:bCs/>
          <w:kern w:val="0"/>
          <w:szCs w:val="28"/>
        </w:rPr>
        <w:t>83,700</w:t>
      </w:r>
      <w:r w:rsidRPr="00CF3DEC">
        <w:rPr>
          <w:rFonts w:cs="Times New Roman"/>
          <w:bCs/>
          <w:kern w:val="0"/>
          <w:szCs w:val="28"/>
        </w:rPr>
        <w:t>元。</w:t>
      </w:r>
    </w:p>
    <w:p w:rsidR="00D62B04" w:rsidRPr="000718AB" w:rsidRDefault="00D62B04" w:rsidP="00D62B04">
      <w:pPr>
        <w:autoSpaceDE w:val="0"/>
        <w:autoSpaceDN w:val="0"/>
        <w:adjustRightInd w:val="0"/>
        <w:rPr>
          <w:rFonts w:cs="Times New Roman"/>
          <w:color w:val="000000"/>
          <w:kern w:val="0"/>
          <w:szCs w:val="28"/>
        </w:rPr>
        <w:sectPr w:rsidR="00D62B04" w:rsidRPr="000718AB" w:rsidSect="00D62B04">
          <w:footerReference w:type="default" r:id="rId35"/>
          <w:pgSz w:w="11906" w:h="16838"/>
          <w:pgMar w:top="1440" w:right="1800" w:bottom="1276" w:left="1800" w:header="720" w:footer="720" w:gutter="0"/>
          <w:pgNumType w:start="1"/>
          <w:cols w:space="425"/>
          <w:docGrid w:type="lines" w:linePitch="381"/>
        </w:sectPr>
      </w:pPr>
    </w:p>
    <w:p w:rsidR="00D62B04" w:rsidRDefault="00D62B04" w:rsidP="00D62B04">
      <w:pPr>
        <w:widowControl/>
        <w:spacing w:line="0" w:lineRule="atLeast"/>
        <w:jc w:val="right"/>
        <w:rPr>
          <w:rFonts w:cs="Times New Roman"/>
          <w:b/>
          <w:kern w:val="0"/>
          <w:szCs w:val="20"/>
          <w:lang w:val="en-GB"/>
        </w:rPr>
      </w:pPr>
      <w:r w:rsidRPr="000718AB">
        <w:rPr>
          <w:rFonts w:ascii="標楷體" w:hAnsi="標楷體" w:cs="Times New Roman" w:hint="eastAsia"/>
          <w:b/>
          <w:kern w:val="0"/>
          <w:szCs w:val="20"/>
          <w:lang w:val="en-GB"/>
        </w:rPr>
        <w:lastRenderedPageBreak/>
        <w:t>附件</w:t>
      </w:r>
      <w:r w:rsidRPr="000718AB">
        <w:rPr>
          <w:rFonts w:cs="Times New Roman" w:hint="cs"/>
          <w:b/>
          <w:kern w:val="0"/>
          <w:szCs w:val="20"/>
          <w:lang w:val="en-GB"/>
        </w:rPr>
        <w:t>7</w:t>
      </w:r>
      <w:r w:rsidRPr="000718AB">
        <w:rPr>
          <w:rFonts w:cs="Times New Roman"/>
          <w:b/>
          <w:kern w:val="0"/>
          <w:szCs w:val="20"/>
          <w:lang w:val="en-GB"/>
        </w:rPr>
        <w:t>D</w:t>
      </w:r>
    </w:p>
    <w:p w:rsidR="00D62B04" w:rsidRPr="00163AF3" w:rsidRDefault="00D62B04" w:rsidP="00D62B04">
      <w:pPr>
        <w:widowControl/>
        <w:spacing w:line="0" w:lineRule="atLeast"/>
        <w:jc w:val="right"/>
        <w:rPr>
          <w:rFonts w:eastAsia="新細明體" w:cs="Times New Roman"/>
          <w:b/>
          <w:kern w:val="0"/>
          <w:szCs w:val="20"/>
          <w:lang w:val="en-GB"/>
        </w:rPr>
      </w:pPr>
    </w:p>
    <w:p w:rsidR="00D62B04" w:rsidRPr="00163AF3" w:rsidRDefault="00D62B04" w:rsidP="00D62B04">
      <w:pPr>
        <w:snapToGrid w:val="0"/>
        <w:jc w:val="center"/>
        <w:rPr>
          <w:rFonts w:cs="Times New Roman"/>
          <w:b/>
          <w:szCs w:val="20"/>
          <w:lang w:val="en-GB"/>
        </w:rPr>
      </w:pPr>
      <w:r w:rsidRPr="00163AF3">
        <w:rPr>
          <w:rFonts w:cs="Times New Roman"/>
          <w:b/>
          <w:szCs w:val="20"/>
          <w:lang w:val="en-GB"/>
        </w:rPr>
        <w:t>《職業性失聰</w:t>
      </w:r>
      <w:r w:rsidRPr="00163AF3">
        <w:rPr>
          <w:rFonts w:cs="Times New Roman"/>
          <w:b/>
          <w:szCs w:val="20"/>
          <w:lang w:val="en-GB"/>
        </w:rPr>
        <w:t>(</w:t>
      </w:r>
      <w:r w:rsidRPr="00163AF3">
        <w:rPr>
          <w:rFonts w:cs="Times New Roman"/>
          <w:b/>
          <w:szCs w:val="20"/>
          <w:lang w:val="en-GB"/>
        </w:rPr>
        <w:t>補償</w:t>
      </w:r>
      <w:r w:rsidRPr="00163AF3">
        <w:rPr>
          <w:rFonts w:cs="Times New Roman"/>
          <w:b/>
          <w:szCs w:val="20"/>
          <w:lang w:val="en-GB"/>
        </w:rPr>
        <w:t>)</w:t>
      </w:r>
      <w:r w:rsidRPr="00163AF3">
        <w:rPr>
          <w:rFonts w:cs="Times New Roman"/>
          <w:b/>
          <w:szCs w:val="20"/>
          <w:lang w:val="en-GB"/>
        </w:rPr>
        <w:t>條例》</w:t>
      </w:r>
      <w:r w:rsidRPr="00163AF3">
        <w:rPr>
          <w:rFonts w:cs="Times New Roman"/>
          <w:b/>
          <w:szCs w:val="20"/>
          <w:lang w:val="en-GB"/>
        </w:rPr>
        <w:t>(</w:t>
      </w:r>
      <w:r w:rsidRPr="00163AF3">
        <w:rPr>
          <w:rFonts w:cs="Times New Roman"/>
          <w:b/>
          <w:szCs w:val="20"/>
          <w:lang w:val="en-GB"/>
        </w:rPr>
        <w:t>第</w:t>
      </w:r>
      <w:r w:rsidRPr="00163AF3">
        <w:rPr>
          <w:rFonts w:cs="Times New Roman"/>
          <w:b/>
          <w:szCs w:val="20"/>
          <w:lang w:val="en-GB"/>
        </w:rPr>
        <w:t>469</w:t>
      </w:r>
      <w:r w:rsidRPr="00163AF3">
        <w:rPr>
          <w:rFonts w:cs="Times New Roman"/>
          <w:b/>
          <w:szCs w:val="20"/>
          <w:lang w:val="en-GB"/>
        </w:rPr>
        <w:t>章</w:t>
      </w:r>
      <w:r w:rsidRPr="00163AF3">
        <w:rPr>
          <w:rFonts w:cs="Times New Roman"/>
          <w:b/>
          <w:szCs w:val="20"/>
          <w:lang w:val="en-GB"/>
        </w:rPr>
        <w:t>)</w:t>
      </w:r>
    </w:p>
    <w:p w:rsidR="00D62B04" w:rsidRPr="00163AF3" w:rsidRDefault="00D62B04" w:rsidP="00D62B04">
      <w:pPr>
        <w:widowControl/>
        <w:snapToGrid w:val="0"/>
        <w:jc w:val="center"/>
        <w:rPr>
          <w:rFonts w:eastAsia="新細明體" w:cs="Times New Roman"/>
          <w:kern w:val="0"/>
          <w:szCs w:val="20"/>
        </w:rPr>
      </w:pPr>
      <w:r w:rsidRPr="00163AF3">
        <w:rPr>
          <w:rFonts w:cs="Times New Roman"/>
          <w:b/>
          <w:szCs w:val="20"/>
          <w:lang w:val="en-GB"/>
        </w:rPr>
        <w:t>規定的補償</w:t>
      </w:r>
    </w:p>
    <w:p w:rsidR="00D62B04" w:rsidRPr="000718AB" w:rsidRDefault="00D62B04" w:rsidP="00D62B04">
      <w:pPr>
        <w:snapToGrid w:val="0"/>
        <w:jc w:val="center"/>
        <w:rPr>
          <w:rFonts w:eastAsia="新細明體" w:cs="Times New Roman"/>
          <w:szCs w:val="20"/>
          <w:lang w:val="en-GB"/>
        </w:rPr>
      </w:pPr>
    </w:p>
    <w:p w:rsidR="00D62B04" w:rsidRPr="000718AB" w:rsidRDefault="00D62B04" w:rsidP="00D62B04">
      <w:pPr>
        <w:widowControl/>
        <w:snapToGrid w:val="0"/>
        <w:spacing w:line="400" w:lineRule="atLeast"/>
        <w:jc w:val="both"/>
        <w:rPr>
          <w:rFonts w:ascii="標楷體" w:hAnsi="標楷體" w:cs="Times New Roman"/>
          <w:kern w:val="0"/>
          <w:szCs w:val="28"/>
          <w:lang w:eastAsia="zh-HK"/>
        </w:rPr>
      </w:pPr>
      <w:r w:rsidRPr="000718AB">
        <w:rPr>
          <w:rFonts w:ascii="標楷體" w:hAnsi="標楷體" w:cs="Times New Roman" w:hint="eastAsia"/>
          <w:kern w:val="0"/>
          <w:szCs w:val="28"/>
        </w:rPr>
        <w:t>政府在適當情況下</w:t>
      </w:r>
      <w:r w:rsidRPr="000718AB">
        <w:rPr>
          <w:rFonts w:ascii="標楷體" w:hAnsi="標楷體" w:cs="Times New Roman" w:hint="eastAsia"/>
          <w:kern w:val="0"/>
          <w:szCs w:val="28"/>
          <w:lang w:eastAsia="zh-HK"/>
        </w:rPr>
        <w:t>按機制</w:t>
      </w:r>
      <w:r w:rsidRPr="000718AB">
        <w:rPr>
          <w:rFonts w:ascii="標楷體" w:hAnsi="標楷體" w:cs="Times New Roman" w:hint="eastAsia"/>
          <w:kern w:val="0"/>
          <w:szCs w:val="28"/>
        </w:rPr>
        <w:t>每兩年調整《職業性失聰（補償）條例》所規定的補償金額，現行補償金額</w:t>
      </w:r>
      <w:r w:rsidRPr="000718AB">
        <w:rPr>
          <w:rFonts w:ascii="標楷體" w:hAnsi="標楷體" w:cs="Times New Roman" w:hint="eastAsia"/>
          <w:kern w:val="0"/>
          <w:szCs w:val="28"/>
          <w:lang w:eastAsia="zh-HK"/>
        </w:rPr>
        <w:t>如下</w:t>
      </w:r>
      <w:r w:rsidRPr="000718AB">
        <w:rPr>
          <w:rFonts w:ascii="標楷體" w:hAnsi="標楷體" w:cs="Times New Roman" w:hint="eastAsia"/>
          <w:kern w:val="0"/>
          <w:szCs w:val="28"/>
        </w:rPr>
        <w:t>：</w:t>
      </w:r>
    </w:p>
    <w:p w:rsidR="00D62B04" w:rsidRPr="000718AB" w:rsidRDefault="00D62B04" w:rsidP="00D62B04">
      <w:pPr>
        <w:widowControl/>
        <w:snapToGrid w:val="0"/>
        <w:spacing w:line="360" w:lineRule="atLeast"/>
        <w:jc w:val="both"/>
        <w:rPr>
          <w:rFonts w:cs="Times New Roman"/>
          <w:kern w:val="0"/>
          <w:szCs w:val="28"/>
        </w:rPr>
      </w:pPr>
    </w:p>
    <w:p w:rsidR="00D62B04" w:rsidRPr="00856ED6" w:rsidRDefault="00D62B04" w:rsidP="00F6791D">
      <w:pPr>
        <w:widowControl/>
        <w:snapToGrid w:val="0"/>
        <w:spacing w:line="360" w:lineRule="atLeast"/>
        <w:ind w:left="476" w:hanging="476"/>
        <w:jc w:val="both"/>
        <w:rPr>
          <w:rFonts w:cs="Times New Roman"/>
          <w:kern w:val="0"/>
          <w:szCs w:val="20"/>
          <w:lang w:val="en-GB"/>
        </w:rPr>
      </w:pPr>
      <w:r w:rsidRPr="00856ED6">
        <w:rPr>
          <w:rFonts w:cs="Times New Roman"/>
          <w:kern w:val="0"/>
          <w:szCs w:val="28"/>
        </w:rPr>
        <w:t xml:space="preserve">(a) </w:t>
      </w:r>
      <w:r w:rsidRPr="00856ED6">
        <w:rPr>
          <w:rFonts w:cs="Times New Roman"/>
          <w:kern w:val="0"/>
          <w:szCs w:val="28"/>
        </w:rPr>
        <w:tab/>
      </w:r>
      <w:r w:rsidRPr="00856ED6">
        <w:rPr>
          <w:rFonts w:cs="Times New Roman"/>
          <w:b/>
          <w:kern w:val="0"/>
          <w:szCs w:val="20"/>
          <w:lang w:val="en-GB"/>
        </w:rPr>
        <w:t>永久喪失工作能力的補償：</w:t>
      </w:r>
      <w:r w:rsidRPr="00856ED6">
        <w:rPr>
          <w:rFonts w:cs="Times New Roman"/>
          <w:kern w:val="0"/>
          <w:szCs w:val="20"/>
          <w:lang w:val="en-GB"/>
        </w:rPr>
        <w:t>申索人可獲的補償款額是按申索人的年齡、每月入息（最高</w:t>
      </w:r>
      <w:r w:rsidRPr="00856ED6">
        <w:rPr>
          <w:rFonts w:cs="Times New Roman"/>
          <w:kern w:val="0"/>
          <w:szCs w:val="20"/>
          <w:lang w:val="en-GB"/>
        </w:rPr>
        <w:t>28,360</w:t>
      </w:r>
      <w:r w:rsidRPr="00856ED6">
        <w:rPr>
          <w:rFonts w:cs="Times New Roman"/>
          <w:kern w:val="0"/>
          <w:szCs w:val="20"/>
          <w:lang w:val="en-GB"/>
        </w:rPr>
        <w:t>元）及永久喪失工作能力的程度計算。用以計算永久喪失工作能力補償的最低及最高金額分別為</w:t>
      </w:r>
      <w:r w:rsidRPr="00856ED6">
        <w:rPr>
          <w:rFonts w:cs="Times New Roman"/>
          <w:kern w:val="0"/>
          <w:szCs w:val="20"/>
          <w:lang w:val="en-GB"/>
        </w:rPr>
        <w:t>464,360</w:t>
      </w:r>
      <w:r w:rsidRPr="00856ED6">
        <w:rPr>
          <w:rFonts w:cs="Times New Roman"/>
          <w:kern w:val="0"/>
          <w:szCs w:val="20"/>
          <w:lang w:val="en-GB"/>
        </w:rPr>
        <w:t>元及</w:t>
      </w:r>
      <w:r w:rsidRPr="00856ED6">
        <w:rPr>
          <w:rFonts w:cs="Times New Roman"/>
          <w:kern w:val="0"/>
          <w:szCs w:val="20"/>
          <w:lang w:val="en-GB"/>
        </w:rPr>
        <w:t>2,722,560</w:t>
      </w:r>
      <w:r w:rsidRPr="00856ED6">
        <w:rPr>
          <w:rFonts w:cs="Times New Roman"/>
          <w:kern w:val="0"/>
          <w:szCs w:val="20"/>
          <w:lang w:val="en-GB"/>
        </w:rPr>
        <w:t>元；以及</w:t>
      </w:r>
    </w:p>
    <w:p w:rsidR="00D62B04" w:rsidRPr="00856ED6" w:rsidRDefault="00D62B04" w:rsidP="00D62B04">
      <w:pPr>
        <w:widowControl/>
        <w:snapToGrid w:val="0"/>
        <w:spacing w:line="360" w:lineRule="atLeast"/>
        <w:jc w:val="both"/>
        <w:rPr>
          <w:rFonts w:cs="Times New Roman"/>
          <w:kern w:val="0"/>
          <w:szCs w:val="20"/>
          <w:lang w:val="en-GB"/>
        </w:rPr>
      </w:pPr>
    </w:p>
    <w:p w:rsidR="00D62B04" w:rsidRPr="00856ED6" w:rsidRDefault="00D62B04" w:rsidP="00F6791D">
      <w:pPr>
        <w:widowControl/>
        <w:snapToGrid w:val="0"/>
        <w:spacing w:line="360" w:lineRule="atLeast"/>
        <w:ind w:left="476" w:hanging="476"/>
        <w:jc w:val="both"/>
        <w:rPr>
          <w:rFonts w:cs="Times New Roman"/>
          <w:kern w:val="0"/>
          <w:sz w:val="20"/>
          <w:szCs w:val="20"/>
          <w:lang w:val="en-GB"/>
        </w:rPr>
      </w:pPr>
      <w:r w:rsidRPr="00856ED6">
        <w:rPr>
          <w:rFonts w:cs="Times New Roman"/>
          <w:kern w:val="0"/>
          <w:szCs w:val="20"/>
          <w:lang w:val="en-GB"/>
        </w:rPr>
        <w:t>(b)</w:t>
      </w:r>
      <w:r w:rsidRPr="00856ED6">
        <w:rPr>
          <w:rFonts w:cs="Times New Roman"/>
          <w:kern w:val="0"/>
          <w:szCs w:val="20"/>
          <w:lang w:val="en-GB"/>
        </w:rPr>
        <w:tab/>
      </w:r>
      <w:r w:rsidRPr="00856ED6">
        <w:rPr>
          <w:rFonts w:cs="Times New Roman"/>
          <w:b/>
          <w:kern w:val="0"/>
          <w:szCs w:val="20"/>
          <w:lang w:val="en-GB"/>
        </w:rPr>
        <w:t>資助聽力輔助器具的開支：</w:t>
      </w:r>
      <w:r w:rsidRPr="00856ED6">
        <w:rPr>
          <w:rFonts w:cs="Times New Roman"/>
          <w:kern w:val="0"/>
          <w:szCs w:val="20"/>
          <w:lang w:val="en-GB"/>
        </w:rPr>
        <w:t>任何人士如曾在任何時間根據《職業性失聰（補償）條例》有權獲得永久喪失工作能力的補償，可向職業性失聰補償管理局申請直接支付或付還有關取得、裝配、維修或保養聽力輔助器具的合理開支。首次申請聽力輔助器具的資助限額為</w:t>
      </w:r>
      <w:r w:rsidRPr="00856ED6">
        <w:rPr>
          <w:rFonts w:cs="Times New Roman"/>
          <w:kern w:val="0"/>
          <w:szCs w:val="20"/>
          <w:lang w:val="en-GB"/>
        </w:rPr>
        <w:t>16,470</w:t>
      </w:r>
      <w:r w:rsidRPr="00856ED6">
        <w:rPr>
          <w:rFonts w:cs="Times New Roman"/>
          <w:kern w:val="0"/>
          <w:szCs w:val="20"/>
          <w:lang w:val="en-GB"/>
        </w:rPr>
        <w:t>元，而每名申請人的總資助限額為</w:t>
      </w:r>
      <w:r w:rsidRPr="00856ED6">
        <w:rPr>
          <w:rFonts w:cs="Times New Roman"/>
          <w:kern w:val="0"/>
          <w:szCs w:val="20"/>
          <w:lang w:val="en-GB"/>
        </w:rPr>
        <w:t>57,110</w:t>
      </w:r>
      <w:r w:rsidRPr="00856ED6">
        <w:rPr>
          <w:rFonts w:cs="Times New Roman"/>
          <w:kern w:val="0"/>
          <w:szCs w:val="20"/>
          <w:lang w:val="en-GB"/>
        </w:rPr>
        <w:t>元。</w:t>
      </w:r>
    </w:p>
    <w:p w:rsidR="00D62B04" w:rsidRDefault="00D62B04" w:rsidP="008375BB">
      <w:pPr>
        <w:jc w:val="both"/>
        <w:rPr>
          <w:rFonts w:cs="Times New Roman"/>
          <w:szCs w:val="28"/>
          <w:lang w:val="en-GB"/>
        </w:rPr>
        <w:sectPr w:rsidR="00D62B04" w:rsidSect="00D62B04">
          <w:pgSz w:w="11906" w:h="16838"/>
          <w:pgMar w:top="1440" w:right="1800" w:bottom="1276" w:left="1800" w:header="720" w:footer="720" w:gutter="0"/>
          <w:pgNumType w:start="1"/>
          <w:cols w:space="425"/>
          <w:docGrid w:type="lines" w:linePitch="381"/>
        </w:sectPr>
      </w:pPr>
    </w:p>
    <w:p w:rsidR="00D62B04" w:rsidRPr="00EC666D" w:rsidRDefault="00D62B04" w:rsidP="00D62B04">
      <w:pPr>
        <w:snapToGrid w:val="0"/>
        <w:spacing w:line="400" w:lineRule="atLeast"/>
        <w:jc w:val="right"/>
        <w:rPr>
          <w:rFonts w:cs="Times New Roman"/>
          <w:b/>
          <w:szCs w:val="28"/>
        </w:rPr>
      </w:pPr>
      <w:r w:rsidRPr="00EC666D">
        <w:rPr>
          <w:rFonts w:cs="Times New Roman"/>
          <w:b/>
          <w:szCs w:val="28"/>
        </w:rPr>
        <w:lastRenderedPageBreak/>
        <w:t>附件</w:t>
      </w:r>
      <w:r w:rsidRPr="00EC666D">
        <w:rPr>
          <w:rFonts w:cs="Times New Roman"/>
          <w:b/>
          <w:szCs w:val="28"/>
        </w:rPr>
        <w:t>8A</w:t>
      </w:r>
    </w:p>
    <w:p w:rsidR="00D62B04" w:rsidRDefault="00D62B04" w:rsidP="00D62B04">
      <w:pPr>
        <w:snapToGrid w:val="0"/>
        <w:spacing w:line="400" w:lineRule="atLeast"/>
      </w:pPr>
    </w:p>
    <w:p w:rsidR="00D62B04" w:rsidRDefault="00D62B04" w:rsidP="00D62B04">
      <w:pPr>
        <w:snapToGrid w:val="0"/>
        <w:spacing w:line="400" w:lineRule="atLeast"/>
        <w:jc w:val="center"/>
        <w:rPr>
          <w:rFonts w:ascii="標楷體" w:hAnsi="標楷體"/>
          <w:b/>
          <w:szCs w:val="28"/>
        </w:rPr>
      </w:pPr>
      <w:r w:rsidRPr="00EC666D">
        <w:rPr>
          <w:rFonts w:ascii="標楷體" w:hAnsi="標楷體" w:hint="eastAsia"/>
          <w:b/>
          <w:szCs w:val="28"/>
        </w:rPr>
        <w:t>僱員工會的數目與公布的會員人數</w:t>
      </w:r>
    </w:p>
    <w:p w:rsidR="00D62B04" w:rsidRDefault="00D62B04" w:rsidP="00D62B04">
      <w:pPr>
        <w:snapToGrid w:val="0"/>
        <w:spacing w:line="400" w:lineRule="atLeast"/>
        <w:jc w:val="center"/>
        <w:rPr>
          <w:rFonts w:ascii="標楷體" w:hAnsi="標楷體"/>
          <w:b/>
          <w:szCs w:val="28"/>
        </w:rPr>
      </w:pPr>
    </w:p>
    <w:tbl>
      <w:tblPr>
        <w:tblW w:w="8356"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3626"/>
        <w:gridCol w:w="2365"/>
        <w:gridCol w:w="2365"/>
      </w:tblGrid>
      <w:tr w:rsidR="00D62B04" w:rsidRPr="00EC666D" w:rsidTr="00E22C88">
        <w:trPr>
          <w:cantSplit/>
          <w:tblHeader/>
        </w:trPr>
        <w:tc>
          <w:tcPr>
            <w:tcW w:w="3626" w:type="dxa"/>
            <w:tcBorders>
              <w:top w:val="single" w:sz="4" w:space="0" w:color="auto"/>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pacing w:line="0" w:lineRule="atLeast"/>
              <w:jc w:val="both"/>
              <w:rPr>
                <w:rFonts w:cs="Times New Roman"/>
                <w:b/>
                <w:szCs w:val="28"/>
              </w:rPr>
            </w:pPr>
            <w:r w:rsidRPr="00EC666D">
              <w:rPr>
                <w:rFonts w:cs="Times New Roman" w:hint="eastAsia"/>
                <w:b/>
                <w:szCs w:val="28"/>
              </w:rPr>
              <w:t>經濟環節</w:t>
            </w:r>
          </w:p>
        </w:tc>
        <w:tc>
          <w:tcPr>
            <w:tcW w:w="4730" w:type="dxa"/>
            <w:gridSpan w:val="2"/>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pacing w:line="0" w:lineRule="atLeast"/>
              <w:jc w:val="center"/>
              <w:rPr>
                <w:rFonts w:cs="Times New Roman"/>
                <w:b/>
                <w:szCs w:val="28"/>
              </w:rPr>
            </w:pPr>
            <w:r w:rsidRPr="00EC666D">
              <w:rPr>
                <w:rFonts w:cs="Times New Roman"/>
                <w:b/>
                <w:szCs w:val="28"/>
              </w:rPr>
              <w:t>2017</w:t>
            </w:r>
            <w:r w:rsidRPr="00EC666D">
              <w:rPr>
                <w:rFonts w:cs="Times New Roman" w:hint="eastAsia"/>
                <w:b/>
                <w:szCs w:val="28"/>
              </w:rPr>
              <w:t>年</w:t>
            </w:r>
          </w:p>
        </w:tc>
      </w:tr>
      <w:tr w:rsidR="00D62B04" w:rsidRPr="00EC666D" w:rsidTr="00E22C88">
        <w:trPr>
          <w:cantSplit/>
          <w:tblHeader/>
        </w:trPr>
        <w:tc>
          <w:tcPr>
            <w:tcW w:w="3626" w:type="dxa"/>
            <w:tcBorders>
              <w:top w:val="nil"/>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pacing w:line="0" w:lineRule="atLeast"/>
              <w:jc w:val="both"/>
              <w:rPr>
                <w:rFonts w:cs="Times New Roman"/>
                <w:b/>
                <w:szCs w:val="28"/>
              </w:rPr>
            </w:pPr>
          </w:p>
        </w:tc>
        <w:tc>
          <w:tcPr>
            <w:tcW w:w="2365"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pacing w:line="0" w:lineRule="atLeast"/>
              <w:jc w:val="center"/>
              <w:rPr>
                <w:rFonts w:cs="Times New Roman"/>
                <w:b/>
                <w:szCs w:val="28"/>
              </w:rPr>
            </w:pPr>
            <w:r w:rsidRPr="00EC666D">
              <w:rPr>
                <w:rFonts w:cs="Times New Roman" w:hint="eastAsia"/>
                <w:b/>
                <w:szCs w:val="28"/>
              </w:rPr>
              <w:t>工會數目</w:t>
            </w:r>
          </w:p>
        </w:tc>
        <w:tc>
          <w:tcPr>
            <w:tcW w:w="2365"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pacing w:line="0" w:lineRule="atLeast"/>
              <w:jc w:val="center"/>
              <w:rPr>
                <w:rFonts w:cs="Times New Roman"/>
                <w:b/>
                <w:szCs w:val="28"/>
              </w:rPr>
            </w:pPr>
            <w:r w:rsidRPr="00EC666D">
              <w:rPr>
                <w:rFonts w:cs="Times New Roman" w:hint="eastAsia"/>
                <w:b/>
                <w:szCs w:val="28"/>
              </w:rPr>
              <w:t>公布會員人數</w:t>
            </w:r>
          </w:p>
        </w:tc>
      </w:tr>
      <w:tr w:rsidR="00D62B04" w:rsidRPr="00EC666D" w:rsidTr="00E22C88">
        <w:tc>
          <w:tcPr>
            <w:tcW w:w="3626" w:type="dxa"/>
            <w:tcBorders>
              <w:top w:val="single" w:sz="4" w:space="0" w:color="auto"/>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農業、林業及漁業</w:t>
            </w:r>
          </w:p>
        </w:tc>
        <w:tc>
          <w:tcPr>
            <w:tcW w:w="2365" w:type="dxa"/>
            <w:tcBorders>
              <w:top w:val="single" w:sz="4" w:space="0" w:color="auto"/>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1</w:t>
            </w:r>
          </w:p>
        </w:tc>
        <w:tc>
          <w:tcPr>
            <w:tcW w:w="2365" w:type="dxa"/>
            <w:tcBorders>
              <w:top w:val="single" w:sz="4" w:space="0" w:color="auto"/>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7</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製造業</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77</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58 859</w:t>
            </w:r>
          </w:p>
        </w:tc>
      </w:tr>
      <w:tr w:rsidR="00D62B04" w:rsidRPr="00EC666D" w:rsidTr="00E22C88">
        <w:trPr>
          <w:trHeight w:val="1218"/>
        </w:trPr>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電力及燃氣供應</w:t>
            </w:r>
            <w:r w:rsidRPr="00EC666D">
              <w:rPr>
                <w:rFonts w:cs="Times New Roman" w:hint="eastAsia"/>
                <w:szCs w:val="28"/>
                <w:lang w:eastAsia="zh-HK"/>
              </w:rPr>
              <w:t>；自來水供應；污水處理、廢棄物管理及污染防治活動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5</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3 172</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建造業</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41</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84 195</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進出口貿易、批發及零售業</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34</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51 751</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運輸、倉庫、郵政及速遞服務</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119</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176 223</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住宿及膳食服務活動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s>
              <w:overflowPunct w:val="0"/>
              <w:snapToGrid w:val="0"/>
              <w:spacing w:line="360" w:lineRule="auto"/>
              <w:ind w:rightChars="350" w:right="980"/>
              <w:jc w:val="right"/>
              <w:rPr>
                <w:rFonts w:cs="Times New Roman"/>
                <w:szCs w:val="28"/>
              </w:rPr>
            </w:pPr>
            <w:r w:rsidRPr="00EC666D">
              <w:rPr>
                <w:rFonts w:cs="Times New Roman"/>
                <w:szCs w:val="28"/>
              </w:rPr>
              <w:t>26</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23 736</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資訊及通訊</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20</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6 490</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金融及保險活動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6</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9 625</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地產活動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9</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7 774</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專業、科學及技術活動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9</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5 180</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行政及支援服務活動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38</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54 792</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公共行政</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200</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218 136</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教育</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75</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117 791</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人類保健及社會工作活動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95</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69 376</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藝術、娛樂及康樂活動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35</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7 113</w:t>
            </w:r>
          </w:p>
        </w:tc>
      </w:tr>
      <w:tr w:rsidR="00D62B04" w:rsidRPr="00EC666D" w:rsidTr="00E22C88">
        <w:tc>
          <w:tcPr>
            <w:tcW w:w="3626"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其他服務活動</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32</w:t>
            </w:r>
          </w:p>
        </w:tc>
        <w:tc>
          <w:tcPr>
            <w:tcW w:w="2365" w:type="dxa"/>
            <w:tcBorders>
              <w:top w:val="nil"/>
              <w:left w:val="single" w:sz="4" w:space="0" w:color="auto"/>
              <w:bottom w:val="nil"/>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7 026</w:t>
            </w:r>
          </w:p>
        </w:tc>
      </w:tr>
      <w:tr w:rsidR="00D62B04" w:rsidRPr="00EC666D" w:rsidTr="00E22C88">
        <w:tc>
          <w:tcPr>
            <w:tcW w:w="3626" w:type="dxa"/>
            <w:tcBorders>
              <w:top w:val="nil"/>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家庭住戶內部工作活動</w:t>
            </w:r>
          </w:p>
        </w:tc>
        <w:tc>
          <w:tcPr>
            <w:tcW w:w="2365" w:type="dxa"/>
            <w:tcBorders>
              <w:top w:val="nil"/>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14</w:t>
            </w:r>
          </w:p>
        </w:tc>
        <w:tc>
          <w:tcPr>
            <w:tcW w:w="2365" w:type="dxa"/>
            <w:tcBorders>
              <w:top w:val="nil"/>
              <w:left w:val="single" w:sz="4" w:space="0" w:color="auto"/>
              <w:bottom w:val="single" w:sz="4" w:space="0" w:color="auto"/>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2 964</w:t>
            </w:r>
          </w:p>
        </w:tc>
      </w:tr>
      <w:tr w:rsidR="00D62B04" w:rsidRPr="00EC666D" w:rsidTr="00E22C88">
        <w:tc>
          <w:tcPr>
            <w:tcW w:w="3626"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總計</w:t>
            </w:r>
          </w:p>
        </w:tc>
        <w:tc>
          <w:tcPr>
            <w:tcW w:w="2365"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r w:rsidRPr="00EC666D">
              <w:rPr>
                <w:rFonts w:cs="Times New Roman"/>
                <w:szCs w:val="28"/>
              </w:rPr>
              <w:t>836</w:t>
            </w:r>
          </w:p>
        </w:tc>
        <w:tc>
          <w:tcPr>
            <w:tcW w:w="2365"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904 210</w:t>
            </w:r>
          </w:p>
        </w:tc>
      </w:tr>
      <w:tr w:rsidR="00D62B04" w:rsidRPr="00EC666D" w:rsidTr="00E22C88">
        <w:tc>
          <w:tcPr>
            <w:tcW w:w="3626"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napToGrid w:val="0"/>
              <w:jc w:val="both"/>
              <w:rPr>
                <w:rFonts w:cs="Times New Roman"/>
                <w:szCs w:val="28"/>
              </w:rPr>
            </w:pPr>
            <w:r w:rsidRPr="00EC666D">
              <w:rPr>
                <w:rFonts w:cs="Times New Roman" w:hint="eastAsia"/>
                <w:szCs w:val="28"/>
              </w:rPr>
              <w:t>受薪僱員及工人參加工會的比率</w:t>
            </w:r>
          </w:p>
        </w:tc>
        <w:tc>
          <w:tcPr>
            <w:tcW w:w="2365"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134"/>
                <w:tab w:val="left" w:pos="1701"/>
              </w:tabs>
              <w:overflowPunct w:val="0"/>
              <w:snapToGrid w:val="0"/>
              <w:spacing w:line="360" w:lineRule="auto"/>
              <w:ind w:rightChars="350" w:right="980"/>
              <w:jc w:val="right"/>
              <w:rPr>
                <w:rFonts w:cs="Times New Roman"/>
                <w:szCs w:val="28"/>
              </w:rPr>
            </w:pPr>
          </w:p>
        </w:tc>
        <w:tc>
          <w:tcPr>
            <w:tcW w:w="2365" w:type="dxa"/>
            <w:tcBorders>
              <w:top w:val="single" w:sz="4" w:space="0" w:color="auto"/>
              <w:left w:val="single" w:sz="4" w:space="0" w:color="auto"/>
              <w:bottom w:val="single" w:sz="4" w:space="0" w:color="auto"/>
              <w:right w:val="single" w:sz="4" w:space="0" w:color="auto"/>
            </w:tcBorders>
          </w:tcPr>
          <w:p w:rsidR="00D62B04" w:rsidRPr="00EC666D" w:rsidRDefault="00D62B04" w:rsidP="00E22C88">
            <w:pPr>
              <w:tabs>
                <w:tab w:val="left" w:pos="567"/>
                <w:tab w:val="left" w:pos="1389"/>
                <w:tab w:val="left" w:pos="1701"/>
              </w:tabs>
              <w:overflowPunct w:val="0"/>
              <w:snapToGrid w:val="0"/>
              <w:spacing w:line="360" w:lineRule="auto"/>
              <w:ind w:rightChars="243" w:right="680"/>
              <w:jc w:val="right"/>
              <w:rPr>
                <w:rFonts w:cs="Times New Roman"/>
                <w:szCs w:val="28"/>
              </w:rPr>
            </w:pPr>
            <w:r w:rsidRPr="00EC666D">
              <w:rPr>
                <w:rFonts w:cs="Times New Roman"/>
                <w:szCs w:val="28"/>
              </w:rPr>
              <w:t>25.02%</w:t>
            </w:r>
          </w:p>
        </w:tc>
      </w:tr>
    </w:tbl>
    <w:p w:rsidR="00D62B04" w:rsidRPr="00EC666D" w:rsidRDefault="00D62B04" w:rsidP="00D62B04">
      <w:pPr>
        <w:snapToGrid w:val="0"/>
        <w:spacing w:line="400" w:lineRule="atLeast"/>
        <w:jc w:val="both"/>
        <w:rPr>
          <w:rFonts w:ascii="標楷體" w:hAnsi="標楷體"/>
          <w:b/>
          <w:szCs w:val="28"/>
        </w:rPr>
      </w:pPr>
    </w:p>
    <w:p w:rsidR="00D62B04" w:rsidRDefault="00D62B04" w:rsidP="008375BB">
      <w:pPr>
        <w:jc w:val="both"/>
        <w:rPr>
          <w:rFonts w:cs="Times New Roman"/>
          <w:szCs w:val="28"/>
          <w:lang w:val="en-GB"/>
        </w:rPr>
        <w:sectPr w:rsidR="00D62B04" w:rsidSect="00D62B04">
          <w:footerReference w:type="default" r:id="rId36"/>
          <w:pgSz w:w="11906" w:h="16838"/>
          <w:pgMar w:top="1440" w:right="1800" w:bottom="1440" w:left="1800" w:header="720" w:footer="720" w:gutter="0"/>
          <w:pgNumType w:start="1"/>
          <w:cols w:space="425"/>
          <w:docGrid w:type="lines" w:linePitch="381"/>
        </w:sectPr>
      </w:pPr>
    </w:p>
    <w:p w:rsidR="006859B1" w:rsidRDefault="006859B1" w:rsidP="006859B1">
      <w:pPr>
        <w:jc w:val="right"/>
      </w:pPr>
      <w:r w:rsidRPr="002C4240">
        <w:rPr>
          <w:rFonts w:hint="eastAsia"/>
          <w:b/>
          <w:bCs/>
          <w:szCs w:val="28"/>
          <w:lang w:eastAsia="zh-HK"/>
        </w:rPr>
        <w:lastRenderedPageBreak/>
        <w:t>附件</w:t>
      </w:r>
      <w:r w:rsidRPr="002C4240">
        <w:rPr>
          <w:rFonts w:hint="eastAsia"/>
          <w:b/>
          <w:bCs/>
          <w:szCs w:val="28"/>
        </w:rPr>
        <w:t>8</w:t>
      </w:r>
      <w:r>
        <w:rPr>
          <w:rFonts w:hint="eastAsia"/>
          <w:b/>
          <w:bCs/>
          <w:szCs w:val="28"/>
        </w:rPr>
        <w:t>B</w:t>
      </w:r>
    </w:p>
    <w:p w:rsidR="006859B1" w:rsidRDefault="006859B1" w:rsidP="006859B1"/>
    <w:p w:rsidR="006859B1" w:rsidRPr="00734730" w:rsidRDefault="006859B1" w:rsidP="006859B1">
      <w:pPr>
        <w:jc w:val="center"/>
        <w:rPr>
          <w:b/>
        </w:rPr>
      </w:pPr>
      <w:r w:rsidRPr="00040A80">
        <w:rPr>
          <w:b/>
          <w:szCs w:val="28"/>
        </w:rPr>
        <w:t>鼓勵勞資雙方進行有效溝通、諮詢和自願協商</w:t>
      </w:r>
    </w:p>
    <w:p w:rsidR="006859B1" w:rsidRDefault="006859B1" w:rsidP="006859B1"/>
    <w:p w:rsidR="006859B1" w:rsidRPr="006859B1" w:rsidRDefault="006859B1" w:rsidP="006859B1">
      <w:pPr>
        <w:tabs>
          <w:tab w:val="left" w:pos="1440"/>
        </w:tabs>
        <w:autoSpaceDE w:val="0"/>
        <w:autoSpaceDN w:val="0"/>
        <w:adjustRightInd w:val="0"/>
        <w:snapToGrid w:val="0"/>
        <w:spacing w:line="400" w:lineRule="atLeast"/>
        <w:jc w:val="both"/>
        <w:rPr>
          <w:color w:val="0070C0"/>
          <w:szCs w:val="28"/>
          <w:lang w:val="en-GB"/>
        </w:rPr>
      </w:pPr>
      <w:r>
        <w:rPr>
          <w:rFonts w:hint="eastAsia"/>
          <w:color w:val="000000"/>
          <w:szCs w:val="28"/>
          <w:lang w:val="en-GB"/>
        </w:rPr>
        <w:t>1.</w:t>
      </w:r>
      <w:r w:rsidRPr="00040A80">
        <w:rPr>
          <w:color w:val="000000"/>
          <w:szCs w:val="28"/>
          <w:lang w:val="en-GB"/>
        </w:rPr>
        <w:tab/>
      </w:r>
      <w:r w:rsidRPr="006859B1">
        <w:rPr>
          <w:rFonts w:hint="eastAsia"/>
          <w:color w:val="000000"/>
          <w:spacing w:val="2"/>
          <w:szCs w:val="28"/>
          <w:lang w:val="en-GB"/>
        </w:rPr>
        <w:t>正如上一</w:t>
      </w:r>
      <w:r w:rsidRPr="006859B1">
        <w:rPr>
          <w:rFonts w:hint="eastAsia"/>
          <w:color w:val="000000"/>
          <w:spacing w:val="2"/>
          <w:szCs w:val="28"/>
          <w:lang w:val="en-GB" w:eastAsia="zh-HK"/>
        </w:rPr>
        <w:t>次</w:t>
      </w:r>
      <w:r w:rsidRPr="006859B1">
        <w:rPr>
          <w:rFonts w:hint="eastAsia"/>
          <w:color w:val="000000"/>
          <w:spacing w:val="2"/>
          <w:szCs w:val="28"/>
          <w:lang w:val="en-GB"/>
        </w:rPr>
        <w:t>報告第</w:t>
      </w:r>
      <w:r w:rsidRPr="006859B1">
        <w:rPr>
          <w:rFonts w:hint="eastAsia"/>
          <w:color w:val="000000"/>
          <w:spacing w:val="2"/>
          <w:szCs w:val="28"/>
          <w:lang w:val="en-GB"/>
        </w:rPr>
        <w:t>8.5</w:t>
      </w:r>
      <w:r w:rsidRPr="006859B1">
        <w:rPr>
          <w:rFonts w:hint="eastAsia"/>
          <w:color w:val="000000"/>
          <w:spacing w:val="2"/>
          <w:szCs w:val="28"/>
          <w:lang w:val="en-GB"/>
        </w:rPr>
        <w:t>段所闡述，在行業層面，勞工處繼</w:t>
      </w:r>
      <w:r w:rsidRPr="006859B1">
        <w:rPr>
          <w:rFonts w:hint="eastAsia"/>
          <w:color w:val="000000"/>
          <w:szCs w:val="28"/>
          <w:lang w:val="en-GB"/>
        </w:rPr>
        <w:t>續鼓勵僱主及僱員透過九個行業性三方小組進行自願協商，三方小</w:t>
      </w:r>
      <w:r w:rsidRPr="006859B1">
        <w:rPr>
          <w:rFonts w:hint="eastAsia"/>
          <w:color w:val="000000"/>
          <w:spacing w:val="2"/>
          <w:szCs w:val="28"/>
          <w:lang w:val="en-GB"/>
        </w:rPr>
        <w:t>組成員包括職工會、僱主及勞工處的代表。這些小組定期會面，不拘形</w:t>
      </w:r>
      <w:r w:rsidRPr="006859B1">
        <w:rPr>
          <w:rFonts w:hint="eastAsia"/>
          <w:color w:val="000000"/>
          <w:szCs w:val="28"/>
          <w:lang w:val="en-GB"/>
        </w:rPr>
        <w:t>式地討論行業內雙方共同關注的事宜，藉以鼓勵僱主和僱員代表暢所欲言及鞏固彼此的夥伴關係，推動勞資協作。三方小組曾討論的議題包括良好人事管理、家庭友善僱傭措施以及有關行業的勞資關係近況和就業情況等。除透過會議及經驗分享進行推廣特定行業的良好人事管理措施外，三方小組亦共同制訂有關業內僱傭事宜的不同指引，鼓勵勞資雙方攜手合作實施良好人事管理措施。</w:t>
      </w:r>
    </w:p>
    <w:p w:rsidR="006859B1" w:rsidRDefault="006859B1" w:rsidP="006859B1">
      <w:pPr>
        <w:tabs>
          <w:tab w:val="left" w:pos="1440"/>
        </w:tabs>
        <w:snapToGrid w:val="0"/>
        <w:spacing w:line="400" w:lineRule="atLeast"/>
        <w:ind w:right="32"/>
        <w:jc w:val="both"/>
        <w:rPr>
          <w:color w:val="000000"/>
          <w:szCs w:val="28"/>
          <w:lang w:val="en-GB"/>
        </w:rPr>
      </w:pPr>
    </w:p>
    <w:p w:rsidR="006859B1" w:rsidRPr="006859B1" w:rsidRDefault="006859B1" w:rsidP="006859B1">
      <w:pPr>
        <w:tabs>
          <w:tab w:val="left" w:pos="1440"/>
        </w:tabs>
        <w:snapToGrid w:val="0"/>
        <w:spacing w:line="400" w:lineRule="atLeast"/>
        <w:ind w:right="32"/>
        <w:jc w:val="both"/>
        <w:rPr>
          <w:color w:val="000000"/>
          <w:szCs w:val="28"/>
          <w:lang w:val="en-GB"/>
        </w:rPr>
      </w:pPr>
      <w:r>
        <w:rPr>
          <w:rFonts w:hint="eastAsia"/>
          <w:color w:val="000000"/>
          <w:szCs w:val="28"/>
          <w:lang w:val="en-GB"/>
        </w:rPr>
        <w:t>2.</w:t>
      </w:r>
      <w:r>
        <w:rPr>
          <w:color w:val="000000"/>
          <w:szCs w:val="28"/>
          <w:lang w:val="en-GB"/>
        </w:rPr>
        <w:tab/>
      </w:r>
      <w:r w:rsidRPr="006859B1">
        <w:rPr>
          <w:rFonts w:hint="eastAsia"/>
          <w:color w:val="000000"/>
          <w:spacing w:val="2"/>
          <w:szCs w:val="28"/>
          <w:lang w:val="en-GB"/>
        </w:rPr>
        <w:t>在企業層面，勞工處鼓勵僱主推行良好人事管理措施，</w:t>
      </w:r>
      <w:r w:rsidRPr="006859B1">
        <w:rPr>
          <w:rFonts w:hint="eastAsia"/>
          <w:color w:val="000000"/>
          <w:szCs w:val="28"/>
          <w:lang w:val="en-GB"/>
        </w:rPr>
        <w:t>與僱員維持有效的溝通，並在僱傭事宜上諮詢他們。勞工處定期安</w:t>
      </w:r>
      <w:r w:rsidRPr="006859B1">
        <w:rPr>
          <w:rFonts w:hint="eastAsia"/>
          <w:color w:val="000000"/>
          <w:spacing w:val="2"/>
          <w:szCs w:val="28"/>
          <w:lang w:val="en-GB"/>
        </w:rPr>
        <w:t>排經驗分享會和簡介會，以推廣良好人事管理措施及有效的勞資溝通，</w:t>
      </w:r>
      <w:r w:rsidRPr="006859B1">
        <w:rPr>
          <w:rFonts w:hint="eastAsia"/>
          <w:color w:val="000000"/>
          <w:szCs w:val="28"/>
          <w:lang w:val="en-GB"/>
        </w:rPr>
        <w:t>為自願及直接談判締造有利的環境，以持續推廣自願性質的協商機</w:t>
      </w:r>
      <w:r w:rsidRPr="006859B1">
        <w:rPr>
          <w:rFonts w:hint="eastAsia"/>
          <w:color w:val="000000"/>
          <w:spacing w:val="2"/>
          <w:szCs w:val="28"/>
          <w:lang w:val="en-GB"/>
        </w:rPr>
        <w:t>制。</w:t>
      </w:r>
      <w:r w:rsidRPr="006859B1">
        <w:rPr>
          <w:rFonts w:hint="eastAsia"/>
          <w:color w:val="000000"/>
          <w:szCs w:val="28"/>
          <w:lang w:val="en-GB"/>
        </w:rPr>
        <w:t>例如，勞工處舉辦研討會，鼓勵僱主與僱員或其組織溝通及維持良性互動，亦製作報章專輯以推廣不同機構有效勞資溝通措施的成功例子，個案亦結集成書，並廣泛派發以推動勞資雙方建立適切的溝通模式和機制。</w:t>
      </w:r>
    </w:p>
    <w:p w:rsidR="006859B1" w:rsidRDefault="006859B1" w:rsidP="006859B1">
      <w:pPr>
        <w:tabs>
          <w:tab w:val="left" w:pos="1440"/>
        </w:tabs>
        <w:snapToGrid w:val="0"/>
        <w:spacing w:line="400" w:lineRule="atLeast"/>
        <w:ind w:right="32"/>
        <w:jc w:val="both"/>
        <w:rPr>
          <w:color w:val="000000"/>
          <w:szCs w:val="28"/>
          <w:lang w:val="en-GB"/>
        </w:rPr>
      </w:pPr>
    </w:p>
    <w:p w:rsidR="006859B1" w:rsidRPr="00665152" w:rsidRDefault="006859B1" w:rsidP="006859B1">
      <w:pPr>
        <w:tabs>
          <w:tab w:val="left" w:pos="1440"/>
        </w:tabs>
        <w:snapToGrid w:val="0"/>
        <w:spacing w:line="400" w:lineRule="atLeast"/>
        <w:ind w:right="32"/>
        <w:jc w:val="both"/>
        <w:rPr>
          <w:color w:val="000000"/>
          <w:szCs w:val="28"/>
          <w:lang w:val="en-GB"/>
        </w:rPr>
      </w:pPr>
      <w:r>
        <w:rPr>
          <w:rFonts w:hint="eastAsia"/>
          <w:color w:val="000000"/>
          <w:szCs w:val="28"/>
          <w:lang w:val="en-GB"/>
        </w:rPr>
        <w:t>3.</w:t>
      </w:r>
      <w:r>
        <w:rPr>
          <w:rFonts w:hint="eastAsia"/>
          <w:color w:val="000000"/>
          <w:szCs w:val="28"/>
          <w:lang w:val="en-GB"/>
        </w:rPr>
        <w:tab/>
      </w:r>
      <w:r w:rsidRPr="00665152">
        <w:rPr>
          <w:rFonts w:hint="eastAsia"/>
          <w:color w:val="000000"/>
          <w:szCs w:val="28"/>
          <w:lang w:val="en-GB"/>
        </w:rPr>
        <w:t>勞工處會繼續舉辦不同的推廣活動，鼓勵僱主及人力資源從業員在企業層面採納良好人事管理措施，並與僱員或其組織保持有效溝通。勞工處亦會繼續與僱主及僱員組織保持聯繫，以助締造有利於僱主及僱員進行自願及直接協商的環境和氛圍，並加深了解自願協商的好處。</w:t>
      </w:r>
    </w:p>
    <w:p w:rsidR="006859B1" w:rsidRDefault="006859B1" w:rsidP="008375BB">
      <w:pPr>
        <w:jc w:val="both"/>
        <w:rPr>
          <w:rFonts w:cs="Times New Roman"/>
          <w:szCs w:val="28"/>
          <w:lang w:val="en-GB"/>
        </w:rPr>
        <w:sectPr w:rsidR="006859B1" w:rsidSect="006859B1">
          <w:footerReference w:type="default" r:id="rId37"/>
          <w:pgSz w:w="11906" w:h="16838"/>
          <w:pgMar w:top="1440" w:right="1800" w:bottom="1440" w:left="1800" w:header="720" w:footer="720" w:gutter="0"/>
          <w:pgNumType w:start="1"/>
          <w:cols w:space="425"/>
          <w:docGrid w:type="lines" w:linePitch="381"/>
        </w:sectPr>
      </w:pPr>
    </w:p>
    <w:p w:rsidR="002D083A" w:rsidRDefault="002D083A" w:rsidP="002D083A">
      <w:pPr>
        <w:snapToGrid w:val="0"/>
        <w:spacing w:line="400" w:lineRule="atLeast"/>
        <w:jc w:val="right"/>
        <w:rPr>
          <w:rFonts w:cs="Times New Roman"/>
          <w:b/>
          <w:szCs w:val="28"/>
        </w:rPr>
      </w:pPr>
      <w:r w:rsidRPr="003D5980">
        <w:rPr>
          <w:rFonts w:cs="Times New Roman"/>
          <w:b/>
          <w:szCs w:val="28"/>
          <w:lang w:eastAsia="zh-HK"/>
        </w:rPr>
        <w:lastRenderedPageBreak/>
        <w:t>附件</w:t>
      </w:r>
      <w:r w:rsidRPr="003D5980">
        <w:rPr>
          <w:rFonts w:cs="Times New Roman"/>
          <w:b/>
          <w:szCs w:val="28"/>
        </w:rPr>
        <w:t>9A</w:t>
      </w:r>
    </w:p>
    <w:p w:rsidR="002D083A" w:rsidRDefault="002D083A" w:rsidP="002D083A">
      <w:pPr>
        <w:snapToGrid w:val="0"/>
        <w:spacing w:line="400" w:lineRule="atLeast"/>
        <w:jc w:val="right"/>
        <w:rPr>
          <w:rFonts w:cs="Times New Roman"/>
          <w:b/>
          <w:szCs w:val="28"/>
        </w:rPr>
      </w:pPr>
    </w:p>
    <w:p w:rsidR="002D083A" w:rsidRDefault="002D083A" w:rsidP="002D083A">
      <w:pPr>
        <w:snapToGrid w:val="0"/>
        <w:spacing w:line="400" w:lineRule="atLeast"/>
        <w:jc w:val="center"/>
        <w:rPr>
          <w:b/>
          <w:szCs w:val="28"/>
          <w:lang w:val="en-GB"/>
        </w:rPr>
      </w:pPr>
      <w:r w:rsidRPr="003D5980">
        <w:rPr>
          <w:rFonts w:hint="eastAsia"/>
          <w:b/>
          <w:szCs w:val="28"/>
          <w:lang w:val="en-GB"/>
        </w:rPr>
        <w:t>綜合社會保障援助計劃</w:t>
      </w:r>
    </w:p>
    <w:p w:rsidR="002D083A" w:rsidRDefault="002D083A" w:rsidP="002D083A">
      <w:pPr>
        <w:snapToGrid w:val="0"/>
        <w:spacing w:line="400" w:lineRule="atLeast"/>
        <w:jc w:val="center"/>
        <w:rPr>
          <w:b/>
          <w:szCs w:val="28"/>
          <w:lang w:val="en-GB"/>
        </w:rPr>
      </w:pPr>
      <w:r>
        <w:rPr>
          <w:rFonts w:hint="eastAsia"/>
          <w:b/>
          <w:szCs w:val="28"/>
          <w:lang w:val="en-GB" w:eastAsia="zh-HK"/>
        </w:rPr>
        <w:t>最新情</w:t>
      </w:r>
      <w:r>
        <w:rPr>
          <w:rFonts w:hint="eastAsia"/>
          <w:b/>
          <w:szCs w:val="28"/>
          <w:lang w:val="en-GB"/>
        </w:rPr>
        <w:t>況</w:t>
      </w:r>
    </w:p>
    <w:p w:rsidR="002D083A" w:rsidRDefault="002D083A" w:rsidP="002D083A">
      <w:pPr>
        <w:snapToGrid w:val="0"/>
        <w:spacing w:line="400" w:lineRule="atLeast"/>
        <w:jc w:val="center"/>
        <w:rPr>
          <w:b/>
          <w:szCs w:val="28"/>
          <w:lang w:val="en-GB"/>
        </w:rPr>
      </w:pPr>
    </w:p>
    <w:p w:rsidR="002D083A" w:rsidRPr="003D5980" w:rsidRDefault="002D083A" w:rsidP="002D083A">
      <w:pPr>
        <w:tabs>
          <w:tab w:val="left" w:pos="1440"/>
        </w:tabs>
        <w:snapToGrid w:val="0"/>
        <w:spacing w:line="400" w:lineRule="atLeast"/>
        <w:contextualSpacing/>
        <w:jc w:val="both"/>
        <w:rPr>
          <w:rFonts w:cs="Times New Roman"/>
          <w:szCs w:val="28"/>
        </w:rPr>
      </w:pPr>
      <w:r>
        <w:rPr>
          <w:rFonts w:cs="Times New Roman" w:hint="eastAsia"/>
          <w:szCs w:val="28"/>
        </w:rPr>
        <w:t>1.</w:t>
      </w:r>
      <w:r w:rsidRPr="003D5980">
        <w:rPr>
          <w:rFonts w:cs="Times New Roman" w:hint="eastAsia"/>
          <w:szCs w:val="28"/>
        </w:rPr>
        <w:tab/>
      </w:r>
      <w:r w:rsidRPr="003D5980">
        <w:rPr>
          <w:rFonts w:cs="Times New Roman" w:hint="eastAsia"/>
          <w:szCs w:val="28"/>
        </w:rPr>
        <w:t>截至</w:t>
      </w:r>
      <w:r w:rsidRPr="003D5980">
        <w:rPr>
          <w:rFonts w:cs="Times New Roman" w:hint="eastAsia"/>
          <w:szCs w:val="28"/>
        </w:rPr>
        <w:t>2018</w:t>
      </w:r>
      <w:r w:rsidRPr="003D5980">
        <w:rPr>
          <w:rFonts w:cs="Times New Roman" w:hint="eastAsia"/>
          <w:szCs w:val="28"/>
        </w:rPr>
        <w:t>年</w:t>
      </w:r>
      <w:r w:rsidRPr="003D5980">
        <w:rPr>
          <w:rFonts w:cs="Times New Roman" w:hint="eastAsia"/>
          <w:szCs w:val="28"/>
        </w:rPr>
        <w:t>12</w:t>
      </w:r>
      <w:r w:rsidRPr="003D5980">
        <w:rPr>
          <w:rFonts w:cs="Times New Roman" w:hint="eastAsia"/>
          <w:szCs w:val="28"/>
        </w:rPr>
        <w:t>月底，約有</w:t>
      </w:r>
      <w:r w:rsidRPr="003D5980">
        <w:rPr>
          <w:rFonts w:cs="Times New Roman" w:hint="eastAsia"/>
          <w:szCs w:val="28"/>
        </w:rPr>
        <w:t>230</w:t>
      </w:r>
      <w:r w:rsidRPr="003D5980">
        <w:rPr>
          <w:rFonts w:cs="Times New Roman"/>
          <w:szCs w:val="28"/>
        </w:rPr>
        <w:t> </w:t>
      </w:r>
      <w:r w:rsidRPr="003D5980">
        <w:rPr>
          <w:rFonts w:cs="Times New Roman" w:hint="eastAsia"/>
          <w:szCs w:val="28"/>
        </w:rPr>
        <w:t>000</w:t>
      </w:r>
      <w:r w:rsidRPr="003D5980">
        <w:rPr>
          <w:rFonts w:cs="Times New Roman" w:hint="eastAsia"/>
          <w:szCs w:val="28"/>
        </w:rPr>
        <w:t>個住戶（涉及</w:t>
      </w:r>
      <w:r w:rsidRPr="003D5980">
        <w:rPr>
          <w:rFonts w:cs="Times New Roman" w:hint="eastAsia"/>
          <w:szCs w:val="28"/>
        </w:rPr>
        <w:t>320</w:t>
      </w:r>
      <w:r w:rsidRPr="003D5980">
        <w:rPr>
          <w:rFonts w:cs="Times New Roman"/>
          <w:szCs w:val="28"/>
        </w:rPr>
        <w:t> </w:t>
      </w:r>
      <w:r w:rsidRPr="003D5980">
        <w:rPr>
          <w:rFonts w:cs="Times New Roman" w:hint="eastAsia"/>
          <w:szCs w:val="28"/>
        </w:rPr>
        <w:t>000</w:t>
      </w:r>
      <w:r w:rsidRPr="003D5980">
        <w:rPr>
          <w:rFonts w:cs="Times New Roman" w:hint="eastAsia"/>
          <w:szCs w:val="28"/>
        </w:rPr>
        <w:t>人）在綜援計劃下獲得支援。在</w:t>
      </w:r>
      <w:r w:rsidRPr="003D5980">
        <w:rPr>
          <w:rFonts w:cs="Times New Roman" w:hint="eastAsia"/>
          <w:szCs w:val="28"/>
        </w:rPr>
        <w:t>2018-19</w:t>
      </w:r>
      <w:r w:rsidRPr="003D5980">
        <w:rPr>
          <w:rFonts w:cs="Times New Roman" w:hint="eastAsia"/>
          <w:szCs w:val="28"/>
        </w:rPr>
        <w:t>年度，綜援計劃的預計經常開支約為</w:t>
      </w:r>
      <w:r w:rsidRPr="003D5980">
        <w:rPr>
          <w:rFonts w:cs="Times New Roman" w:hint="eastAsia"/>
          <w:szCs w:val="28"/>
        </w:rPr>
        <w:t>200</w:t>
      </w:r>
      <w:r w:rsidRPr="003D5980">
        <w:rPr>
          <w:rFonts w:cs="Times New Roman" w:hint="eastAsia"/>
          <w:szCs w:val="28"/>
        </w:rPr>
        <w:t>億元。在所有的住戶人數組別當中，綜援個案的平均每月金額都較最低支出</w:t>
      </w:r>
      <w:r w:rsidRPr="003D5980">
        <w:rPr>
          <w:rFonts w:cs="Times New Roman" w:hint="eastAsia"/>
          <w:szCs w:val="28"/>
        </w:rPr>
        <w:t>25%</w:t>
      </w:r>
      <w:r w:rsidRPr="003D5980">
        <w:rPr>
          <w:rFonts w:cs="Times New Roman" w:hint="eastAsia"/>
          <w:szCs w:val="28"/>
        </w:rPr>
        <w:t>的非綜援住戶的支出為高。舉例來說，單人住戶的平均綜援金額為</w:t>
      </w:r>
      <w:r w:rsidRPr="003D5980">
        <w:rPr>
          <w:rFonts w:cs="Times New Roman" w:hint="eastAsia"/>
          <w:szCs w:val="28"/>
        </w:rPr>
        <w:t>$6,394</w:t>
      </w:r>
      <w:r w:rsidRPr="003D5980">
        <w:rPr>
          <w:rFonts w:cs="Times New Roman" w:hint="eastAsia"/>
          <w:szCs w:val="28"/>
        </w:rPr>
        <w:t>元，而四人家庭的金額則為</w:t>
      </w:r>
      <w:r w:rsidRPr="003D5980">
        <w:rPr>
          <w:rFonts w:cs="Times New Roman" w:hint="eastAsia"/>
          <w:szCs w:val="28"/>
        </w:rPr>
        <w:t>$15,182</w:t>
      </w:r>
      <w:r w:rsidRPr="003D5980">
        <w:rPr>
          <w:rFonts w:cs="Times New Roman" w:hint="eastAsia"/>
          <w:szCs w:val="28"/>
        </w:rPr>
        <w:t>元。</w:t>
      </w:r>
    </w:p>
    <w:p w:rsidR="002D083A" w:rsidRPr="003D5980" w:rsidRDefault="002D083A" w:rsidP="002D083A">
      <w:pPr>
        <w:tabs>
          <w:tab w:val="left" w:pos="1440"/>
        </w:tabs>
        <w:snapToGrid w:val="0"/>
        <w:spacing w:line="400" w:lineRule="atLeast"/>
        <w:contextualSpacing/>
        <w:jc w:val="both"/>
        <w:rPr>
          <w:rFonts w:cs="Times New Roman"/>
          <w:szCs w:val="28"/>
        </w:rPr>
      </w:pPr>
    </w:p>
    <w:p w:rsidR="002D083A" w:rsidRPr="003D5980" w:rsidRDefault="002D083A" w:rsidP="002D083A">
      <w:pPr>
        <w:tabs>
          <w:tab w:val="left" w:pos="1440"/>
        </w:tabs>
        <w:snapToGrid w:val="0"/>
        <w:spacing w:line="400" w:lineRule="atLeast"/>
        <w:contextualSpacing/>
        <w:jc w:val="both"/>
        <w:rPr>
          <w:rFonts w:cs="Times New Roman"/>
          <w:szCs w:val="28"/>
        </w:rPr>
      </w:pPr>
      <w:r>
        <w:rPr>
          <w:rFonts w:cs="Times New Roman" w:hint="eastAsia"/>
          <w:szCs w:val="28"/>
        </w:rPr>
        <w:t>2.</w:t>
      </w:r>
      <w:r w:rsidRPr="003D5980">
        <w:rPr>
          <w:rFonts w:cs="Times New Roman" w:hint="eastAsia"/>
          <w:szCs w:val="28"/>
        </w:rPr>
        <w:tab/>
      </w:r>
      <w:r w:rsidRPr="003D5980">
        <w:rPr>
          <w:rFonts w:cs="Times New Roman" w:hint="eastAsia"/>
          <w:szCs w:val="28"/>
        </w:rPr>
        <w:t>值得注意的是，整體綜援個案的數字已下跌至</w:t>
      </w:r>
      <w:r w:rsidRPr="003D5980">
        <w:rPr>
          <w:rFonts w:cs="Times New Roman" w:hint="eastAsia"/>
          <w:szCs w:val="28"/>
        </w:rPr>
        <w:t>2000</w:t>
      </w:r>
      <w:r w:rsidRPr="003D5980">
        <w:rPr>
          <w:rFonts w:cs="Times New Roman" w:hint="eastAsia"/>
          <w:szCs w:val="28"/>
        </w:rPr>
        <w:t>年以來的新低。其中，失業綜援及低收入綜援的個案宗數分別為</w:t>
      </w:r>
      <w:r w:rsidRPr="003D5980">
        <w:rPr>
          <w:rFonts w:cs="Times New Roman" w:hint="eastAsia"/>
          <w:szCs w:val="28"/>
        </w:rPr>
        <w:t>1996</w:t>
      </w:r>
      <w:r w:rsidRPr="003D5980">
        <w:rPr>
          <w:rFonts w:cs="Times New Roman" w:hint="eastAsia"/>
          <w:szCs w:val="28"/>
        </w:rPr>
        <w:t>及</w:t>
      </w:r>
      <w:r w:rsidRPr="003D5980">
        <w:rPr>
          <w:rFonts w:cs="Times New Roman" w:hint="eastAsia"/>
          <w:szCs w:val="28"/>
        </w:rPr>
        <w:t>1997</w:t>
      </w:r>
      <w:r w:rsidRPr="003D5980">
        <w:rPr>
          <w:rFonts w:cs="Times New Roman" w:hint="eastAsia"/>
          <w:szCs w:val="28"/>
        </w:rPr>
        <w:t>年以來的低位，且較其相應的歷史高位減少八成。上述趨勢一方面可歸因於香港近年的經濟情況及持續低的失業率，另一方面亦反映了香港人自力更生的精神。與此同時，我們注意到即使香港人口正急劇高齡化，長者綜援的個案宗數仍有所下跌。在過去五年，相關跌幅約為</w:t>
      </w:r>
      <w:r w:rsidRPr="003D5980">
        <w:rPr>
          <w:rFonts w:cs="Times New Roman" w:hint="eastAsia"/>
          <w:szCs w:val="28"/>
        </w:rPr>
        <w:t>6%</w:t>
      </w:r>
      <w:r w:rsidRPr="003D5980">
        <w:rPr>
          <w:rFonts w:cs="Times New Roman" w:hint="eastAsia"/>
          <w:szCs w:val="28"/>
        </w:rPr>
        <w:t>。除整體經濟因素外，這亦與近年推出／優化各項針對長者的現金援助計劃有關，使他們能夠按其個人情況選擇申請綜援以外的各項津貼及計劃。</w:t>
      </w:r>
    </w:p>
    <w:p w:rsidR="002D083A" w:rsidRDefault="002D083A" w:rsidP="008375BB">
      <w:pPr>
        <w:jc w:val="both"/>
        <w:rPr>
          <w:rFonts w:cs="Times New Roman"/>
          <w:szCs w:val="28"/>
        </w:rPr>
        <w:sectPr w:rsidR="002D083A" w:rsidSect="002D083A">
          <w:footerReference w:type="default" r:id="rId38"/>
          <w:pgSz w:w="11906" w:h="16838"/>
          <w:pgMar w:top="1440" w:right="1800" w:bottom="1440" w:left="1800" w:header="720" w:footer="720" w:gutter="0"/>
          <w:pgNumType w:start="1"/>
          <w:cols w:space="425"/>
          <w:docGrid w:type="lines" w:linePitch="381"/>
        </w:sectPr>
      </w:pPr>
    </w:p>
    <w:p w:rsidR="00002E2E" w:rsidRDefault="00002E2E" w:rsidP="00002E2E">
      <w:pPr>
        <w:snapToGrid w:val="0"/>
        <w:spacing w:line="400" w:lineRule="atLeast"/>
        <w:jc w:val="right"/>
        <w:rPr>
          <w:rFonts w:cs="Times New Roman"/>
          <w:b/>
          <w:szCs w:val="28"/>
        </w:rPr>
      </w:pPr>
      <w:r w:rsidRPr="00FE02DA">
        <w:rPr>
          <w:rFonts w:cs="Times New Roman"/>
          <w:b/>
          <w:szCs w:val="28"/>
          <w:lang w:eastAsia="zh-HK"/>
        </w:rPr>
        <w:lastRenderedPageBreak/>
        <w:t>附件</w:t>
      </w:r>
      <w:r w:rsidRPr="00FE02DA">
        <w:rPr>
          <w:rFonts w:cs="Times New Roman"/>
          <w:b/>
          <w:szCs w:val="28"/>
        </w:rPr>
        <w:t>9</w:t>
      </w:r>
      <w:r>
        <w:rPr>
          <w:rFonts w:cs="Times New Roman"/>
          <w:b/>
          <w:szCs w:val="28"/>
        </w:rPr>
        <w:t>B</w:t>
      </w:r>
    </w:p>
    <w:p w:rsidR="00002E2E" w:rsidRDefault="00002E2E" w:rsidP="00002E2E">
      <w:pPr>
        <w:snapToGrid w:val="0"/>
        <w:spacing w:line="400" w:lineRule="atLeast"/>
        <w:jc w:val="right"/>
        <w:rPr>
          <w:rFonts w:cs="Times New Roman"/>
          <w:b/>
          <w:szCs w:val="28"/>
        </w:rPr>
      </w:pPr>
    </w:p>
    <w:p w:rsidR="00002E2E" w:rsidRDefault="00002E2E" w:rsidP="00002E2E">
      <w:pPr>
        <w:snapToGrid w:val="0"/>
        <w:spacing w:line="400" w:lineRule="atLeast"/>
        <w:jc w:val="center"/>
        <w:rPr>
          <w:b/>
          <w:szCs w:val="28"/>
        </w:rPr>
      </w:pPr>
      <w:r w:rsidRPr="00FE02DA">
        <w:rPr>
          <w:rFonts w:hint="eastAsia"/>
          <w:b/>
          <w:szCs w:val="28"/>
        </w:rPr>
        <w:t>公共福利金計劃</w:t>
      </w:r>
      <w:r>
        <w:rPr>
          <w:rFonts w:hint="eastAsia"/>
          <w:b/>
          <w:szCs w:val="28"/>
          <w:lang w:eastAsia="zh-HK"/>
        </w:rPr>
        <w:t>下的津</w:t>
      </w:r>
      <w:r>
        <w:rPr>
          <w:rFonts w:hint="eastAsia"/>
          <w:b/>
          <w:szCs w:val="28"/>
        </w:rPr>
        <w:t>貼</w:t>
      </w:r>
    </w:p>
    <w:p w:rsidR="00002E2E" w:rsidRDefault="00002E2E" w:rsidP="00002E2E">
      <w:pPr>
        <w:snapToGrid w:val="0"/>
        <w:spacing w:line="400" w:lineRule="atLeast"/>
        <w:jc w:val="center"/>
        <w:rPr>
          <w:b/>
          <w:szCs w:val="28"/>
        </w:rPr>
      </w:pPr>
    </w:p>
    <w:p w:rsidR="00002E2E" w:rsidRPr="00FE02DA" w:rsidRDefault="00002E2E" w:rsidP="00002E2E">
      <w:pPr>
        <w:tabs>
          <w:tab w:val="left" w:pos="1440"/>
        </w:tabs>
        <w:snapToGrid w:val="0"/>
        <w:spacing w:line="400" w:lineRule="atLeast"/>
        <w:jc w:val="both"/>
        <w:rPr>
          <w:rFonts w:cs="Times New Roman"/>
          <w:szCs w:val="28"/>
        </w:rPr>
      </w:pPr>
      <w:r>
        <w:rPr>
          <w:rFonts w:cs="Times New Roman"/>
          <w:szCs w:val="28"/>
        </w:rPr>
        <w:t>1.</w:t>
      </w:r>
      <w:r w:rsidRPr="00FE02DA">
        <w:rPr>
          <w:rFonts w:cs="Times New Roman" w:hint="eastAsia"/>
          <w:szCs w:val="28"/>
        </w:rPr>
        <w:tab/>
      </w:r>
      <w:r w:rsidRPr="00FE02DA">
        <w:rPr>
          <w:rFonts w:cs="Times New Roman" w:hint="eastAsia"/>
          <w:szCs w:val="28"/>
        </w:rPr>
        <w:t>於</w:t>
      </w:r>
      <w:r w:rsidRPr="00FE02DA">
        <w:rPr>
          <w:rFonts w:cs="Times New Roman" w:hint="eastAsia"/>
          <w:szCs w:val="28"/>
        </w:rPr>
        <w:t>1973</w:t>
      </w:r>
      <w:r w:rsidRPr="00FE02DA">
        <w:rPr>
          <w:rFonts w:cs="Times New Roman" w:hint="eastAsia"/>
          <w:szCs w:val="28"/>
        </w:rPr>
        <w:t>年推出的高齡津貼及傷殘津貼均不設經濟審查，分別旨在協助</w:t>
      </w:r>
      <w:r w:rsidRPr="00FE02DA">
        <w:rPr>
          <w:rFonts w:cs="Times New Roman" w:hint="eastAsia"/>
          <w:szCs w:val="28"/>
        </w:rPr>
        <w:t>70</w:t>
      </w:r>
      <w:r w:rsidRPr="00FE02DA">
        <w:rPr>
          <w:rFonts w:cs="Times New Roman" w:hint="eastAsia"/>
          <w:szCs w:val="28"/>
        </w:rPr>
        <w:t>歲或以上的長者及嚴重殘疾人士應付其特別需要。截至</w:t>
      </w:r>
      <w:r w:rsidRPr="00FE02DA">
        <w:rPr>
          <w:rFonts w:cs="Times New Roman" w:hint="eastAsia"/>
          <w:szCs w:val="28"/>
        </w:rPr>
        <w:t>2018</w:t>
      </w:r>
      <w:r w:rsidRPr="00FE02DA">
        <w:rPr>
          <w:rFonts w:cs="Times New Roman" w:hint="eastAsia"/>
          <w:szCs w:val="28"/>
        </w:rPr>
        <w:t>年</w:t>
      </w:r>
      <w:r w:rsidRPr="00FE02DA">
        <w:rPr>
          <w:rFonts w:cs="Times New Roman" w:hint="eastAsia"/>
          <w:szCs w:val="28"/>
        </w:rPr>
        <w:t>12</w:t>
      </w:r>
      <w:r w:rsidRPr="00FE02DA">
        <w:rPr>
          <w:rFonts w:cs="Times New Roman" w:hint="eastAsia"/>
          <w:szCs w:val="28"/>
        </w:rPr>
        <w:t>月底，分別約有</w:t>
      </w:r>
      <w:r w:rsidRPr="00FE02DA">
        <w:rPr>
          <w:rFonts w:cs="Times New Roman" w:hint="eastAsia"/>
          <w:szCs w:val="28"/>
        </w:rPr>
        <w:t>250</w:t>
      </w:r>
      <w:r w:rsidRPr="00FE02DA">
        <w:rPr>
          <w:rFonts w:cs="Times New Roman"/>
          <w:szCs w:val="28"/>
        </w:rPr>
        <w:t> </w:t>
      </w:r>
      <w:r w:rsidRPr="00FE02DA">
        <w:rPr>
          <w:rFonts w:cs="Times New Roman" w:hint="eastAsia"/>
          <w:szCs w:val="28"/>
        </w:rPr>
        <w:t>000</w:t>
      </w:r>
      <w:r w:rsidRPr="00FE02DA">
        <w:rPr>
          <w:rFonts w:cs="Times New Roman" w:hint="eastAsia"/>
          <w:szCs w:val="28"/>
        </w:rPr>
        <w:t>及</w:t>
      </w:r>
      <w:r w:rsidRPr="00FE02DA">
        <w:rPr>
          <w:rFonts w:cs="Times New Roman" w:hint="eastAsia"/>
          <w:szCs w:val="28"/>
        </w:rPr>
        <w:t>150</w:t>
      </w:r>
      <w:r w:rsidRPr="00FE02DA">
        <w:rPr>
          <w:rFonts w:cs="Times New Roman"/>
          <w:szCs w:val="28"/>
        </w:rPr>
        <w:t> </w:t>
      </w:r>
      <w:r w:rsidRPr="00FE02DA">
        <w:rPr>
          <w:rFonts w:cs="Times New Roman" w:hint="eastAsia"/>
          <w:szCs w:val="28"/>
        </w:rPr>
        <w:t>000</w:t>
      </w:r>
      <w:r w:rsidRPr="00FE02DA">
        <w:rPr>
          <w:rFonts w:cs="Times New Roman" w:hint="eastAsia"/>
          <w:szCs w:val="28"/>
        </w:rPr>
        <w:t>人領取高齡津貼（現時每月款額為</w:t>
      </w:r>
      <w:r w:rsidRPr="00FE02DA">
        <w:rPr>
          <w:rFonts w:cs="Times New Roman" w:hint="eastAsia"/>
          <w:szCs w:val="28"/>
        </w:rPr>
        <w:t>1,385</w:t>
      </w:r>
      <w:r w:rsidRPr="00FE02DA">
        <w:rPr>
          <w:rFonts w:cs="Times New Roman" w:hint="eastAsia"/>
          <w:szCs w:val="28"/>
        </w:rPr>
        <w:t>元）及傷殘津貼（現時普通傷殘津貼的每月款額為</w:t>
      </w:r>
      <w:r w:rsidRPr="00FE02DA">
        <w:rPr>
          <w:rFonts w:cs="Times New Roman" w:hint="eastAsia"/>
          <w:szCs w:val="28"/>
        </w:rPr>
        <w:t>1,770</w:t>
      </w:r>
      <w:r w:rsidRPr="00FE02DA">
        <w:rPr>
          <w:rFonts w:cs="Times New Roman" w:hint="eastAsia"/>
          <w:szCs w:val="28"/>
        </w:rPr>
        <w:t>元；而高額傷殘津貼的每月款額則為</w:t>
      </w:r>
      <w:r w:rsidRPr="00FE02DA">
        <w:rPr>
          <w:rFonts w:cs="Times New Roman" w:hint="eastAsia"/>
          <w:szCs w:val="28"/>
        </w:rPr>
        <w:t>3,540</w:t>
      </w:r>
      <w:r w:rsidRPr="00FE02DA">
        <w:rPr>
          <w:rFonts w:cs="Times New Roman" w:hint="eastAsia"/>
          <w:szCs w:val="28"/>
        </w:rPr>
        <w:t>元）。</w:t>
      </w:r>
    </w:p>
    <w:p w:rsidR="00002E2E" w:rsidRPr="00FE02DA" w:rsidRDefault="00002E2E" w:rsidP="00002E2E">
      <w:pPr>
        <w:tabs>
          <w:tab w:val="left" w:pos="1440"/>
        </w:tabs>
        <w:snapToGrid w:val="0"/>
        <w:spacing w:line="400" w:lineRule="atLeast"/>
        <w:jc w:val="both"/>
        <w:rPr>
          <w:rFonts w:cs="Times New Roman"/>
          <w:szCs w:val="28"/>
        </w:rPr>
      </w:pPr>
    </w:p>
    <w:p w:rsidR="00002E2E" w:rsidRPr="00FE02DA" w:rsidRDefault="00002E2E" w:rsidP="00002E2E">
      <w:pPr>
        <w:tabs>
          <w:tab w:val="left" w:pos="1440"/>
        </w:tabs>
        <w:snapToGrid w:val="0"/>
        <w:spacing w:line="400" w:lineRule="atLeast"/>
        <w:jc w:val="both"/>
        <w:rPr>
          <w:rFonts w:cs="Times New Roman"/>
          <w:szCs w:val="28"/>
        </w:rPr>
      </w:pPr>
      <w:r>
        <w:rPr>
          <w:rFonts w:cs="Times New Roman"/>
          <w:szCs w:val="28"/>
        </w:rPr>
        <w:t>2.</w:t>
      </w:r>
      <w:r w:rsidRPr="00FE02DA">
        <w:rPr>
          <w:rFonts w:cs="Times New Roman"/>
          <w:szCs w:val="28"/>
        </w:rPr>
        <w:tab/>
      </w:r>
      <w:r w:rsidRPr="00FE02DA">
        <w:rPr>
          <w:rFonts w:cs="Times New Roman" w:hint="eastAsia"/>
          <w:szCs w:val="28"/>
        </w:rPr>
        <w:t>自</w:t>
      </w:r>
      <w:r w:rsidRPr="00FE02DA">
        <w:rPr>
          <w:rFonts w:cs="Times New Roman"/>
          <w:szCs w:val="28"/>
        </w:rPr>
        <w:t>2013</w:t>
      </w:r>
      <w:r w:rsidRPr="00FE02DA">
        <w:rPr>
          <w:rFonts w:cs="Times New Roman" w:hint="eastAsia"/>
          <w:szCs w:val="28"/>
        </w:rPr>
        <w:t>年起，政府就公共福利金計劃推出了一系列新措施，以照顧年長市民的特別需要。在</w:t>
      </w:r>
      <w:r w:rsidRPr="00FE02DA">
        <w:rPr>
          <w:rFonts w:cs="Times New Roman"/>
          <w:szCs w:val="28"/>
        </w:rPr>
        <w:t>2013</w:t>
      </w:r>
      <w:r w:rsidRPr="00FE02DA">
        <w:rPr>
          <w:rFonts w:cs="Times New Roman" w:hint="eastAsia"/>
          <w:szCs w:val="28"/>
        </w:rPr>
        <w:t>年，政府推出了普通長者生活津貼，以補助</w:t>
      </w:r>
      <w:r w:rsidRPr="00FE02DA">
        <w:rPr>
          <w:rFonts w:cs="Times New Roman"/>
          <w:szCs w:val="28"/>
        </w:rPr>
        <w:t>65</w:t>
      </w:r>
      <w:r w:rsidRPr="00FE02DA">
        <w:rPr>
          <w:rFonts w:cs="Times New Roman" w:hint="eastAsia"/>
          <w:szCs w:val="28"/>
        </w:rPr>
        <w:t>歲或以上有經濟需要長者的生活開支。在</w:t>
      </w:r>
      <w:r w:rsidRPr="00FE02DA">
        <w:rPr>
          <w:rFonts w:cs="Times New Roman"/>
          <w:szCs w:val="28"/>
        </w:rPr>
        <w:t>2018</w:t>
      </w:r>
      <w:r w:rsidRPr="00FE02DA">
        <w:rPr>
          <w:rFonts w:cs="Times New Roman" w:hint="eastAsia"/>
          <w:szCs w:val="28"/>
        </w:rPr>
        <w:t>年，政府推出了高額長者生活津貼，向較有經濟需要長者提供一層較高額援助。就此，高額長者生活津貼已成為最多</w:t>
      </w:r>
      <w:r w:rsidRPr="00FE02DA">
        <w:rPr>
          <w:rFonts w:cs="Times New Roman"/>
          <w:szCs w:val="28"/>
        </w:rPr>
        <w:t>65</w:t>
      </w:r>
      <w:r w:rsidRPr="00FE02DA">
        <w:rPr>
          <w:rFonts w:cs="Times New Roman" w:hint="eastAsia"/>
          <w:szCs w:val="28"/>
        </w:rPr>
        <w:t>歲或以上長者領取的社會保障。截至</w:t>
      </w:r>
      <w:r w:rsidRPr="00FE02DA">
        <w:rPr>
          <w:rFonts w:cs="Times New Roman"/>
          <w:szCs w:val="28"/>
        </w:rPr>
        <w:t>2018</w:t>
      </w:r>
      <w:r w:rsidRPr="00FE02DA">
        <w:rPr>
          <w:rFonts w:cs="Times New Roman" w:hint="eastAsia"/>
          <w:szCs w:val="28"/>
        </w:rPr>
        <w:t>年</w:t>
      </w:r>
      <w:r w:rsidRPr="00FE02DA">
        <w:rPr>
          <w:rFonts w:cs="Times New Roman"/>
          <w:szCs w:val="28"/>
        </w:rPr>
        <w:t>12</w:t>
      </w:r>
      <w:r w:rsidRPr="00FE02DA">
        <w:rPr>
          <w:rFonts w:cs="Times New Roman" w:hint="eastAsia"/>
          <w:szCs w:val="28"/>
        </w:rPr>
        <w:t>月底，約有</w:t>
      </w:r>
      <w:r w:rsidRPr="00FE02DA">
        <w:rPr>
          <w:rFonts w:cs="Times New Roman"/>
          <w:szCs w:val="28"/>
        </w:rPr>
        <w:t>48</w:t>
      </w:r>
      <w:r w:rsidRPr="00FE02DA">
        <w:rPr>
          <w:rFonts w:cs="Times New Roman" w:hint="eastAsia"/>
          <w:szCs w:val="28"/>
        </w:rPr>
        <w:t>萬名長者領取現時每月</w:t>
      </w:r>
      <w:r w:rsidRPr="00FE02DA">
        <w:rPr>
          <w:rFonts w:cs="Times New Roman"/>
          <w:szCs w:val="28"/>
        </w:rPr>
        <w:t>3,585</w:t>
      </w:r>
      <w:r w:rsidRPr="00FE02DA">
        <w:rPr>
          <w:rFonts w:cs="Times New Roman" w:hint="eastAsia"/>
          <w:szCs w:val="28"/>
        </w:rPr>
        <w:t>元的高額津貼。計及現時每月</w:t>
      </w:r>
      <w:r w:rsidRPr="00FE02DA">
        <w:rPr>
          <w:rFonts w:cs="Times New Roman"/>
          <w:szCs w:val="28"/>
        </w:rPr>
        <w:t>2,675</w:t>
      </w:r>
      <w:r w:rsidRPr="00FE02DA">
        <w:rPr>
          <w:rFonts w:cs="Times New Roman" w:hint="eastAsia"/>
          <w:szCs w:val="28"/>
        </w:rPr>
        <w:t>元的普通長者生活津貼下約六萬名受惠人，整個長者生活津貼計劃覆蓋約</w:t>
      </w:r>
      <w:r w:rsidRPr="00FE02DA">
        <w:rPr>
          <w:rFonts w:cs="Times New Roman"/>
          <w:szCs w:val="28"/>
        </w:rPr>
        <w:t>54</w:t>
      </w:r>
      <w:r w:rsidRPr="00FE02DA">
        <w:rPr>
          <w:rFonts w:cs="Times New Roman" w:hint="eastAsia"/>
          <w:szCs w:val="28"/>
        </w:rPr>
        <w:t>萬名</w:t>
      </w:r>
      <w:r w:rsidRPr="00FE02DA">
        <w:rPr>
          <w:rFonts w:cs="Times New Roman"/>
          <w:szCs w:val="28"/>
        </w:rPr>
        <w:t>65</w:t>
      </w:r>
      <w:r w:rsidRPr="00FE02DA">
        <w:rPr>
          <w:rFonts w:cs="Times New Roman" w:hint="eastAsia"/>
          <w:szCs w:val="28"/>
        </w:rPr>
        <w:t>歲或以上長者，佔整體長者人口的</w:t>
      </w:r>
      <w:r w:rsidRPr="00FE02DA">
        <w:rPr>
          <w:rFonts w:cs="Times New Roman" w:hint="eastAsia"/>
          <w:szCs w:val="28"/>
        </w:rPr>
        <w:t>45%</w:t>
      </w:r>
      <w:r w:rsidRPr="00FE02DA">
        <w:rPr>
          <w:rFonts w:cs="Times New Roman" w:hint="eastAsia"/>
          <w:szCs w:val="28"/>
        </w:rPr>
        <w:t>。</w:t>
      </w:r>
    </w:p>
    <w:p w:rsidR="00002E2E" w:rsidRPr="00FE02DA" w:rsidRDefault="00002E2E" w:rsidP="00002E2E">
      <w:pPr>
        <w:tabs>
          <w:tab w:val="left" w:pos="1440"/>
        </w:tabs>
        <w:snapToGrid w:val="0"/>
        <w:spacing w:line="400" w:lineRule="atLeast"/>
        <w:jc w:val="both"/>
        <w:rPr>
          <w:rFonts w:cs="Times New Roman"/>
          <w:szCs w:val="28"/>
        </w:rPr>
      </w:pPr>
    </w:p>
    <w:p w:rsidR="00002E2E" w:rsidRPr="00FE02DA" w:rsidRDefault="00002E2E" w:rsidP="00002E2E">
      <w:pPr>
        <w:tabs>
          <w:tab w:val="left" w:pos="1440"/>
        </w:tabs>
        <w:snapToGrid w:val="0"/>
        <w:spacing w:line="400" w:lineRule="atLeast"/>
        <w:jc w:val="both"/>
        <w:rPr>
          <w:rFonts w:cs="Times New Roman"/>
          <w:szCs w:val="28"/>
        </w:rPr>
      </w:pPr>
      <w:r>
        <w:rPr>
          <w:rFonts w:cs="Times New Roman"/>
          <w:szCs w:val="28"/>
        </w:rPr>
        <w:t>3.</w:t>
      </w:r>
      <w:r w:rsidRPr="00FE02DA">
        <w:rPr>
          <w:rFonts w:cs="Times New Roman" w:hint="eastAsia"/>
          <w:szCs w:val="28"/>
        </w:rPr>
        <w:tab/>
      </w:r>
      <w:r w:rsidRPr="00FE02DA">
        <w:rPr>
          <w:rFonts w:cs="Times New Roman" w:hint="eastAsia"/>
          <w:szCs w:val="28"/>
        </w:rPr>
        <w:t>年長人士都希望居於一個熟悉環境，並與其親友保持緊密聯繫。他們很多會選擇留在香港。然而，部分長者或會選擇在退休後選擇居於內地。我們尊重他們的選擇，並為他們提供財政支援。就此，香港特區政府分別於</w:t>
      </w:r>
      <w:r w:rsidRPr="00FE02DA">
        <w:rPr>
          <w:rFonts w:cs="Times New Roman" w:hint="eastAsia"/>
          <w:szCs w:val="28"/>
        </w:rPr>
        <w:t>2013</w:t>
      </w:r>
      <w:r w:rsidRPr="00FE02DA">
        <w:rPr>
          <w:rFonts w:cs="Times New Roman" w:hint="eastAsia"/>
          <w:szCs w:val="28"/>
        </w:rPr>
        <w:t>及</w:t>
      </w:r>
      <w:r w:rsidRPr="00FE02DA">
        <w:rPr>
          <w:rFonts w:cs="Times New Roman" w:hint="eastAsia"/>
          <w:szCs w:val="28"/>
        </w:rPr>
        <w:t>2018</w:t>
      </w:r>
      <w:r w:rsidRPr="00FE02DA">
        <w:rPr>
          <w:rFonts w:cs="Times New Roman" w:hint="eastAsia"/>
          <w:szCs w:val="28"/>
        </w:rPr>
        <w:t>年推出廣東計劃及福建計劃，協助選擇定居於兩省（即大部分香港居民的原居地）的長者毋須返港，亦可繼續領取高齡津貼。在</w:t>
      </w:r>
      <w:r w:rsidRPr="00FE02DA">
        <w:rPr>
          <w:rFonts w:cs="Times New Roman" w:hint="eastAsia"/>
          <w:szCs w:val="28"/>
        </w:rPr>
        <w:t>2018</w:t>
      </w:r>
      <w:r w:rsidRPr="00FE02DA">
        <w:rPr>
          <w:rFonts w:cs="Times New Roman" w:hint="eastAsia"/>
          <w:szCs w:val="28"/>
        </w:rPr>
        <w:t>年，我們宣布將把這項可攜安排擴展至長者生活津貼，並預期最早於</w:t>
      </w:r>
      <w:r w:rsidRPr="00FE02DA">
        <w:rPr>
          <w:rFonts w:cs="Times New Roman" w:hint="eastAsia"/>
          <w:szCs w:val="28"/>
        </w:rPr>
        <w:t>2020</w:t>
      </w:r>
      <w:r w:rsidRPr="00FE02DA">
        <w:rPr>
          <w:rFonts w:cs="Times New Roman" w:hint="eastAsia"/>
          <w:szCs w:val="28"/>
        </w:rPr>
        <w:t>年初落實。加上於</w:t>
      </w:r>
      <w:r w:rsidRPr="00FE02DA">
        <w:rPr>
          <w:rFonts w:cs="Times New Roman" w:hint="eastAsia"/>
          <w:szCs w:val="28"/>
        </w:rPr>
        <w:t>1997</w:t>
      </w:r>
      <w:r w:rsidRPr="00FE02DA">
        <w:rPr>
          <w:rFonts w:cs="Times New Roman" w:hint="eastAsia"/>
          <w:szCs w:val="28"/>
        </w:rPr>
        <w:t>年起便已可攜的綜援計劃，所有主要的長者財政援助計劃將都可攜至廣東及福建。</w:t>
      </w:r>
    </w:p>
    <w:p w:rsidR="00D330E3" w:rsidRDefault="00D330E3" w:rsidP="008375BB">
      <w:pPr>
        <w:jc w:val="both"/>
        <w:rPr>
          <w:rFonts w:cs="Times New Roman"/>
          <w:szCs w:val="28"/>
        </w:rPr>
        <w:sectPr w:rsidR="00D330E3" w:rsidSect="00002E2E">
          <w:footerReference w:type="default" r:id="rId39"/>
          <w:pgSz w:w="11906" w:h="16838"/>
          <w:pgMar w:top="1440" w:right="1800" w:bottom="1440" w:left="1800" w:header="720" w:footer="720" w:gutter="0"/>
          <w:pgNumType w:start="1"/>
          <w:cols w:space="425"/>
          <w:docGrid w:type="lines" w:linePitch="381"/>
        </w:sectPr>
      </w:pPr>
    </w:p>
    <w:p w:rsidR="00D330E3" w:rsidRPr="00D330E3" w:rsidRDefault="00D330E3" w:rsidP="00D330E3">
      <w:pPr>
        <w:keepNext/>
        <w:wordWrap w:val="0"/>
        <w:snapToGrid w:val="0"/>
        <w:jc w:val="right"/>
        <w:outlineLvl w:val="0"/>
        <w:rPr>
          <w:rFonts w:eastAsia="新細明體" w:cs="Times New Roman"/>
          <w:b/>
          <w:szCs w:val="20"/>
          <w:lang w:val="en-GB"/>
        </w:rPr>
      </w:pPr>
      <w:r w:rsidRPr="00D330E3">
        <w:rPr>
          <w:rFonts w:ascii="標楷體" w:hAnsi="標楷體" w:cs="Times New Roman" w:hint="eastAsia"/>
          <w:b/>
          <w:szCs w:val="20"/>
          <w:lang w:val="en-GB"/>
        </w:rPr>
        <w:lastRenderedPageBreak/>
        <w:t>附件</w:t>
      </w:r>
      <w:r w:rsidRPr="00D330E3">
        <w:rPr>
          <w:rFonts w:eastAsia="新細明體" w:cs="Times New Roman"/>
          <w:b/>
          <w:szCs w:val="20"/>
          <w:lang w:val="en-GB"/>
        </w:rPr>
        <w:t>9C</w:t>
      </w:r>
    </w:p>
    <w:p w:rsidR="00D330E3" w:rsidRPr="00D330E3" w:rsidRDefault="00D330E3" w:rsidP="00D330E3">
      <w:pPr>
        <w:widowControl/>
        <w:rPr>
          <w:rFonts w:eastAsia="新細明體" w:cs="Times New Roman"/>
          <w:kern w:val="0"/>
          <w:sz w:val="20"/>
          <w:szCs w:val="20"/>
          <w:lang w:val="en-GB"/>
        </w:rPr>
      </w:pPr>
    </w:p>
    <w:p w:rsidR="00D330E3" w:rsidRPr="00D330E3" w:rsidRDefault="00D330E3" w:rsidP="00D330E3">
      <w:pPr>
        <w:snapToGrid w:val="0"/>
        <w:jc w:val="center"/>
        <w:rPr>
          <w:rFonts w:cs="Times New Roman"/>
          <w:b/>
          <w:szCs w:val="20"/>
          <w:lang w:val="en-GB"/>
        </w:rPr>
      </w:pPr>
      <w:r w:rsidRPr="00D330E3">
        <w:rPr>
          <w:rFonts w:cs="Times New Roman"/>
          <w:b/>
          <w:szCs w:val="20"/>
          <w:lang w:val="en-GB"/>
        </w:rPr>
        <w:t>《僱員補償條例》</w:t>
      </w:r>
      <w:r w:rsidRPr="00D330E3">
        <w:rPr>
          <w:rFonts w:cs="Times New Roman"/>
          <w:b/>
          <w:szCs w:val="20"/>
          <w:lang w:val="en-GB"/>
        </w:rPr>
        <w:t>(</w:t>
      </w:r>
      <w:r w:rsidRPr="00D330E3">
        <w:rPr>
          <w:rFonts w:cs="Times New Roman"/>
          <w:b/>
          <w:szCs w:val="20"/>
          <w:lang w:val="en-GB"/>
        </w:rPr>
        <w:t>第</w:t>
      </w:r>
      <w:r w:rsidRPr="00D330E3">
        <w:rPr>
          <w:rFonts w:cs="Times New Roman"/>
          <w:b/>
          <w:szCs w:val="20"/>
          <w:lang w:val="en-GB"/>
        </w:rPr>
        <w:t>282</w:t>
      </w:r>
      <w:r w:rsidRPr="00D330E3">
        <w:rPr>
          <w:rFonts w:cs="Times New Roman"/>
          <w:b/>
          <w:szCs w:val="20"/>
          <w:lang w:val="en-GB"/>
        </w:rPr>
        <w:t>章</w:t>
      </w:r>
      <w:r w:rsidRPr="00D330E3">
        <w:rPr>
          <w:rFonts w:cs="Times New Roman"/>
          <w:b/>
          <w:szCs w:val="20"/>
          <w:lang w:val="en-GB"/>
        </w:rPr>
        <w:t>)</w:t>
      </w:r>
    </w:p>
    <w:p w:rsidR="00D330E3" w:rsidRPr="00D330E3" w:rsidRDefault="00D330E3" w:rsidP="00D330E3">
      <w:pPr>
        <w:widowControl/>
        <w:snapToGrid w:val="0"/>
        <w:jc w:val="center"/>
        <w:rPr>
          <w:rFonts w:eastAsia="新細明體" w:cs="Times New Roman"/>
          <w:kern w:val="0"/>
          <w:szCs w:val="20"/>
        </w:rPr>
      </w:pPr>
      <w:r w:rsidRPr="00D330E3">
        <w:rPr>
          <w:rFonts w:cs="Times New Roman"/>
          <w:b/>
          <w:kern w:val="0"/>
          <w:szCs w:val="20"/>
          <w:lang w:val="en-GB"/>
        </w:rPr>
        <w:t>規定的補償</w:t>
      </w:r>
    </w:p>
    <w:p w:rsidR="00D330E3" w:rsidRPr="00C659B3" w:rsidRDefault="00D330E3" w:rsidP="00D330E3">
      <w:pPr>
        <w:widowControl/>
        <w:jc w:val="both"/>
        <w:rPr>
          <w:rFonts w:eastAsia="新細明體" w:cs="Times New Roman"/>
          <w:b/>
          <w:kern w:val="0"/>
          <w:szCs w:val="20"/>
        </w:rPr>
      </w:pPr>
    </w:p>
    <w:p w:rsidR="00D330E3" w:rsidRPr="00C659B3" w:rsidRDefault="00D330E3" w:rsidP="00C659B3">
      <w:pPr>
        <w:widowControl/>
        <w:snapToGrid w:val="0"/>
        <w:spacing w:line="360" w:lineRule="atLeast"/>
        <w:ind w:left="540" w:hanging="540"/>
        <w:jc w:val="both"/>
        <w:rPr>
          <w:rFonts w:cs="Times New Roman"/>
          <w:kern w:val="0"/>
          <w:szCs w:val="20"/>
          <w:lang w:val="en-GB"/>
        </w:rPr>
      </w:pPr>
      <w:r w:rsidRPr="00C659B3">
        <w:rPr>
          <w:rFonts w:cs="Times New Roman"/>
          <w:kern w:val="0"/>
          <w:szCs w:val="20"/>
          <w:lang w:val="en-GB"/>
        </w:rPr>
        <w:t>(a)</w:t>
      </w:r>
      <w:r w:rsidRPr="00C659B3">
        <w:rPr>
          <w:rFonts w:cs="Times New Roman"/>
          <w:kern w:val="0"/>
          <w:szCs w:val="20"/>
          <w:lang w:val="en-GB"/>
        </w:rPr>
        <w:tab/>
      </w:r>
      <w:r w:rsidRPr="00C659B3">
        <w:rPr>
          <w:rFonts w:cs="Times New Roman"/>
          <w:b/>
          <w:szCs w:val="28"/>
        </w:rPr>
        <w:t>暫時喪失工作能力的補償</w:t>
      </w:r>
      <w:r w:rsidRPr="00C659B3">
        <w:rPr>
          <w:rFonts w:cs="Times New Roman"/>
          <w:szCs w:val="28"/>
        </w:rPr>
        <w:t>：在僱員暫時喪失工作能力期間，僱主須向僱員支付按期付款，款額為僱員遭遇意外時每月收入與暫時喪失工作能力期間每月收入差額的五分四。計算按期付款的每月最低收入金額為</w:t>
      </w:r>
      <w:r w:rsidRPr="00C659B3">
        <w:rPr>
          <w:rFonts w:cs="Times New Roman"/>
          <w:szCs w:val="28"/>
        </w:rPr>
        <w:t>4,090</w:t>
      </w:r>
      <w:r w:rsidRPr="00C659B3">
        <w:rPr>
          <w:rFonts w:cs="Times New Roman"/>
          <w:szCs w:val="28"/>
        </w:rPr>
        <w:t>元；</w:t>
      </w:r>
    </w:p>
    <w:p w:rsidR="00D330E3" w:rsidRPr="00C659B3" w:rsidRDefault="00D330E3" w:rsidP="00D330E3">
      <w:pPr>
        <w:widowControl/>
        <w:snapToGrid w:val="0"/>
        <w:spacing w:line="360" w:lineRule="atLeast"/>
        <w:jc w:val="both"/>
        <w:rPr>
          <w:rFonts w:eastAsia="新細明體" w:cs="Times New Roman"/>
          <w:kern w:val="0"/>
          <w:szCs w:val="20"/>
          <w:lang w:val="en-GB"/>
        </w:rPr>
      </w:pPr>
    </w:p>
    <w:p w:rsidR="00D330E3" w:rsidRPr="00C659B3" w:rsidRDefault="00D330E3" w:rsidP="00C659B3">
      <w:pPr>
        <w:widowControl/>
        <w:snapToGrid w:val="0"/>
        <w:spacing w:line="360" w:lineRule="atLeast"/>
        <w:ind w:left="540" w:hanging="626"/>
        <w:jc w:val="both"/>
        <w:rPr>
          <w:rFonts w:eastAsia="新細明體" w:cs="Times New Roman"/>
          <w:kern w:val="0"/>
          <w:szCs w:val="20"/>
          <w:lang w:val="en-GB"/>
        </w:rPr>
      </w:pPr>
      <w:r w:rsidRPr="00C659B3">
        <w:rPr>
          <w:rFonts w:eastAsia="新細明體" w:cs="Times New Roman"/>
          <w:kern w:val="0"/>
          <w:szCs w:val="20"/>
          <w:lang w:val="en-GB"/>
        </w:rPr>
        <w:t>(b)</w:t>
      </w:r>
      <w:r w:rsidRPr="00C659B3">
        <w:rPr>
          <w:rFonts w:eastAsia="新細明體" w:cs="Times New Roman"/>
          <w:kern w:val="0"/>
          <w:szCs w:val="20"/>
          <w:lang w:val="en-GB"/>
        </w:rPr>
        <w:tab/>
      </w:r>
      <w:r w:rsidRPr="00C659B3">
        <w:rPr>
          <w:rFonts w:cs="Times New Roman"/>
          <w:b/>
          <w:szCs w:val="28"/>
        </w:rPr>
        <w:t>永久喪失工作能力和死亡的補償：</w:t>
      </w:r>
      <w:r w:rsidRPr="00C659B3">
        <w:rPr>
          <w:rFonts w:cs="Times New Roman"/>
          <w:szCs w:val="28"/>
        </w:rPr>
        <w:t>補償額視乎受傷或身故僱員在</w:t>
      </w:r>
      <w:r w:rsidRPr="00C659B3">
        <w:rPr>
          <w:rFonts w:cs="Times New Roman"/>
          <w:spacing w:val="2"/>
          <w:szCs w:val="28"/>
        </w:rPr>
        <w:t>意外發生時的年齡、每月收入（最高</w:t>
      </w:r>
      <w:r w:rsidRPr="00C659B3">
        <w:rPr>
          <w:rFonts w:cs="Times New Roman"/>
          <w:spacing w:val="2"/>
          <w:szCs w:val="28"/>
        </w:rPr>
        <w:t>28,360</w:t>
      </w:r>
      <w:r w:rsidRPr="00C659B3">
        <w:rPr>
          <w:rFonts w:cs="Times New Roman"/>
          <w:spacing w:val="2"/>
          <w:szCs w:val="28"/>
        </w:rPr>
        <w:t>元）及（如適用）永</w:t>
      </w:r>
      <w:r w:rsidRPr="00C659B3">
        <w:rPr>
          <w:rFonts w:cs="Times New Roman"/>
          <w:szCs w:val="28"/>
        </w:rPr>
        <w:t>久喪失工作能力的程度而定。有關永久完全喪失工作能力及死亡的最高與最低補償額，現載列於下表－</w:t>
      </w:r>
    </w:p>
    <w:p w:rsidR="00D330E3" w:rsidRPr="00D330E3" w:rsidRDefault="00D330E3" w:rsidP="00D330E3">
      <w:pPr>
        <w:widowControl/>
        <w:snapToGrid w:val="0"/>
        <w:spacing w:before="120" w:after="120" w:line="360" w:lineRule="atLeast"/>
        <w:jc w:val="both"/>
        <w:rPr>
          <w:rFonts w:eastAsia="新細明體" w:cs="Times New Roman"/>
          <w:kern w:val="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4"/>
        <w:gridCol w:w="1202"/>
        <w:gridCol w:w="1202"/>
        <w:gridCol w:w="1204"/>
        <w:gridCol w:w="1202"/>
        <w:gridCol w:w="1202"/>
        <w:gridCol w:w="1204"/>
      </w:tblGrid>
      <w:tr w:rsidR="00D330E3" w:rsidRPr="00D330E3" w:rsidTr="00E22C88">
        <w:tc>
          <w:tcPr>
            <w:tcW w:w="648" w:type="pct"/>
            <w:tcBorders>
              <w:top w:val="single" w:sz="6" w:space="0" w:color="auto"/>
              <w:left w:val="single" w:sz="6" w:space="0" w:color="auto"/>
              <w:bottom w:val="nil"/>
            </w:tcBorders>
          </w:tcPr>
          <w:p w:rsidR="00D330E3" w:rsidRPr="00D330E3" w:rsidRDefault="00D330E3" w:rsidP="00D330E3">
            <w:pPr>
              <w:widowControl/>
              <w:snapToGrid w:val="0"/>
              <w:spacing w:before="120" w:after="120"/>
              <w:rPr>
                <w:rFonts w:ascii="標楷體" w:hAnsi="標楷體" w:cs="Times New Roman"/>
                <w:b/>
                <w:kern w:val="0"/>
                <w:sz w:val="26"/>
                <w:szCs w:val="26"/>
                <w:lang w:val="en-GB"/>
              </w:rPr>
            </w:pPr>
          </w:p>
        </w:tc>
        <w:tc>
          <w:tcPr>
            <w:tcW w:w="4352" w:type="pct"/>
            <w:gridSpan w:val="6"/>
            <w:tcBorders>
              <w:top w:val="single" w:sz="6" w:space="0" w:color="auto"/>
              <w:right w:val="single" w:sz="6" w:space="0" w:color="auto"/>
            </w:tcBorders>
          </w:tcPr>
          <w:p w:rsidR="00D330E3" w:rsidRPr="00D330E3" w:rsidRDefault="00D330E3" w:rsidP="00D330E3">
            <w:pPr>
              <w:widowControl/>
              <w:snapToGrid w:val="0"/>
              <w:spacing w:before="120" w:after="120"/>
              <w:jc w:val="center"/>
              <w:rPr>
                <w:rFonts w:ascii="標楷體" w:hAnsi="標楷體" w:cs="Times New Roman"/>
                <w:b/>
                <w:kern w:val="0"/>
                <w:sz w:val="26"/>
                <w:szCs w:val="26"/>
                <w:lang w:val="en-GB"/>
              </w:rPr>
            </w:pPr>
            <w:r w:rsidRPr="00D330E3">
              <w:rPr>
                <w:rFonts w:ascii="標楷體" w:hAnsi="標楷體" w:cs="Times New Roman" w:hint="eastAsia"/>
                <w:b/>
                <w:kern w:val="0"/>
                <w:sz w:val="26"/>
                <w:szCs w:val="26"/>
                <w:lang w:val="en-GB"/>
              </w:rPr>
              <w:t>補償額</w:t>
            </w:r>
          </w:p>
        </w:tc>
      </w:tr>
      <w:tr w:rsidR="00D330E3" w:rsidRPr="00D330E3" w:rsidTr="00E22C88">
        <w:tc>
          <w:tcPr>
            <w:tcW w:w="648" w:type="pct"/>
            <w:tcBorders>
              <w:top w:val="nil"/>
              <w:left w:val="single" w:sz="6" w:space="0" w:color="auto"/>
              <w:bottom w:val="nil"/>
            </w:tcBorders>
          </w:tcPr>
          <w:p w:rsidR="00D330E3" w:rsidRPr="00D330E3" w:rsidRDefault="00D330E3" w:rsidP="00D330E3">
            <w:pPr>
              <w:widowControl/>
              <w:snapToGrid w:val="0"/>
              <w:spacing w:before="120" w:after="120"/>
              <w:jc w:val="center"/>
              <w:rPr>
                <w:rFonts w:ascii="標楷體" w:hAnsi="標楷體" w:cs="Times New Roman"/>
                <w:b/>
                <w:kern w:val="0"/>
                <w:sz w:val="26"/>
                <w:szCs w:val="26"/>
                <w:lang w:val="en-GB"/>
              </w:rPr>
            </w:pPr>
            <w:r w:rsidRPr="00D330E3">
              <w:rPr>
                <w:rFonts w:ascii="標楷體" w:hAnsi="標楷體" w:cs="Times New Roman" w:hint="eastAsia"/>
                <w:b/>
                <w:kern w:val="0"/>
                <w:sz w:val="26"/>
                <w:szCs w:val="26"/>
                <w:lang w:val="en-GB"/>
              </w:rPr>
              <w:t>年齡組別</w:t>
            </w:r>
          </w:p>
        </w:tc>
        <w:tc>
          <w:tcPr>
            <w:tcW w:w="2176" w:type="pct"/>
            <w:gridSpan w:val="3"/>
          </w:tcPr>
          <w:p w:rsidR="00D330E3" w:rsidRPr="00D330E3" w:rsidRDefault="00D330E3" w:rsidP="00D330E3">
            <w:pPr>
              <w:widowControl/>
              <w:snapToGrid w:val="0"/>
              <w:spacing w:before="120" w:after="120"/>
              <w:jc w:val="center"/>
              <w:rPr>
                <w:rFonts w:ascii="標楷體" w:hAnsi="標楷體" w:cs="Times New Roman"/>
                <w:b/>
                <w:kern w:val="0"/>
                <w:sz w:val="26"/>
                <w:szCs w:val="26"/>
                <w:lang w:val="en-GB"/>
              </w:rPr>
            </w:pPr>
            <w:r w:rsidRPr="00D330E3">
              <w:rPr>
                <w:rFonts w:ascii="標楷體" w:hAnsi="標楷體" w:cs="Times New Roman" w:hint="eastAsia"/>
                <w:b/>
                <w:kern w:val="0"/>
                <w:sz w:val="26"/>
                <w:szCs w:val="26"/>
                <w:lang w:val="en-GB"/>
              </w:rPr>
              <w:t>永久完全喪失工作能力</w:t>
            </w:r>
          </w:p>
        </w:tc>
        <w:tc>
          <w:tcPr>
            <w:tcW w:w="2176" w:type="pct"/>
            <w:gridSpan w:val="3"/>
            <w:tcBorders>
              <w:right w:val="single" w:sz="6" w:space="0" w:color="auto"/>
            </w:tcBorders>
          </w:tcPr>
          <w:p w:rsidR="00D330E3" w:rsidRPr="00D330E3" w:rsidRDefault="00D330E3" w:rsidP="00D330E3">
            <w:pPr>
              <w:widowControl/>
              <w:snapToGrid w:val="0"/>
              <w:spacing w:before="120" w:after="120"/>
              <w:jc w:val="center"/>
              <w:rPr>
                <w:rFonts w:ascii="標楷體" w:hAnsi="標楷體" w:cs="Times New Roman"/>
                <w:b/>
                <w:kern w:val="0"/>
                <w:sz w:val="26"/>
                <w:szCs w:val="26"/>
                <w:lang w:val="en-GB"/>
              </w:rPr>
            </w:pPr>
            <w:r w:rsidRPr="00D330E3">
              <w:rPr>
                <w:rFonts w:ascii="標楷體" w:hAnsi="標楷體" w:cs="Times New Roman" w:hint="eastAsia"/>
                <w:b/>
                <w:kern w:val="0"/>
                <w:sz w:val="26"/>
                <w:szCs w:val="26"/>
                <w:lang w:val="en-GB"/>
              </w:rPr>
              <w:t>死亡</w:t>
            </w:r>
          </w:p>
        </w:tc>
      </w:tr>
      <w:tr w:rsidR="00D330E3" w:rsidRPr="00D330E3" w:rsidTr="00E22C88">
        <w:tc>
          <w:tcPr>
            <w:tcW w:w="648" w:type="pct"/>
            <w:tcBorders>
              <w:top w:val="nil"/>
              <w:left w:val="single" w:sz="6" w:space="0" w:color="auto"/>
            </w:tcBorders>
          </w:tcPr>
          <w:p w:rsidR="00D330E3" w:rsidRPr="00D330E3" w:rsidRDefault="00D330E3" w:rsidP="00D330E3">
            <w:pPr>
              <w:widowControl/>
              <w:snapToGrid w:val="0"/>
              <w:spacing w:before="120" w:after="120"/>
              <w:rPr>
                <w:rFonts w:ascii="標楷體" w:hAnsi="標楷體" w:cs="Times New Roman"/>
                <w:b/>
                <w:kern w:val="0"/>
                <w:sz w:val="26"/>
                <w:szCs w:val="26"/>
                <w:lang w:val="en-GB"/>
              </w:rPr>
            </w:pPr>
          </w:p>
        </w:tc>
        <w:tc>
          <w:tcPr>
            <w:tcW w:w="725" w:type="pct"/>
            <w:vAlign w:val="center"/>
          </w:tcPr>
          <w:p w:rsidR="00D330E3" w:rsidRPr="00D330E3" w:rsidRDefault="00D330E3" w:rsidP="00D330E3">
            <w:pPr>
              <w:widowControl/>
              <w:snapToGrid w:val="0"/>
              <w:jc w:val="center"/>
              <w:rPr>
                <w:rFonts w:ascii="標楷體" w:hAnsi="標楷體" w:cs="Times New Roman"/>
                <w:b/>
                <w:kern w:val="0"/>
                <w:szCs w:val="28"/>
              </w:rPr>
            </w:pPr>
            <w:r w:rsidRPr="00D330E3">
              <w:rPr>
                <w:rFonts w:ascii="標楷體" w:hAnsi="標楷體" w:cs="Times New Roman" w:hint="eastAsia"/>
                <w:b/>
                <w:kern w:val="0"/>
                <w:szCs w:val="28"/>
              </w:rPr>
              <w:t>款額</w:t>
            </w:r>
          </w:p>
        </w:tc>
        <w:tc>
          <w:tcPr>
            <w:tcW w:w="725" w:type="pct"/>
            <w:vAlign w:val="center"/>
          </w:tcPr>
          <w:p w:rsidR="00D330E3" w:rsidRPr="00D330E3" w:rsidRDefault="00D330E3" w:rsidP="00D330E3">
            <w:pPr>
              <w:widowControl/>
              <w:snapToGrid w:val="0"/>
              <w:jc w:val="center"/>
              <w:rPr>
                <w:rFonts w:ascii="標楷體" w:hAnsi="標楷體" w:cs="Times New Roman"/>
                <w:b/>
                <w:kern w:val="0"/>
                <w:szCs w:val="28"/>
              </w:rPr>
            </w:pPr>
            <w:r w:rsidRPr="00D330E3">
              <w:rPr>
                <w:rFonts w:ascii="標楷體" w:hAnsi="標楷體" w:cs="Times New Roman" w:hint="eastAsia"/>
                <w:b/>
                <w:kern w:val="0"/>
                <w:szCs w:val="28"/>
              </w:rPr>
              <w:t>最高</w:t>
            </w:r>
          </w:p>
        </w:tc>
        <w:tc>
          <w:tcPr>
            <w:tcW w:w="725" w:type="pct"/>
            <w:vAlign w:val="center"/>
          </w:tcPr>
          <w:p w:rsidR="00D330E3" w:rsidRPr="00D330E3" w:rsidRDefault="00D330E3" w:rsidP="00D330E3">
            <w:pPr>
              <w:widowControl/>
              <w:snapToGrid w:val="0"/>
              <w:jc w:val="center"/>
              <w:rPr>
                <w:rFonts w:ascii="標楷體" w:hAnsi="標楷體" w:cs="Times New Roman"/>
                <w:b/>
                <w:kern w:val="0"/>
                <w:szCs w:val="28"/>
              </w:rPr>
            </w:pPr>
            <w:r w:rsidRPr="00D330E3">
              <w:rPr>
                <w:rFonts w:ascii="標楷體" w:hAnsi="標楷體" w:cs="Times New Roman" w:hint="eastAsia"/>
                <w:b/>
                <w:kern w:val="0"/>
                <w:szCs w:val="28"/>
              </w:rPr>
              <w:t>最低</w:t>
            </w:r>
          </w:p>
        </w:tc>
        <w:tc>
          <w:tcPr>
            <w:tcW w:w="725" w:type="pct"/>
            <w:vAlign w:val="center"/>
          </w:tcPr>
          <w:p w:rsidR="00D330E3" w:rsidRPr="00D330E3" w:rsidRDefault="00D330E3" w:rsidP="00D330E3">
            <w:pPr>
              <w:widowControl/>
              <w:snapToGrid w:val="0"/>
              <w:jc w:val="center"/>
              <w:rPr>
                <w:rFonts w:ascii="標楷體" w:hAnsi="標楷體" w:cs="Times New Roman"/>
                <w:b/>
                <w:kern w:val="0"/>
                <w:szCs w:val="28"/>
              </w:rPr>
            </w:pPr>
            <w:r w:rsidRPr="00D330E3">
              <w:rPr>
                <w:rFonts w:ascii="標楷體" w:hAnsi="標楷體" w:cs="Times New Roman" w:hint="eastAsia"/>
                <w:b/>
                <w:kern w:val="0"/>
                <w:szCs w:val="28"/>
              </w:rPr>
              <w:t>款額</w:t>
            </w:r>
          </w:p>
        </w:tc>
        <w:tc>
          <w:tcPr>
            <w:tcW w:w="725" w:type="pct"/>
            <w:vAlign w:val="center"/>
          </w:tcPr>
          <w:p w:rsidR="00D330E3" w:rsidRPr="00D330E3" w:rsidRDefault="00D330E3" w:rsidP="00D330E3">
            <w:pPr>
              <w:widowControl/>
              <w:snapToGrid w:val="0"/>
              <w:jc w:val="center"/>
              <w:rPr>
                <w:rFonts w:ascii="標楷體" w:hAnsi="標楷體" w:cs="Times New Roman"/>
                <w:b/>
                <w:kern w:val="0"/>
                <w:szCs w:val="28"/>
              </w:rPr>
            </w:pPr>
            <w:r w:rsidRPr="00D330E3">
              <w:rPr>
                <w:rFonts w:ascii="標楷體" w:hAnsi="標楷體" w:cs="Times New Roman" w:hint="eastAsia"/>
                <w:b/>
                <w:kern w:val="0"/>
                <w:szCs w:val="28"/>
              </w:rPr>
              <w:t>最高</w:t>
            </w:r>
          </w:p>
        </w:tc>
        <w:tc>
          <w:tcPr>
            <w:tcW w:w="726" w:type="pct"/>
            <w:tcBorders>
              <w:right w:val="single" w:sz="6" w:space="0" w:color="auto"/>
            </w:tcBorders>
            <w:vAlign w:val="center"/>
          </w:tcPr>
          <w:p w:rsidR="00D330E3" w:rsidRPr="00D330E3" w:rsidRDefault="00D330E3" w:rsidP="00D330E3">
            <w:pPr>
              <w:widowControl/>
              <w:snapToGrid w:val="0"/>
              <w:jc w:val="center"/>
              <w:rPr>
                <w:rFonts w:ascii="標楷體" w:hAnsi="標楷體" w:cs="Times New Roman"/>
                <w:b/>
                <w:kern w:val="0"/>
                <w:szCs w:val="28"/>
              </w:rPr>
            </w:pPr>
            <w:r w:rsidRPr="00D330E3">
              <w:rPr>
                <w:rFonts w:ascii="標楷體" w:hAnsi="標楷體" w:cs="Times New Roman" w:hint="eastAsia"/>
                <w:b/>
                <w:kern w:val="0"/>
                <w:szCs w:val="28"/>
              </w:rPr>
              <w:t>最低</w:t>
            </w:r>
          </w:p>
        </w:tc>
      </w:tr>
      <w:tr w:rsidR="00D330E3" w:rsidRPr="00D330E3" w:rsidTr="00E22C88">
        <w:tc>
          <w:tcPr>
            <w:tcW w:w="648" w:type="pct"/>
            <w:tcBorders>
              <w:left w:val="single" w:sz="6" w:space="0" w:color="auto"/>
            </w:tcBorders>
          </w:tcPr>
          <w:p w:rsidR="00D330E3" w:rsidRPr="00D330E3" w:rsidRDefault="00D330E3" w:rsidP="00D330E3">
            <w:pPr>
              <w:widowControl/>
              <w:snapToGrid w:val="0"/>
              <w:spacing w:before="120" w:after="120"/>
              <w:jc w:val="center"/>
              <w:rPr>
                <w:rFonts w:cs="Times New Roman"/>
                <w:kern w:val="0"/>
                <w:sz w:val="26"/>
                <w:szCs w:val="26"/>
                <w:lang w:val="en-GB"/>
              </w:rPr>
            </w:pPr>
            <w:r w:rsidRPr="00D330E3">
              <w:rPr>
                <w:rFonts w:cs="Times New Roman"/>
                <w:kern w:val="0"/>
                <w:sz w:val="26"/>
                <w:szCs w:val="26"/>
                <w:lang w:val="en-GB"/>
              </w:rPr>
              <w:t>40</w:t>
            </w:r>
            <w:r w:rsidRPr="00D330E3">
              <w:rPr>
                <w:rFonts w:cs="Times New Roman"/>
                <w:kern w:val="0"/>
                <w:sz w:val="26"/>
                <w:szCs w:val="26"/>
                <w:lang w:val="en-GB"/>
              </w:rPr>
              <w:t>歲以下</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96</w:t>
            </w:r>
            <w:r w:rsidRPr="00D330E3">
              <w:rPr>
                <w:rFonts w:cs="Times New Roman" w:hint="eastAsia"/>
                <w:szCs w:val="28"/>
              </w:rPr>
              <w:t>個月</w:t>
            </w:r>
            <w:r w:rsidRPr="00D330E3">
              <w:rPr>
                <w:rFonts w:cs="Times New Roman"/>
                <w:szCs w:val="28"/>
              </w:rPr>
              <w:br/>
            </w:r>
            <w:r w:rsidRPr="00D330E3">
              <w:rPr>
                <w:rFonts w:cs="Times New Roman" w:hint="eastAsia"/>
                <w:szCs w:val="28"/>
              </w:rPr>
              <w:t>收入</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272</w:t>
            </w:r>
            <w:r w:rsidRPr="00D330E3">
              <w:rPr>
                <w:rFonts w:cs="Times New Roman" w:hint="eastAsia"/>
                <w:szCs w:val="28"/>
              </w:rPr>
              <w:t>萬元</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46</w:t>
            </w:r>
            <w:r w:rsidRPr="00D330E3">
              <w:rPr>
                <w:rFonts w:cs="Times New Roman" w:hint="eastAsia"/>
                <w:szCs w:val="28"/>
              </w:rPr>
              <w:t>萬元</w:t>
            </w:r>
          </w:p>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84</w:t>
            </w:r>
            <w:r w:rsidRPr="00D330E3">
              <w:rPr>
                <w:rFonts w:cs="Times New Roman" w:hint="eastAsia"/>
                <w:szCs w:val="28"/>
              </w:rPr>
              <w:t>個月</w:t>
            </w:r>
            <w:r w:rsidRPr="00D330E3">
              <w:rPr>
                <w:rFonts w:cs="Times New Roman"/>
                <w:szCs w:val="28"/>
              </w:rPr>
              <w:br/>
            </w:r>
            <w:r w:rsidRPr="00D330E3">
              <w:rPr>
                <w:rFonts w:cs="Times New Roman" w:hint="eastAsia"/>
                <w:szCs w:val="28"/>
              </w:rPr>
              <w:t>收入</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238</w:t>
            </w:r>
            <w:r w:rsidRPr="00D330E3">
              <w:rPr>
                <w:rFonts w:cs="Times New Roman" w:hint="eastAsia"/>
                <w:szCs w:val="28"/>
              </w:rPr>
              <w:t>萬元</w:t>
            </w:r>
          </w:p>
        </w:tc>
        <w:tc>
          <w:tcPr>
            <w:tcW w:w="726"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41</w:t>
            </w:r>
            <w:r w:rsidRPr="00D330E3">
              <w:rPr>
                <w:rFonts w:cs="Times New Roman" w:hint="eastAsia"/>
                <w:szCs w:val="28"/>
              </w:rPr>
              <w:t>萬元</w:t>
            </w:r>
          </w:p>
        </w:tc>
      </w:tr>
      <w:tr w:rsidR="00D330E3" w:rsidRPr="00D330E3" w:rsidTr="00E22C88">
        <w:tc>
          <w:tcPr>
            <w:tcW w:w="648" w:type="pct"/>
            <w:tcBorders>
              <w:left w:val="single" w:sz="6" w:space="0" w:color="auto"/>
            </w:tcBorders>
          </w:tcPr>
          <w:p w:rsidR="00D330E3" w:rsidRPr="00D330E3" w:rsidRDefault="00D330E3" w:rsidP="00D330E3">
            <w:pPr>
              <w:widowControl/>
              <w:snapToGrid w:val="0"/>
              <w:spacing w:before="120"/>
              <w:jc w:val="center"/>
              <w:rPr>
                <w:rFonts w:cs="Times New Roman"/>
                <w:kern w:val="0"/>
                <w:sz w:val="26"/>
                <w:szCs w:val="26"/>
                <w:lang w:val="en-GB"/>
              </w:rPr>
            </w:pPr>
            <w:r w:rsidRPr="00D330E3">
              <w:rPr>
                <w:rFonts w:cs="Times New Roman"/>
                <w:kern w:val="0"/>
                <w:sz w:val="26"/>
                <w:szCs w:val="26"/>
                <w:lang w:val="en-GB"/>
              </w:rPr>
              <w:t>40</w:t>
            </w:r>
            <w:r w:rsidRPr="00D330E3">
              <w:rPr>
                <w:rFonts w:cs="Times New Roman"/>
                <w:kern w:val="0"/>
                <w:sz w:val="26"/>
                <w:szCs w:val="26"/>
                <w:lang w:val="en-GB"/>
              </w:rPr>
              <w:t>至</w:t>
            </w:r>
          </w:p>
          <w:p w:rsidR="00D330E3" w:rsidRPr="00D330E3" w:rsidRDefault="00D330E3" w:rsidP="00D330E3">
            <w:pPr>
              <w:widowControl/>
              <w:snapToGrid w:val="0"/>
              <w:spacing w:after="120"/>
              <w:jc w:val="center"/>
              <w:rPr>
                <w:rFonts w:cs="Times New Roman"/>
                <w:kern w:val="0"/>
                <w:sz w:val="26"/>
                <w:szCs w:val="26"/>
                <w:lang w:val="en-GB"/>
              </w:rPr>
            </w:pPr>
            <w:r w:rsidRPr="00D330E3">
              <w:rPr>
                <w:rFonts w:cs="Times New Roman"/>
                <w:kern w:val="0"/>
                <w:sz w:val="26"/>
                <w:szCs w:val="26"/>
                <w:lang w:val="en-GB"/>
              </w:rPr>
              <w:t>56</w:t>
            </w:r>
            <w:r w:rsidRPr="00D330E3">
              <w:rPr>
                <w:rFonts w:cs="Times New Roman"/>
                <w:kern w:val="0"/>
                <w:sz w:val="26"/>
                <w:szCs w:val="26"/>
                <w:lang w:val="en-GB"/>
              </w:rPr>
              <w:t>歲以下</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72</w:t>
            </w:r>
            <w:r w:rsidRPr="00D330E3">
              <w:rPr>
                <w:rFonts w:cs="Times New Roman" w:hint="eastAsia"/>
                <w:szCs w:val="28"/>
              </w:rPr>
              <w:t>個月</w:t>
            </w:r>
            <w:r w:rsidRPr="00D330E3">
              <w:rPr>
                <w:rFonts w:cs="Times New Roman"/>
                <w:szCs w:val="28"/>
              </w:rPr>
              <w:br/>
            </w:r>
            <w:r w:rsidRPr="00D330E3">
              <w:rPr>
                <w:rFonts w:cs="Times New Roman" w:hint="eastAsia"/>
                <w:szCs w:val="28"/>
              </w:rPr>
              <w:t>收入</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204</w:t>
            </w:r>
            <w:r w:rsidRPr="00D330E3">
              <w:rPr>
                <w:rFonts w:cs="Times New Roman" w:hint="eastAsia"/>
                <w:szCs w:val="28"/>
              </w:rPr>
              <w:t>萬元</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46</w:t>
            </w:r>
            <w:r w:rsidRPr="00D330E3">
              <w:rPr>
                <w:rFonts w:cs="Times New Roman" w:hint="eastAsia"/>
                <w:szCs w:val="28"/>
              </w:rPr>
              <w:t>萬元</w:t>
            </w:r>
          </w:p>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60</w:t>
            </w:r>
            <w:r w:rsidRPr="00D330E3">
              <w:rPr>
                <w:rFonts w:cs="Times New Roman" w:hint="eastAsia"/>
                <w:szCs w:val="28"/>
              </w:rPr>
              <w:t>個月</w:t>
            </w:r>
            <w:r w:rsidRPr="00D330E3">
              <w:rPr>
                <w:rFonts w:cs="Times New Roman"/>
                <w:szCs w:val="28"/>
              </w:rPr>
              <w:br/>
            </w:r>
            <w:r w:rsidRPr="00D330E3">
              <w:rPr>
                <w:rFonts w:cs="Times New Roman" w:hint="eastAsia"/>
                <w:szCs w:val="28"/>
              </w:rPr>
              <w:t>收入</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170</w:t>
            </w:r>
            <w:r w:rsidRPr="00D330E3">
              <w:rPr>
                <w:rFonts w:cs="Times New Roman" w:hint="eastAsia"/>
                <w:szCs w:val="28"/>
              </w:rPr>
              <w:t>萬元</w:t>
            </w:r>
          </w:p>
        </w:tc>
        <w:tc>
          <w:tcPr>
            <w:tcW w:w="726"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41</w:t>
            </w:r>
            <w:r w:rsidRPr="00D330E3">
              <w:rPr>
                <w:rFonts w:cs="Times New Roman" w:hint="eastAsia"/>
                <w:szCs w:val="28"/>
              </w:rPr>
              <w:t>萬元</w:t>
            </w:r>
          </w:p>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p>
        </w:tc>
      </w:tr>
      <w:tr w:rsidR="00D330E3" w:rsidRPr="00D330E3" w:rsidTr="00E22C88">
        <w:tc>
          <w:tcPr>
            <w:tcW w:w="648" w:type="pct"/>
            <w:tcBorders>
              <w:left w:val="single" w:sz="6" w:space="0" w:color="auto"/>
              <w:bottom w:val="single" w:sz="6" w:space="0" w:color="auto"/>
            </w:tcBorders>
          </w:tcPr>
          <w:p w:rsidR="00D330E3" w:rsidRPr="00D330E3" w:rsidRDefault="00D330E3" w:rsidP="00D330E3">
            <w:pPr>
              <w:widowControl/>
              <w:snapToGrid w:val="0"/>
              <w:spacing w:before="120" w:after="120"/>
              <w:jc w:val="center"/>
              <w:rPr>
                <w:rFonts w:cs="Times New Roman"/>
                <w:kern w:val="0"/>
                <w:sz w:val="26"/>
                <w:szCs w:val="26"/>
                <w:lang w:val="en-GB"/>
              </w:rPr>
            </w:pPr>
            <w:r w:rsidRPr="00D330E3">
              <w:rPr>
                <w:rFonts w:cs="Times New Roman"/>
                <w:kern w:val="0"/>
                <w:sz w:val="26"/>
                <w:szCs w:val="26"/>
                <w:lang w:val="en-GB"/>
              </w:rPr>
              <w:t>56</w:t>
            </w:r>
            <w:r w:rsidRPr="00D330E3">
              <w:rPr>
                <w:rFonts w:cs="Times New Roman"/>
                <w:kern w:val="0"/>
                <w:sz w:val="26"/>
                <w:szCs w:val="26"/>
                <w:lang w:val="en-GB"/>
              </w:rPr>
              <w:t>歲或以上</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48</w:t>
            </w:r>
            <w:r w:rsidRPr="00D330E3">
              <w:rPr>
                <w:rFonts w:cs="Times New Roman" w:hint="eastAsia"/>
                <w:szCs w:val="28"/>
              </w:rPr>
              <w:t>個月</w:t>
            </w:r>
            <w:r w:rsidRPr="00D330E3">
              <w:rPr>
                <w:rFonts w:cs="Times New Roman"/>
                <w:szCs w:val="28"/>
              </w:rPr>
              <w:br/>
            </w:r>
            <w:r w:rsidRPr="00D330E3">
              <w:rPr>
                <w:rFonts w:cs="Times New Roman" w:hint="eastAsia"/>
                <w:szCs w:val="28"/>
              </w:rPr>
              <w:t>收入</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136</w:t>
            </w:r>
            <w:r w:rsidRPr="00D330E3">
              <w:rPr>
                <w:rFonts w:cs="Times New Roman" w:hint="eastAsia"/>
                <w:szCs w:val="28"/>
              </w:rPr>
              <w:t>萬元</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46</w:t>
            </w:r>
            <w:r w:rsidRPr="00D330E3">
              <w:rPr>
                <w:rFonts w:cs="Times New Roman" w:hint="eastAsia"/>
                <w:szCs w:val="28"/>
              </w:rPr>
              <w:t>萬元</w:t>
            </w:r>
          </w:p>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36</w:t>
            </w:r>
            <w:r w:rsidRPr="00D330E3">
              <w:rPr>
                <w:rFonts w:cs="Times New Roman" w:hint="eastAsia"/>
                <w:szCs w:val="28"/>
              </w:rPr>
              <w:t>個月</w:t>
            </w:r>
            <w:r w:rsidRPr="00D330E3">
              <w:rPr>
                <w:rFonts w:cs="Times New Roman"/>
                <w:szCs w:val="28"/>
              </w:rPr>
              <w:br/>
            </w:r>
            <w:r w:rsidRPr="00D330E3">
              <w:rPr>
                <w:rFonts w:cs="Times New Roman" w:hint="eastAsia"/>
                <w:szCs w:val="28"/>
              </w:rPr>
              <w:t>收入</w:t>
            </w:r>
          </w:p>
        </w:tc>
        <w:tc>
          <w:tcPr>
            <w:tcW w:w="725"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102</w:t>
            </w:r>
            <w:r w:rsidRPr="00D330E3">
              <w:rPr>
                <w:rFonts w:cs="Times New Roman" w:hint="eastAsia"/>
                <w:szCs w:val="28"/>
              </w:rPr>
              <w:t>萬元</w:t>
            </w:r>
          </w:p>
        </w:tc>
        <w:tc>
          <w:tcPr>
            <w:tcW w:w="726" w:type="pct"/>
          </w:tcPr>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r w:rsidRPr="00D330E3">
              <w:rPr>
                <w:rFonts w:cs="Times New Roman"/>
                <w:szCs w:val="28"/>
              </w:rPr>
              <w:t>41</w:t>
            </w:r>
            <w:r w:rsidRPr="00D330E3">
              <w:rPr>
                <w:rFonts w:cs="Times New Roman" w:hint="eastAsia"/>
                <w:szCs w:val="28"/>
              </w:rPr>
              <w:t>萬元</w:t>
            </w:r>
          </w:p>
          <w:p w:rsidR="00D330E3" w:rsidRPr="00D330E3" w:rsidRDefault="00D330E3" w:rsidP="00D330E3">
            <w:pPr>
              <w:tabs>
                <w:tab w:val="left" w:pos="567"/>
                <w:tab w:val="left" w:pos="1134"/>
                <w:tab w:val="left" w:pos="1701"/>
              </w:tabs>
              <w:snapToGrid w:val="0"/>
              <w:spacing w:before="40" w:after="40" w:line="400" w:lineRule="atLeast"/>
              <w:jc w:val="center"/>
              <w:rPr>
                <w:rFonts w:cs="Times New Roman"/>
                <w:szCs w:val="28"/>
              </w:rPr>
            </w:pPr>
          </w:p>
        </w:tc>
      </w:tr>
    </w:tbl>
    <w:p w:rsidR="00D330E3" w:rsidRDefault="00D330E3" w:rsidP="00D330E3">
      <w:pPr>
        <w:widowControl/>
        <w:snapToGrid w:val="0"/>
        <w:spacing w:line="360" w:lineRule="atLeast"/>
        <w:jc w:val="both"/>
        <w:rPr>
          <w:rFonts w:eastAsia="新細明體" w:cs="Times New Roman"/>
          <w:kern w:val="0"/>
          <w:szCs w:val="20"/>
          <w:lang w:val="en-GB"/>
        </w:rPr>
      </w:pPr>
    </w:p>
    <w:p w:rsidR="00D330E3" w:rsidRPr="00D330E3" w:rsidRDefault="00D330E3" w:rsidP="00C659B3">
      <w:pPr>
        <w:widowControl/>
        <w:snapToGrid w:val="0"/>
        <w:spacing w:line="360" w:lineRule="atLeast"/>
        <w:ind w:left="540" w:hanging="540"/>
        <w:jc w:val="both"/>
        <w:rPr>
          <w:rFonts w:eastAsia="新細明體" w:cs="Times New Roman"/>
          <w:kern w:val="0"/>
          <w:szCs w:val="20"/>
          <w:lang w:val="en-GB"/>
        </w:rPr>
      </w:pPr>
      <w:r w:rsidRPr="00D330E3">
        <w:rPr>
          <w:rFonts w:eastAsia="新細明體" w:cs="Times New Roman"/>
          <w:kern w:val="0"/>
          <w:szCs w:val="20"/>
          <w:lang w:val="en-GB"/>
        </w:rPr>
        <w:t>(</w:t>
      </w:r>
      <w:r w:rsidRPr="00D330E3">
        <w:rPr>
          <w:rFonts w:eastAsia="新細明體" w:cs="Times New Roman" w:hint="eastAsia"/>
          <w:kern w:val="0"/>
          <w:szCs w:val="20"/>
          <w:lang w:val="en-GB"/>
        </w:rPr>
        <w:t>c</w:t>
      </w:r>
      <w:r w:rsidRPr="00D330E3">
        <w:rPr>
          <w:rFonts w:eastAsia="新細明體" w:cs="Times New Roman"/>
          <w:kern w:val="0"/>
          <w:szCs w:val="20"/>
          <w:lang w:val="en-GB"/>
        </w:rPr>
        <w:t>)</w:t>
      </w:r>
      <w:r w:rsidRPr="00D330E3">
        <w:rPr>
          <w:rFonts w:eastAsia="新細明體" w:cs="Times New Roman"/>
          <w:kern w:val="0"/>
          <w:szCs w:val="20"/>
          <w:lang w:val="en-GB"/>
        </w:rPr>
        <w:tab/>
      </w:r>
      <w:r w:rsidRPr="00D330E3">
        <w:rPr>
          <w:rFonts w:cs="Times New Roman"/>
          <w:b/>
          <w:kern w:val="0"/>
          <w:szCs w:val="20"/>
          <w:lang w:val="en-GB"/>
        </w:rPr>
        <w:t>過期支付補償的附加費：</w:t>
      </w:r>
      <w:r w:rsidRPr="00D330E3">
        <w:rPr>
          <w:rFonts w:cs="Times New Roman"/>
          <w:kern w:val="0"/>
          <w:szCs w:val="20"/>
          <w:lang w:val="en-GB"/>
        </w:rPr>
        <w:t>如僱主無合理辯解而未能於「補償評估證明書」或「覆檢補償評估證明書」簽發後</w:t>
      </w:r>
      <w:r w:rsidRPr="00D330E3">
        <w:rPr>
          <w:rFonts w:cs="Times New Roman"/>
          <w:kern w:val="0"/>
          <w:szCs w:val="20"/>
          <w:lang w:val="en-GB"/>
        </w:rPr>
        <w:t>21</w:t>
      </w:r>
      <w:r w:rsidRPr="00D330E3">
        <w:rPr>
          <w:rFonts w:cs="Times New Roman"/>
          <w:kern w:val="0"/>
          <w:szCs w:val="20"/>
          <w:lang w:val="en-GB"/>
        </w:rPr>
        <w:t>天內支付補償款項，須另外付給僱員附加費，附加費金額為</w:t>
      </w:r>
      <w:r w:rsidRPr="00D330E3">
        <w:rPr>
          <w:rFonts w:cs="Times New Roman"/>
          <w:kern w:val="0"/>
          <w:szCs w:val="20"/>
          <w:lang w:val="en-GB"/>
        </w:rPr>
        <w:t>660</w:t>
      </w:r>
      <w:r w:rsidRPr="00D330E3">
        <w:rPr>
          <w:rFonts w:cs="Times New Roman"/>
          <w:kern w:val="0"/>
          <w:szCs w:val="20"/>
          <w:lang w:val="en-GB"/>
        </w:rPr>
        <w:t>元或欠款的百分之五，兩者以較大的數額為準。在付款期屆滿後三個月期滿時，</w:t>
      </w:r>
      <w:r w:rsidRPr="00D330E3">
        <w:rPr>
          <w:rFonts w:cs="Times New Roman"/>
          <w:spacing w:val="2"/>
          <w:kern w:val="0"/>
          <w:szCs w:val="20"/>
          <w:lang w:val="en-GB"/>
        </w:rPr>
        <w:t>則須再支付額外附加費，款額為</w:t>
      </w:r>
      <w:r w:rsidRPr="00D330E3">
        <w:rPr>
          <w:rFonts w:cs="Times New Roman"/>
          <w:spacing w:val="2"/>
          <w:kern w:val="0"/>
          <w:szCs w:val="20"/>
          <w:lang w:val="en-GB"/>
        </w:rPr>
        <w:t>1,330</w:t>
      </w:r>
      <w:r w:rsidRPr="00D330E3">
        <w:rPr>
          <w:rFonts w:cs="Times New Roman"/>
          <w:spacing w:val="2"/>
          <w:kern w:val="0"/>
          <w:szCs w:val="20"/>
          <w:lang w:val="en-GB"/>
        </w:rPr>
        <w:t>元或全部欠款的百分之十，</w:t>
      </w:r>
      <w:r w:rsidRPr="00D330E3">
        <w:rPr>
          <w:rFonts w:cs="Times New Roman"/>
          <w:kern w:val="0"/>
          <w:szCs w:val="20"/>
          <w:lang w:val="en-GB"/>
        </w:rPr>
        <w:t>兩者以較大的數額為準；</w:t>
      </w:r>
    </w:p>
    <w:p w:rsidR="00D330E3" w:rsidRPr="00D330E3" w:rsidRDefault="00D330E3" w:rsidP="00D330E3">
      <w:pPr>
        <w:widowControl/>
        <w:snapToGrid w:val="0"/>
        <w:spacing w:line="360" w:lineRule="atLeast"/>
        <w:jc w:val="both"/>
        <w:rPr>
          <w:rFonts w:eastAsia="新細明體" w:cs="Times New Roman"/>
          <w:kern w:val="0"/>
          <w:szCs w:val="20"/>
          <w:lang w:val="en-GB"/>
        </w:rPr>
      </w:pPr>
    </w:p>
    <w:p w:rsidR="00D330E3" w:rsidRPr="00D330E3" w:rsidRDefault="00D330E3" w:rsidP="00C659B3">
      <w:pPr>
        <w:widowControl/>
        <w:snapToGrid w:val="0"/>
        <w:spacing w:line="360" w:lineRule="atLeast"/>
        <w:ind w:left="540" w:hanging="540"/>
        <w:jc w:val="both"/>
        <w:rPr>
          <w:rFonts w:cs="Times New Roman"/>
          <w:kern w:val="0"/>
          <w:szCs w:val="20"/>
          <w:lang w:val="en-GB"/>
        </w:rPr>
      </w:pPr>
      <w:r w:rsidRPr="00D330E3">
        <w:rPr>
          <w:rFonts w:eastAsia="新細明體" w:cs="Times New Roman"/>
          <w:kern w:val="0"/>
          <w:szCs w:val="20"/>
          <w:lang w:val="en-GB"/>
        </w:rPr>
        <w:lastRenderedPageBreak/>
        <w:t>(</w:t>
      </w:r>
      <w:r w:rsidRPr="00D330E3">
        <w:rPr>
          <w:rFonts w:eastAsia="新細明體" w:cs="Times New Roman" w:hint="eastAsia"/>
          <w:kern w:val="0"/>
          <w:szCs w:val="20"/>
          <w:lang w:val="en-GB"/>
        </w:rPr>
        <w:t>d</w:t>
      </w:r>
      <w:r w:rsidRPr="00D330E3">
        <w:rPr>
          <w:rFonts w:eastAsia="新細明體" w:cs="Times New Roman"/>
          <w:kern w:val="0"/>
          <w:szCs w:val="20"/>
          <w:lang w:val="en-GB"/>
        </w:rPr>
        <w:t>)</w:t>
      </w:r>
      <w:r w:rsidRPr="00D330E3">
        <w:rPr>
          <w:rFonts w:eastAsia="新細明體" w:cs="Times New Roman"/>
          <w:kern w:val="0"/>
          <w:szCs w:val="20"/>
          <w:lang w:val="en-GB"/>
        </w:rPr>
        <w:tab/>
      </w:r>
      <w:r w:rsidRPr="00D330E3">
        <w:rPr>
          <w:rFonts w:ascii="標楷體" w:hAnsi="標楷體" w:cs="Times New Roman" w:hint="eastAsia"/>
          <w:b/>
          <w:kern w:val="0"/>
          <w:szCs w:val="20"/>
          <w:lang w:val="en-GB"/>
        </w:rPr>
        <w:t>需要照顧的僱員的補償：</w:t>
      </w:r>
      <w:r w:rsidRPr="00D330E3">
        <w:rPr>
          <w:rFonts w:cs="Times New Roman"/>
          <w:kern w:val="0"/>
          <w:szCs w:val="20"/>
          <w:lang w:val="en-GB"/>
        </w:rPr>
        <w:t>倘若受傷僱員永久喪失工作能力，並且需要他人照顧其日常起居，可獲額外補償，但款額不超過</w:t>
      </w:r>
      <w:r w:rsidRPr="00D330E3">
        <w:rPr>
          <w:rFonts w:cs="Times New Roman"/>
          <w:kern w:val="0"/>
          <w:szCs w:val="20"/>
          <w:lang w:val="en-GB"/>
        </w:rPr>
        <w:t>556,700‍</w:t>
      </w:r>
      <w:r w:rsidRPr="00D330E3">
        <w:rPr>
          <w:rFonts w:cs="Times New Roman"/>
          <w:kern w:val="0"/>
          <w:szCs w:val="20"/>
          <w:lang w:val="en-GB"/>
        </w:rPr>
        <w:t>元；</w:t>
      </w:r>
    </w:p>
    <w:p w:rsidR="00D330E3" w:rsidRPr="00D330E3" w:rsidRDefault="00D330E3" w:rsidP="00C659B3">
      <w:pPr>
        <w:widowControl/>
        <w:snapToGrid w:val="0"/>
        <w:spacing w:line="360" w:lineRule="atLeast"/>
        <w:ind w:left="540" w:hanging="540"/>
        <w:jc w:val="both"/>
        <w:rPr>
          <w:rFonts w:cs="Times New Roman"/>
          <w:kern w:val="0"/>
          <w:szCs w:val="20"/>
          <w:lang w:val="en-GB"/>
        </w:rPr>
      </w:pPr>
    </w:p>
    <w:p w:rsidR="00D330E3" w:rsidRPr="00D330E3" w:rsidRDefault="00D330E3" w:rsidP="00C659B3">
      <w:pPr>
        <w:widowControl/>
        <w:snapToGrid w:val="0"/>
        <w:spacing w:line="360" w:lineRule="atLeast"/>
        <w:ind w:left="540" w:hanging="540"/>
        <w:jc w:val="both"/>
        <w:rPr>
          <w:rFonts w:cs="Times New Roman"/>
          <w:kern w:val="0"/>
          <w:szCs w:val="20"/>
          <w:lang w:val="en-GB"/>
        </w:rPr>
      </w:pPr>
      <w:r w:rsidRPr="00D330E3">
        <w:rPr>
          <w:rFonts w:cs="Times New Roman"/>
          <w:kern w:val="0"/>
          <w:szCs w:val="20"/>
          <w:lang w:val="en-GB"/>
        </w:rPr>
        <w:t>(e)</w:t>
      </w:r>
      <w:r w:rsidRPr="00D330E3">
        <w:rPr>
          <w:rFonts w:cs="Times New Roman"/>
          <w:kern w:val="0"/>
          <w:szCs w:val="20"/>
          <w:lang w:val="en-GB"/>
        </w:rPr>
        <w:tab/>
      </w:r>
      <w:r w:rsidRPr="00D330E3">
        <w:rPr>
          <w:rFonts w:cs="Times New Roman"/>
          <w:b/>
          <w:kern w:val="0"/>
          <w:szCs w:val="20"/>
          <w:lang w:val="en-GB"/>
        </w:rPr>
        <w:t>醫療費用：</w:t>
      </w:r>
      <w:r w:rsidRPr="00D330E3">
        <w:rPr>
          <w:rFonts w:cs="Times New Roman"/>
          <w:kern w:val="0"/>
          <w:szCs w:val="20"/>
          <w:lang w:val="en-GB"/>
        </w:rPr>
        <w:t>住院或門診治療的可索還醫療費最高每天限額為</w:t>
      </w:r>
      <w:r w:rsidRPr="00D330E3">
        <w:rPr>
          <w:rFonts w:cs="Times New Roman"/>
          <w:kern w:val="0"/>
          <w:szCs w:val="20"/>
          <w:lang w:val="en-GB"/>
        </w:rPr>
        <w:t>300‍</w:t>
      </w:r>
      <w:r w:rsidRPr="00D330E3">
        <w:rPr>
          <w:rFonts w:cs="Times New Roman"/>
          <w:kern w:val="0"/>
          <w:szCs w:val="20"/>
          <w:lang w:val="en-GB"/>
        </w:rPr>
        <w:t>元；而同一天接受住院及門診治療的可索還醫療費最高每天限額為</w:t>
      </w:r>
      <w:r w:rsidRPr="00D330E3">
        <w:rPr>
          <w:rFonts w:cs="Times New Roman"/>
          <w:kern w:val="0"/>
          <w:szCs w:val="20"/>
          <w:lang w:val="en-GB"/>
        </w:rPr>
        <w:t>370</w:t>
      </w:r>
      <w:r w:rsidRPr="00D330E3">
        <w:rPr>
          <w:rFonts w:cs="Times New Roman"/>
          <w:kern w:val="0"/>
          <w:szCs w:val="20"/>
          <w:lang w:val="en-GB"/>
        </w:rPr>
        <w:t>元；</w:t>
      </w:r>
    </w:p>
    <w:p w:rsidR="00D330E3" w:rsidRPr="00D330E3" w:rsidRDefault="00D330E3" w:rsidP="00C659B3">
      <w:pPr>
        <w:widowControl/>
        <w:snapToGrid w:val="0"/>
        <w:spacing w:line="360" w:lineRule="atLeast"/>
        <w:ind w:left="540" w:hanging="540"/>
        <w:jc w:val="both"/>
        <w:rPr>
          <w:rFonts w:cs="Times New Roman"/>
          <w:kern w:val="0"/>
          <w:szCs w:val="20"/>
          <w:lang w:val="en-GB"/>
        </w:rPr>
      </w:pPr>
    </w:p>
    <w:p w:rsidR="00D330E3" w:rsidRPr="00D330E3" w:rsidRDefault="00D330E3" w:rsidP="00C659B3">
      <w:pPr>
        <w:widowControl/>
        <w:snapToGrid w:val="0"/>
        <w:spacing w:line="360" w:lineRule="atLeast"/>
        <w:ind w:left="540" w:hanging="540"/>
        <w:jc w:val="both"/>
        <w:rPr>
          <w:rFonts w:cs="Times New Roman"/>
          <w:kern w:val="0"/>
          <w:szCs w:val="20"/>
          <w:lang w:val="en-GB"/>
        </w:rPr>
      </w:pPr>
      <w:r w:rsidRPr="00D330E3">
        <w:rPr>
          <w:rFonts w:cs="Times New Roman"/>
          <w:kern w:val="0"/>
          <w:szCs w:val="20"/>
          <w:lang w:val="en-GB"/>
        </w:rPr>
        <w:t xml:space="preserve">(f) </w:t>
      </w:r>
      <w:r w:rsidRPr="00D330E3">
        <w:rPr>
          <w:rFonts w:cs="Times New Roman"/>
          <w:kern w:val="0"/>
          <w:szCs w:val="20"/>
          <w:lang w:val="en-GB"/>
        </w:rPr>
        <w:tab/>
      </w:r>
      <w:r w:rsidRPr="00D330E3">
        <w:rPr>
          <w:rFonts w:cs="Times New Roman"/>
          <w:b/>
          <w:kern w:val="0"/>
          <w:szCs w:val="20"/>
          <w:lang w:val="en-GB"/>
        </w:rPr>
        <w:t>義製人體器官或外科器具的費用：</w:t>
      </w:r>
      <w:r w:rsidRPr="00D330E3">
        <w:rPr>
          <w:rFonts w:cs="Times New Roman"/>
          <w:kern w:val="0"/>
          <w:szCs w:val="20"/>
          <w:lang w:val="en-GB"/>
        </w:rPr>
        <w:t>供應及裝配義製人體器官或外科器具的最高費用為</w:t>
      </w:r>
      <w:r w:rsidRPr="00D330E3">
        <w:rPr>
          <w:rFonts w:cs="Times New Roman"/>
          <w:kern w:val="0"/>
          <w:szCs w:val="20"/>
          <w:lang w:val="en-GB"/>
        </w:rPr>
        <w:t>40,010</w:t>
      </w:r>
      <w:r w:rsidRPr="00D330E3">
        <w:rPr>
          <w:rFonts w:cs="Times New Roman"/>
          <w:kern w:val="0"/>
          <w:szCs w:val="20"/>
          <w:lang w:val="en-GB"/>
        </w:rPr>
        <w:t>元，而在</w:t>
      </w:r>
      <w:r w:rsidRPr="00D330E3">
        <w:rPr>
          <w:rFonts w:cs="Times New Roman"/>
          <w:kern w:val="0"/>
          <w:szCs w:val="20"/>
          <w:lang w:val="en-GB"/>
        </w:rPr>
        <w:t>10</w:t>
      </w:r>
      <w:r w:rsidRPr="00D330E3">
        <w:rPr>
          <w:rFonts w:cs="Times New Roman"/>
          <w:kern w:val="0"/>
          <w:szCs w:val="20"/>
          <w:lang w:val="en-GB"/>
        </w:rPr>
        <w:t>年內維修及更換有關項目的最高費用為</w:t>
      </w:r>
      <w:r w:rsidRPr="00D330E3">
        <w:rPr>
          <w:rFonts w:cs="Times New Roman"/>
          <w:kern w:val="0"/>
          <w:szCs w:val="20"/>
          <w:lang w:val="en-GB"/>
        </w:rPr>
        <w:t>121,230</w:t>
      </w:r>
      <w:r w:rsidRPr="00D330E3">
        <w:rPr>
          <w:rFonts w:cs="Times New Roman"/>
          <w:kern w:val="0"/>
          <w:szCs w:val="20"/>
          <w:lang w:val="en-GB"/>
        </w:rPr>
        <w:t>元；以及</w:t>
      </w:r>
    </w:p>
    <w:p w:rsidR="00D330E3" w:rsidRPr="00D330E3" w:rsidRDefault="00D330E3" w:rsidP="00C659B3">
      <w:pPr>
        <w:widowControl/>
        <w:snapToGrid w:val="0"/>
        <w:spacing w:line="360" w:lineRule="atLeast"/>
        <w:ind w:left="540" w:hanging="540"/>
        <w:jc w:val="both"/>
        <w:rPr>
          <w:rFonts w:cs="Times New Roman"/>
          <w:kern w:val="0"/>
          <w:szCs w:val="20"/>
          <w:lang w:val="en-GB"/>
        </w:rPr>
      </w:pPr>
    </w:p>
    <w:p w:rsidR="00D330E3" w:rsidRPr="00D330E3" w:rsidRDefault="00D330E3" w:rsidP="00C659B3">
      <w:pPr>
        <w:widowControl/>
        <w:snapToGrid w:val="0"/>
        <w:spacing w:line="360" w:lineRule="atLeast"/>
        <w:ind w:left="540" w:hanging="540"/>
        <w:jc w:val="both"/>
        <w:rPr>
          <w:rFonts w:eastAsia="新細明體" w:cs="Times New Roman"/>
          <w:kern w:val="0"/>
          <w:szCs w:val="20"/>
          <w:lang w:val="en-GB"/>
        </w:rPr>
      </w:pPr>
      <w:r w:rsidRPr="00D330E3">
        <w:rPr>
          <w:rFonts w:cs="Times New Roman"/>
          <w:kern w:val="0"/>
          <w:szCs w:val="20"/>
          <w:lang w:val="en-GB"/>
        </w:rPr>
        <w:t>(g)</w:t>
      </w:r>
      <w:r w:rsidRPr="00D330E3">
        <w:rPr>
          <w:rFonts w:cs="Times New Roman"/>
          <w:kern w:val="0"/>
          <w:szCs w:val="20"/>
          <w:lang w:val="en-GB"/>
        </w:rPr>
        <w:tab/>
      </w:r>
      <w:r w:rsidRPr="00D330E3">
        <w:rPr>
          <w:rFonts w:cs="Times New Roman"/>
          <w:b/>
          <w:kern w:val="0"/>
          <w:szCs w:val="20"/>
          <w:lang w:val="en-GB"/>
        </w:rPr>
        <w:t>殯殮費用：</w:t>
      </w:r>
      <w:r w:rsidRPr="00D330E3">
        <w:rPr>
          <w:rFonts w:cs="Times New Roman"/>
          <w:kern w:val="0"/>
          <w:szCs w:val="20"/>
          <w:lang w:val="en-GB"/>
        </w:rPr>
        <w:t>若僱員在受僱工作期間因工遭遇意外（或患上該條例訂明的職業病）以致死亡，僱主須向曾支付已故僱員的殯殮費的人士發還有關費用，可索還的殯殮費上限為</w:t>
      </w:r>
      <w:r w:rsidRPr="00D330E3">
        <w:rPr>
          <w:rFonts w:cs="Times New Roman"/>
          <w:kern w:val="0"/>
          <w:szCs w:val="20"/>
          <w:lang w:val="en-GB"/>
        </w:rPr>
        <w:t>83,700</w:t>
      </w:r>
      <w:r w:rsidRPr="00D330E3">
        <w:rPr>
          <w:rFonts w:cs="Times New Roman"/>
          <w:kern w:val="0"/>
          <w:szCs w:val="20"/>
          <w:lang w:val="en-GB"/>
        </w:rPr>
        <w:t>元。</w:t>
      </w:r>
    </w:p>
    <w:p w:rsidR="00222D16" w:rsidRDefault="00222D16" w:rsidP="00222D16">
      <w:pPr>
        <w:autoSpaceDE w:val="0"/>
        <w:autoSpaceDN w:val="0"/>
        <w:adjustRightInd w:val="0"/>
        <w:snapToGrid w:val="0"/>
        <w:spacing w:after="360" w:line="360" w:lineRule="atLeast"/>
        <w:rPr>
          <w:rFonts w:cs="Times New Roman"/>
          <w:kern w:val="0"/>
          <w:sz w:val="24"/>
          <w:szCs w:val="24"/>
          <w:lang w:val="en-GB"/>
        </w:rPr>
        <w:sectPr w:rsidR="00222D16" w:rsidSect="00D330E3">
          <w:footerReference w:type="default" r:id="rId40"/>
          <w:pgSz w:w="11906" w:h="16838"/>
          <w:pgMar w:top="1440" w:right="1800" w:bottom="1276" w:left="1800" w:header="720" w:footer="720" w:gutter="0"/>
          <w:pgNumType w:start="1"/>
          <w:cols w:space="425"/>
          <w:docGrid w:type="lines" w:linePitch="381"/>
        </w:sectPr>
      </w:pPr>
    </w:p>
    <w:p w:rsidR="00222D16" w:rsidRPr="000F5579" w:rsidRDefault="00222D16" w:rsidP="00222D16">
      <w:pPr>
        <w:snapToGrid w:val="0"/>
        <w:spacing w:line="400" w:lineRule="atLeast"/>
        <w:jc w:val="right"/>
        <w:rPr>
          <w:rFonts w:cs="Times New Roman"/>
          <w:b/>
          <w:szCs w:val="28"/>
        </w:rPr>
      </w:pPr>
      <w:r w:rsidRPr="000F5579">
        <w:rPr>
          <w:rFonts w:cs="Times New Roman"/>
          <w:b/>
          <w:szCs w:val="28"/>
          <w:lang w:eastAsia="zh-HK"/>
        </w:rPr>
        <w:lastRenderedPageBreak/>
        <w:t>附件</w:t>
      </w:r>
      <w:r w:rsidRPr="000F5579">
        <w:rPr>
          <w:rFonts w:cs="Times New Roman"/>
          <w:b/>
          <w:szCs w:val="28"/>
        </w:rPr>
        <w:t>10A</w:t>
      </w:r>
    </w:p>
    <w:p w:rsidR="00222D16" w:rsidRDefault="00222D16" w:rsidP="00222D16">
      <w:pPr>
        <w:snapToGrid w:val="0"/>
        <w:spacing w:line="400" w:lineRule="atLeast"/>
      </w:pPr>
    </w:p>
    <w:p w:rsidR="00222D16" w:rsidRDefault="00222D16" w:rsidP="00222D16">
      <w:pPr>
        <w:snapToGrid w:val="0"/>
        <w:spacing w:line="400" w:lineRule="atLeast"/>
        <w:jc w:val="center"/>
        <w:rPr>
          <w:b/>
          <w:szCs w:val="28"/>
        </w:rPr>
      </w:pPr>
      <w:r w:rsidRPr="000F5579">
        <w:rPr>
          <w:rFonts w:hint="eastAsia"/>
          <w:b/>
          <w:szCs w:val="28"/>
          <w:lang w:eastAsia="zh-HK"/>
        </w:rPr>
        <w:t>單親家</w:t>
      </w:r>
      <w:r w:rsidRPr="000F5579">
        <w:rPr>
          <w:rFonts w:hint="eastAsia"/>
          <w:b/>
          <w:szCs w:val="28"/>
        </w:rPr>
        <w:t>庭</w:t>
      </w:r>
      <w:r w:rsidRPr="000F5579">
        <w:rPr>
          <w:rFonts w:hint="eastAsia"/>
          <w:b/>
          <w:szCs w:val="28"/>
          <w:lang w:eastAsia="zh-HK"/>
        </w:rPr>
        <w:t>的情</w:t>
      </w:r>
      <w:r w:rsidRPr="000F5579">
        <w:rPr>
          <w:rFonts w:hint="eastAsia"/>
          <w:b/>
          <w:szCs w:val="28"/>
        </w:rPr>
        <w:t>況</w:t>
      </w:r>
    </w:p>
    <w:p w:rsidR="00222D16" w:rsidRDefault="00222D16" w:rsidP="00222D16">
      <w:pPr>
        <w:snapToGrid w:val="0"/>
        <w:spacing w:line="400" w:lineRule="atLeast"/>
        <w:jc w:val="center"/>
        <w:rPr>
          <w:b/>
          <w:szCs w:val="28"/>
        </w:rPr>
      </w:pPr>
    </w:p>
    <w:p w:rsidR="00222D16" w:rsidRPr="000F5579" w:rsidRDefault="00222D16" w:rsidP="00222D16">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w:t>
      </w:r>
      <w:r>
        <w:rPr>
          <w:rFonts w:cs="Times New Roman"/>
          <w:bCs/>
          <w:kern w:val="0"/>
          <w:szCs w:val="28"/>
        </w:rPr>
        <w:t>.</w:t>
      </w:r>
      <w:r w:rsidRPr="00DE7372">
        <w:rPr>
          <w:rFonts w:cs="Times New Roman" w:hint="eastAsia"/>
          <w:bCs/>
          <w:kern w:val="0"/>
          <w:szCs w:val="28"/>
          <w:lang w:eastAsia="zh-HK"/>
        </w:rPr>
        <w:tab/>
      </w:r>
      <w:r w:rsidRPr="000F5579">
        <w:rPr>
          <w:rFonts w:cs="Times New Roman" w:hint="eastAsia"/>
          <w:bCs/>
          <w:kern w:val="0"/>
          <w:szCs w:val="28"/>
          <w:lang w:eastAsia="zh-HK"/>
        </w:rPr>
        <w:t>上一</w:t>
      </w:r>
      <w:r w:rsidRPr="000F5579">
        <w:rPr>
          <w:rFonts w:cs="Times New Roman" w:hint="eastAsia"/>
          <w:bCs/>
          <w:kern w:val="0"/>
          <w:szCs w:val="28"/>
        </w:rPr>
        <w:t>次報告第</w:t>
      </w:r>
      <w:r w:rsidRPr="000F5579">
        <w:rPr>
          <w:rFonts w:cs="Times New Roman"/>
          <w:bCs/>
          <w:kern w:val="0"/>
          <w:szCs w:val="28"/>
        </w:rPr>
        <w:t>10.</w:t>
      </w:r>
      <w:r w:rsidRPr="000F5579">
        <w:rPr>
          <w:rFonts w:cs="Times New Roman" w:hint="eastAsia"/>
          <w:bCs/>
          <w:kern w:val="0"/>
          <w:szCs w:val="28"/>
        </w:rPr>
        <w:t>2</w:t>
      </w:r>
      <w:r w:rsidRPr="000F5579">
        <w:rPr>
          <w:rFonts w:cs="Times New Roman" w:hint="eastAsia"/>
          <w:bCs/>
          <w:kern w:val="0"/>
          <w:szCs w:val="28"/>
        </w:rPr>
        <w:t>段有關單親家庭的情況更新如下：</w:t>
      </w:r>
      <w:r w:rsidRPr="000F5579">
        <w:rPr>
          <w:rFonts w:cs="Times New Roman"/>
          <w:bCs/>
          <w:kern w:val="0"/>
          <w:szCs w:val="28"/>
        </w:rPr>
        <w:br/>
      </w:r>
    </w:p>
    <w:tbl>
      <w:tblPr>
        <w:tblW w:w="76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8"/>
        <w:gridCol w:w="2170"/>
        <w:gridCol w:w="2170"/>
        <w:gridCol w:w="2006"/>
      </w:tblGrid>
      <w:tr w:rsidR="00222D16" w:rsidRPr="000F5579" w:rsidTr="00E22C88">
        <w:trPr>
          <w:jc w:val="right"/>
        </w:trPr>
        <w:tc>
          <w:tcPr>
            <w:tcW w:w="1268" w:type="dxa"/>
            <w:tcBorders>
              <w:bottom w:val="single" w:sz="4" w:space="0" w:color="auto"/>
            </w:tcBorders>
          </w:tcPr>
          <w:p w:rsidR="00222D16" w:rsidRPr="000F5579" w:rsidRDefault="00222D16" w:rsidP="00E22C88">
            <w:pPr>
              <w:tabs>
                <w:tab w:val="left" w:pos="1440"/>
              </w:tabs>
              <w:snapToGrid w:val="0"/>
              <w:spacing w:line="400" w:lineRule="atLeast"/>
              <w:jc w:val="center"/>
              <w:rPr>
                <w:rFonts w:cs="Times New Roman"/>
                <w:b/>
                <w:bCs/>
                <w:kern w:val="0"/>
                <w:szCs w:val="20"/>
                <w:lang w:val="en-GB"/>
              </w:rPr>
            </w:pPr>
            <w:r w:rsidRPr="000F5579">
              <w:rPr>
                <w:rFonts w:cs="Times New Roman" w:hint="eastAsia"/>
                <w:b/>
                <w:bCs/>
                <w:kern w:val="0"/>
                <w:szCs w:val="20"/>
                <w:lang w:val="en-GB"/>
              </w:rPr>
              <w:t>年份</w:t>
            </w:r>
          </w:p>
        </w:tc>
        <w:tc>
          <w:tcPr>
            <w:tcW w:w="2170" w:type="dxa"/>
            <w:tcBorders>
              <w:bottom w:val="single" w:sz="4" w:space="0" w:color="auto"/>
            </w:tcBorders>
          </w:tcPr>
          <w:p w:rsidR="00222D16" w:rsidRPr="000F5579" w:rsidRDefault="00222D16" w:rsidP="00E22C88">
            <w:pPr>
              <w:tabs>
                <w:tab w:val="left" w:pos="1440"/>
              </w:tabs>
              <w:snapToGrid w:val="0"/>
              <w:spacing w:line="400" w:lineRule="atLeast"/>
              <w:jc w:val="center"/>
              <w:rPr>
                <w:rFonts w:cs="Times New Roman"/>
                <w:b/>
                <w:bCs/>
                <w:kern w:val="0"/>
                <w:szCs w:val="20"/>
                <w:lang w:val="en-GB"/>
              </w:rPr>
            </w:pPr>
            <w:r w:rsidRPr="000F5579">
              <w:rPr>
                <w:rFonts w:cs="Times New Roman" w:hint="eastAsia"/>
                <w:b/>
                <w:bCs/>
                <w:kern w:val="0"/>
                <w:szCs w:val="20"/>
                <w:lang w:val="en-GB"/>
              </w:rPr>
              <w:t>單身母親</w:t>
            </w:r>
          </w:p>
        </w:tc>
        <w:tc>
          <w:tcPr>
            <w:tcW w:w="2170" w:type="dxa"/>
            <w:tcBorders>
              <w:bottom w:val="single" w:sz="4" w:space="0" w:color="auto"/>
            </w:tcBorders>
          </w:tcPr>
          <w:p w:rsidR="00222D16" w:rsidRPr="000F5579" w:rsidRDefault="00222D16" w:rsidP="00E22C88">
            <w:pPr>
              <w:tabs>
                <w:tab w:val="left" w:pos="1440"/>
              </w:tabs>
              <w:snapToGrid w:val="0"/>
              <w:spacing w:line="400" w:lineRule="atLeast"/>
              <w:jc w:val="center"/>
              <w:rPr>
                <w:rFonts w:cs="Times New Roman"/>
                <w:b/>
                <w:bCs/>
                <w:kern w:val="0"/>
                <w:szCs w:val="20"/>
                <w:lang w:val="en-GB"/>
              </w:rPr>
            </w:pPr>
            <w:r w:rsidRPr="000F5579">
              <w:rPr>
                <w:rFonts w:cs="Times New Roman" w:hint="eastAsia"/>
                <w:b/>
                <w:bCs/>
                <w:kern w:val="0"/>
                <w:szCs w:val="20"/>
                <w:lang w:val="en-GB"/>
              </w:rPr>
              <w:t>單身父親</w:t>
            </w:r>
          </w:p>
        </w:tc>
        <w:tc>
          <w:tcPr>
            <w:tcW w:w="2006" w:type="dxa"/>
            <w:tcBorders>
              <w:bottom w:val="single" w:sz="4" w:space="0" w:color="auto"/>
            </w:tcBorders>
          </w:tcPr>
          <w:p w:rsidR="00222D16" w:rsidRPr="000F5579" w:rsidRDefault="00222D16" w:rsidP="00E22C88">
            <w:pPr>
              <w:tabs>
                <w:tab w:val="left" w:pos="1440"/>
              </w:tabs>
              <w:snapToGrid w:val="0"/>
              <w:spacing w:line="400" w:lineRule="atLeast"/>
              <w:jc w:val="center"/>
              <w:rPr>
                <w:rFonts w:cs="Times New Roman"/>
                <w:b/>
                <w:bCs/>
                <w:kern w:val="0"/>
                <w:szCs w:val="20"/>
                <w:lang w:val="en-GB"/>
              </w:rPr>
            </w:pPr>
            <w:r w:rsidRPr="000F5579">
              <w:rPr>
                <w:rFonts w:cs="Times New Roman" w:hint="eastAsia"/>
                <w:b/>
                <w:bCs/>
                <w:kern w:val="0"/>
                <w:szCs w:val="20"/>
                <w:lang w:val="en-GB"/>
              </w:rPr>
              <w:t>總數</w:t>
            </w:r>
          </w:p>
        </w:tc>
      </w:tr>
      <w:tr w:rsidR="00222D16" w:rsidRPr="000F5579" w:rsidTr="00E22C88">
        <w:trPr>
          <w:jc w:val="right"/>
        </w:trPr>
        <w:tc>
          <w:tcPr>
            <w:tcW w:w="1268" w:type="dxa"/>
            <w:tcBorders>
              <w:bottom w:val="nil"/>
            </w:tcBorders>
          </w:tcPr>
          <w:p w:rsidR="00222D16" w:rsidRPr="000F5579" w:rsidRDefault="00222D16" w:rsidP="00E22C88">
            <w:pPr>
              <w:tabs>
                <w:tab w:val="left" w:pos="240"/>
                <w:tab w:val="left" w:pos="1440"/>
              </w:tabs>
              <w:snapToGrid w:val="0"/>
              <w:spacing w:line="400" w:lineRule="atLeast"/>
              <w:rPr>
                <w:rFonts w:cs="Times New Roman"/>
                <w:bCs/>
                <w:kern w:val="0"/>
                <w:szCs w:val="20"/>
                <w:lang w:val="en-GB" w:eastAsia="zh-HK"/>
              </w:rPr>
            </w:pPr>
            <w:r w:rsidRPr="000F5579">
              <w:rPr>
                <w:rFonts w:cs="Times New Roman" w:hint="eastAsia"/>
                <w:bCs/>
                <w:kern w:val="0"/>
                <w:szCs w:val="20"/>
                <w:lang w:val="en-GB" w:eastAsia="zh-HK"/>
              </w:rPr>
              <w:t>20</w:t>
            </w:r>
            <w:r w:rsidRPr="000F5579">
              <w:rPr>
                <w:rFonts w:cs="Times New Roman" w:hint="eastAsia"/>
                <w:bCs/>
                <w:kern w:val="0"/>
                <w:szCs w:val="20"/>
                <w:lang w:val="en-GB"/>
              </w:rPr>
              <w:t>1</w:t>
            </w:r>
            <w:r w:rsidRPr="000F5579">
              <w:rPr>
                <w:rFonts w:cs="Times New Roman" w:hint="eastAsia"/>
                <w:bCs/>
                <w:kern w:val="0"/>
                <w:szCs w:val="20"/>
                <w:lang w:val="en-GB" w:eastAsia="zh-HK"/>
              </w:rPr>
              <w:t>6</w:t>
            </w:r>
            <w:r w:rsidRPr="000F5579">
              <w:rPr>
                <w:rFonts w:cs="Times New Roman" w:hint="eastAsia"/>
                <w:bCs/>
                <w:kern w:val="0"/>
                <w:szCs w:val="20"/>
                <w:vertAlign w:val="superscript"/>
                <w:lang w:val="en-GB" w:eastAsia="zh-HK"/>
              </w:rPr>
              <w:t>*</w:t>
            </w:r>
          </w:p>
          <w:p w:rsidR="00222D16" w:rsidRPr="000F5579" w:rsidRDefault="00222D16" w:rsidP="00E22C88">
            <w:pPr>
              <w:tabs>
                <w:tab w:val="left" w:pos="240"/>
                <w:tab w:val="left" w:pos="1440"/>
              </w:tabs>
              <w:snapToGrid w:val="0"/>
              <w:spacing w:line="400" w:lineRule="atLeast"/>
              <w:rPr>
                <w:rFonts w:cs="Times New Roman"/>
                <w:bCs/>
                <w:kern w:val="0"/>
                <w:szCs w:val="20"/>
                <w:lang w:val="en-GB"/>
              </w:rPr>
            </w:pPr>
            <w:r w:rsidRPr="000F5579">
              <w:rPr>
                <w:rFonts w:cs="Times New Roman" w:hint="eastAsia"/>
                <w:bCs/>
                <w:kern w:val="0"/>
                <w:szCs w:val="20"/>
                <w:lang w:val="en-GB" w:eastAsia="zh-HK"/>
              </w:rPr>
              <w:t>20</w:t>
            </w:r>
            <w:r w:rsidRPr="000F5579">
              <w:rPr>
                <w:rFonts w:cs="Times New Roman" w:hint="eastAsia"/>
                <w:bCs/>
                <w:kern w:val="0"/>
                <w:szCs w:val="20"/>
                <w:lang w:val="en-GB"/>
              </w:rPr>
              <w:t>1</w:t>
            </w:r>
            <w:r w:rsidRPr="000F5579">
              <w:rPr>
                <w:rFonts w:cs="Times New Roman" w:hint="eastAsia"/>
                <w:bCs/>
                <w:kern w:val="0"/>
                <w:szCs w:val="20"/>
                <w:lang w:val="en-GB" w:eastAsia="zh-HK"/>
              </w:rPr>
              <w:t>1</w:t>
            </w:r>
            <w:r w:rsidRPr="000F5579">
              <w:rPr>
                <w:rFonts w:cs="Times New Roman" w:hint="eastAsia"/>
                <w:bCs/>
                <w:kern w:val="0"/>
                <w:szCs w:val="20"/>
                <w:vertAlign w:val="superscript"/>
                <w:lang w:val="en-GB" w:eastAsia="zh-HK"/>
              </w:rPr>
              <w:t>**</w:t>
            </w:r>
          </w:p>
          <w:p w:rsidR="00222D16" w:rsidRPr="000F5579" w:rsidRDefault="00222D16" w:rsidP="00E22C88">
            <w:pPr>
              <w:tabs>
                <w:tab w:val="left" w:pos="240"/>
                <w:tab w:val="left" w:pos="1440"/>
              </w:tabs>
              <w:snapToGrid w:val="0"/>
              <w:spacing w:line="400" w:lineRule="atLeast"/>
              <w:rPr>
                <w:rFonts w:cs="Times New Roman"/>
                <w:bCs/>
                <w:kern w:val="0"/>
                <w:szCs w:val="20"/>
                <w:lang w:val="en-GB"/>
              </w:rPr>
            </w:pPr>
            <w:r w:rsidRPr="000F5579">
              <w:rPr>
                <w:rFonts w:cs="Times New Roman" w:hint="eastAsia"/>
                <w:bCs/>
                <w:kern w:val="0"/>
                <w:szCs w:val="20"/>
                <w:lang w:val="en-GB"/>
              </w:rPr>
              <w:t>200</w:t>
            </w:r>
            <w:r w:rsidRPr="000F5579">
              <w:rPr>
                <w:rFonts w:cs="Times New Roman"/>
                <w:bCs/>
                <w:kern w:val="0"/>
                <w:szCs w:val="20"/>
                <w:lang w:val="en-GB"/>
              </w:rPr>
              <w:t>6</w:t>
            </w:r>
            <w:r w:rsidRPr="000F5579">
              <w:rPr>
                <w:rFonts w:cs="Times New Roman" w:hint="eastAsia"/>
                <w:bCs/>
                <w:kern w:val="0"/>
                <w:szCs w:val="20"/>
                <w:vertAlign w:val="superscript"/>
                <w:lang w:val="en-GB" w:eastAsia="zh-HK"/>
              </w:rPr>
              <w:t>*</w:t>
            </w:r>
          </w:p>
        </w:tc>
        <w:tc>
          <w:tcPr>
            <w:tcW w:w="2170" w:type="dxa"/>
            <w:tcBorders>
              <w:bottom w:val="nil"/>
            </w:tcBorders>
          </w:tcPr>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56 545 (77.0%)</w:t>
            </w:r>
          </w:p>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64 040 (78.4%)</w:t>
            </w:r>
          </w:p>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60 675 (79.4%)</w:t>
            </w:r>
          </w:p>
        </w:tc>
        <w:tc>
          <w:tcPr>
            <w:tcW w:w="2170" w:type="dxa"/>
            <w:tcBorders>
              <w:bottom w:val="nil"/>
            </w:tcBorders>
          </w:tcPr>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16 883 (23.0%)</w:t>
            </w:r>
          </w:p>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17 665 (21.6%)</w:t>
            </w:r>
          </w:p>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15 748 (20.6%)</w:t>
            </w:r>
          </w:p>
        </w:tc>
        <w:tc>
          <w:tcPr>
            <w:tcW w:w="2006" w:type="dxa"/>
            <w:tcBorders>
              <w:bottom w:val="nil"/>
            </w:tcBorders>
          </w:tcPr>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73 428 (100%)</w:t>
            </w:r>
          </w:p>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81 705 (100%)</w:t>
            </w:r>
          </w:p>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76 423 (100%)</w:t>
            </w:r>
          </w:p>
        </w:tc>
      </w:tr>
      <w:tr w:rsidR="00222D16" w:rsidRPr="000F5579" w:rsidTr="00E22C88">
        <w:trPr>
          <w:jc w:val="right"/>
        </w:trPr>
        <w:tc>
          <w:tcPr>
            <w:tcW w:w="1268" w:type="dxa"/>
            <w:tcBorders>
              <w:top w:val="nil"/>
            </w:tcBorders>
          </w:tcPr>
          <w:p w:rsidR="00222D16" w:rsidRPr="000F5579" w:rsidRDefault="00222D16" w:rsidP="00E22C88">
            <w:pPr>
              <w:tabs>
                <w:tab w:val="left" w:pos="240"/>
                <w:tab w:val="left" w:pos="1440"/>
              </w:tabs>
              <w:snapToGrid w:val="0"/>
              <w:spacing w:line="400" w:lineRule="atLeast"/>
              <w:rPr>
                <w:rFonts w:cs="Times New Roman"/>
                <w:bCs/>
                <w:kern w:val="0"/>
                <w:szCs w:val="20"/>
                <w:lang w:val="en-GB"/>
              </w:rPr>
            </w:pPr>
            <w:r w:rsidRPr="000F5579">
              <w:rPr>
                <w:rFonts w:cs="Times New Roman" w:hint="eastAsia"/>
                <w:bCs/>
                <w:kern w:val="0"/>
                <w:szCs w:val="20"/>
                <w:lang w:val="en-GB"/>
              </w:rPr>
              <w:t>2001</w:t>
            </w:r>
            <w:r w:rsidRPr="000F5579">
              <w:rPr>
                <w:rFonts w:cs="Times New Roman" w:hint="eastAsia"/>
                <w:bCs/>
                <w:kern w:val="0"/>
                <w:szCs w:val="20"/>
                <w:vertAlign w:val="superscript"/>
                <w:lang w:val="en-GB"/>
              </w:rPr>
              <w:t>**</w:t>
            </w:r>
          </w:p>
        </w:tc>
        <w:tc>
          <w:tcPr>
            <w:tcW w:w="2170" w:type="dxa"/>
            <w:tcBorders>
              <w:top w:val="nil"/>
            </w:tcBorders>
          </w:tcPr>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47 215 (76.9%)</w:t>
            </w:r>
          </w:p>
        </w:tc>
        <w:tc>
          <w:tcPr>
            <w:tcW w:w="2170" w:type="dxa"/>
            <w:tcBorders>
              <w:top w:val="nil"/>
            </w:tcBorders>
          </w:tcPr>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14 216 (23.1%)</w:t>
            </w:r>
          </w:p>
        </w:tc>
        <w:tc>
          <w:tcPr>
            <w:tcW w:w="2006" w:type="dxa"/>
            <w:tcBorders>
              <w:top w:val="nil"/>
            </w:tcBorders>
          </w:tcPr>
          <w:p w:rsidR="00222D16" w:rsidRPr="000F5579" w:rsidRDefault="00222D16" w:rsidP="00E22C88">
            <w:pPr>
              <w:tabs>
                <w:tab w:val="left" w:pos="1440"/>
              </w:tabs>
              <w:snapToGrid w:val="0"/>
              <w:spacing w:line="400" w:lineRule="atLeast"/>
              <w:jc w:val="center"/>
              <w:rPr>
                <w:rFonts w:cs="Times New Roman"/>
                <w:bCs/>
                <w:kern w:val="0"/>
                <w:szCs w:val="20"/>
                <w:lang w:val="en-GB"/>
              </w:rPr>
            </w:pPr>
            <w:r w:rsidRPr="000F5579">
              <w:rPr>
                <w:rFonts w:cs="Times New Roman"/>
                <w:bCs/>
                <w:kern w:val="0"/>
                <w:szCs w:val="20"/>
                <w:lang w:val="en-GB"/>
              </w:rPr>
              <w:t>61 431 (100%)</w:t>
            </w:r>
          </w:p>
        </w:tc>
      </w:tr>
    </w:tbl>
    <w:p w:rsidR="00222D16" w:rsidRPr="000F5579" w:rsidRDefault="00222D16" w:rsidP="00222D16">
      <w:pPr>
        <w:tabs>
          <w:tab w:val="left" w:pos="720"/>
          <w:tab w:val="left" w:pos="1440"/>
        </w:tabs>
        <w:adjustRightInd w:val="0"/>
        <w:snapToGrid w:val="0"/>
        <w:spacing w:line="400" w:lineRule="atLeast"/>
        <w:jc w:val="both"/>
        <w:rPr>
          <w:rFonts w:cs="Times New Roman"/>
          <w:bCs/>
          <w:kern w:val="0"/>
          <w:szCs w:val="28"/>
        </w:rPr>
      </w:pPr>
      <w:r w:rsidRPr="000F5579">
        <w:rPr>
          <w:rFonts w:cs="Times New Roman" w:hint="eastAsia"/>
          <w:bCs/>
          <w:kern w:val="0"/>
          <w:szCs w:val="28"/>
        </w:rPr>
        <w:tab/>
        <w:t xml:space="preserve">* </w:t>
      </w:r>
      <w:r w:rsidRPr="000F5579">
        <w:rPr>
          <w:rFonts w:cs="Times New Roman" w:hint="eastAsia"/>
          <w:bCs/>
          <w:kern w:val="0"/>
          <w:szCs w:val="28"/>
        </w:rPr>
        <w:tab/>
      </w:r>
      <w:r w:rsidRPr="000F5579">
        <w:rPr>
          <w:rFonts w:cs="Times New Roman" w:hint="eastAsia"/>
          <w:bCs/>
          <w:kern w:val="0"/>
          <w:szCs w:val="28"/>
        </w:rPr>
        <w:t>中期人口統計</w:t>
      </w:r>
    </w:p>
    <w:p w:rsidR="00222D16" w:rsidRPr="000F5579" w:rsidRDefault="00222D16" w:rsidP="00222D16">
      <w:pPr>
        <w:tabs>
          <w:tab w:val="left" w:pos="720"/>
          <w:tab w:val="left" w:pos="1440"/>
        </w:tabs>
        <w:adjustRightInd w:val="0"/>
        <w:snapToGrid w:val="0"/>
        <w:spacing w:line="400" w:lineRule="atLeast"/>
        <w:jc w:val="both"/>
        <w:rPr>
          <w:rFonts w:cs="Times New Roman"/>
          <w:bCs/>
          <w:kern w:val="0"/>
          <w:szCs w:val="28"/>
        </w:rPr>
      </w:pPr>
      <w:r w:rsidRPr="000F5579">
        <w:rPr>
          <w:rFonts w:cs="Times New Roman" w:hint="eastAsia"/>
          <w:bCs/>
          <w:kern w:val="0"/>
          <w:szCs w:val="28"/>
        </w:rPr>
        <w:tab/>
        <w:t>**</w:t>
      </w:r>
      <w:r w:rsidRPr="000F5579">
        <w:rPr>
          <w:rFonts w:cs="Times New Roman" w:hint="eastAsia"/>
          <w:bCs/>
          <w:kern w:val="0"/>
          <w:szCs w:val="28"/>
        </w:rPr>
        <w:tab/>
      </w:r>
      <w:r w:rsidRPr="000F5579">
        <w:rPr>
          <w:rFonts w:cs="Times New Roman" w:hint="eastAsia"/>
          <w:bCs/>
          <w:kern w:val="0"/>
          <w:szCs w:val="28"/>
        </w:rPr>
        <w:t>人口普查</w:t>
      </w:r>
    </w:p>
    <w:p w:rsidR="00222D16" w:rsidRPr="000F5579" w:rsidRDefault="00222D16" w:rsidP="00222D16">
      <w:pPr>
        <w:tabs>
          <w:tab w:val="left" w:pos="1440"/>
        </w:tabs>
        <w:adjustRightInd w:val="0"/>
        <w:snapToGrid w:val="0"/>
        <w:spacing w:line="400" w:lineRule="atLeast"/>
        <w:jc w:val="both"/>
        <w:rPr>
          <w:rFonts w:cs="Times New Roman"/>
          <w:bCs/>
          <w:kern w:val="0"/>
          <w:szCs w:val="28"/>
        </w:rPr>
      </w:pPr>
    </w:p>
    <w:p w:rsidR="00222D16" w:rsidRPr="000F5579" w:rsidRDefault="00222D16" w:rsidP="00222D16">
      <w:pPr>
        <w:tabs>
          <w:tab w:val="left" w:pos="1440"/>
        </w:tabs>
        <w:adjustRightInd w:val="0"/>
        <w:snapToGrid w:val="0"/>
        <w:spacing w:line="400" w:lineRule="atLeast"/>
        <w:jc w:val="both"/>
        <w:rPr>
          <w:rFonts w:cs="Times New Roman"/>
          <w:bCs/>
          <w:kern w:val="0"/>
          <w:szCs w:val="28"/>
        </w:rPr>
      </w:pPr>
      <w:r>
        <w:rPr>
          <w:rFonts w:cs="Times New Roman"/>
          <w:bCs/>
          <w:kern w:val="0"/>
          <w:szCs w:val="20"/>
        </w:rPr>
        <w:t>2.</w:t>
      </w:r>
      <w:r w:rsidRPr="000F5579">
        <w:rPr>
          <w:rFonts w:cs="Times New Roman" w:hint="eastAsia"/>
          <w:bCs/>
          <w:kern w:val="0"/>
          <w:szCs w:val="20"/>
        </w:rPr>
        <w:tab/>
      </w:r>
      <w:r w:rsidRPr="000F5579">
        <w:rPr>
          <w:rFonts w:cs="Times New Roman" w:hint="eastAsia"/>
          <w:bCs/>
          <w:kern w:val="0"/>
          <w:szCs w:val="28"/>
        </w:rPr>
        <w:t>單身家長的勞動人口參與率，由</w:t>
      </w:r>
      <w:r w:rsidRPr="000F5579">
        <w:rPr>
          <w:rFonts w:cs="Times New Roman"/>
          <w:bCs/>
          <w:kern w:val="0"/>
          <w:szCs w:val="28"/>
        </w:rPr>
        <w:t>2011</w:t>
      </w:r>
      <w:r w:rsidRPr="000F5579">
        <w:rPr>
          <w:rFonts w:cs="Times New Roman" w:hint="eastAsia"/>
          <w:bCs/>
          <w:kern w:val="0"/>
          <w:szCs w:val="28"/>
        </w:rPr>
        <w:t>年的</w:t>
      </w:r>
      <w:r w:rsidRPr="000F5579">
        <w:rPr>
          <w:rFonts w:cs="Times New Roman"/>
          <w:bCs/>
          <w:kern w:val="0"/>
          <w:szCs w:val="28"/>
        </w:rPr>
        <w:t>63%</w:t>
      </w:r>
      <w:r w:rsidRPr="000F5579">
        <w:rPr>
          <w:rFonts w:cs="Times New Roman" w:hint="eastAsia"/>
          <w:bCs/>
          <w:kern w:val="0"/>
          <w:szCs w:val="28"/>
        </w:rPr>
        <w:t>上升至</w:t>
      </w:r>
      <w:r w:rsidRPr="000F5579">
        <w:rPr>
          <w:rFonts w:cs="Times New Roman"/>
          <w:bCs/>
          <w:kern w:val="0"/>
          <w:szCs w:val="28"/>
        </w:rPr>
        <w:t>2016</w:t>
      </w:r>
      <w:r w:rsidRPr="000F5579">
        <w:rPr>
          <w:rFonts w:cs="Times New Roman" w:hint="eastAsia"/>
          <w:bCs/>
          <w:kern w:val="0"/>
          <w:szCs w:val="28"/>
        </w:rPr>
        <w:t>年的</w:t>
      </w:r>
      <w:r w:rsidRPr="000F5579">
        <w:rPr>
          <w:rFonts w:cs="Times New Roman"/>
          <w:bCs/>
          <w:kern w:val="0"/>
          <w:szCs w:val="28"/>
        </w:rPr>
        <w:t>71%</w:t>
      </w:r>
      <w:r w:rsidRPr="000F5579">
        <w:rPr>
          <w:rFonts w:cs="Times New Roman" w:hint="eastAsia"/>
          <w:bCs/>
          <w:kern w:val="0"/>
          <w:szCs w:val="28"/>
        </w:rPr>
        <w:t>。另一方面，婚姻訴訟申請宗數（包括共同申請）由</w:t>
      </w:r>
      <w:r w:rsidRPr="000F5579">
        <w:rPr>
          <w:rFonts w:cs="Times New Roman"/>
          <w:bCs/>
          <w:kern w:val="0"/>
          <w:szCs w:val="28"/>
        </w:rPr>
        <w:t>2006</w:t>
      </w:r>
      <w:r w:rsidRPr="000F5579">
        <w:rPr>
          <w:rFonts w:cs="Times New Roman" w:hint="eastAsia"/>
          <w:bCs/>
          <w:kern w:val="0"/>
          <w:szCs w:val="28"/>
        </w:rPr>
        <w:t>年</w:t>
      </w:r>
      <w:r w:rsidRPr="000F5579">
        <w:rPr>
          <w:rFonts w:cs="Times New Roman"/>
          <w:bCs/>
          <w:kern w:val="0"/>
          <w:szCs w:val="28"/>
        </w:rPr>
        <w:t>18 172</w:t>
      </w:r>
      <w:r w:rsidRPr="000F5579">
        <w:rPr>
          <w:rFonts w:cs="Times New Roman" w:hint="eastAsia"/>
          <w:bCs/>
          <w:kern w:val="0"/>
          <w:szCs w:val="28"/>
        </w:rPr>
        <w:t>宗，增至</w:t>
      </w:r>
      <w:r w:rsidRPr="000F5579">
        <w:rPr>
          <w:rFonts w:cs="Times New Roman"/>
          <w:bCs/>
          <w:kern w:val="0"/>
          <w:szCs w:val="28"/>
        </w:rPr>
        <w:t>2011</w:t>
      </w:r>
      <w:r w:rsidRPr="000F5579">
        <w:rPr>
          <w:rFonts w:cs="Times New Roman" w:hint="eastAsia"/>
          <w:bCs/>
          <w:kern w:val="0"/>
          <w:szCs w:val="28"/>
        </w:rPr>
        <w:t>年的</w:t>
      </w:r>
      <w:r w:rsidRPr="000F5579">
        <w:rPr>
          <w:rFonts w:cs="Times New Roman"/>
          <w:bCs/>
          <w:kern w:val="0"/>
          <w:szCs w:val="28"/>
        </w:rPr>
        <w:t>22</w:t>
      </w:r>
      <w:r w:rsidRPr="000F5579">
        <w:rPr>
          <w:rFonts w:cs="Times New Roman"/>
          <w:bCs/>
          <w:kern w:val="0"/>
          <w:szCs w:val="20"/>
          <w:lang w:val="en-GB"/>
        </w:rPr>
        <w:t> </w:t>
      </w:r>
      <w:r w:rsidRPr="000F5579">
        <w:rPr>
          <w:rFonts w:cs="Times New Roman"/>
          <w:bCs/>
          <w:kern w:val="0"/>
          <w:szCs w:val="28"/>
        </w:rPr>
        <w:t>543</w:t>
      </w:r>
      <w:r w:rsidRPr="000F5579">
        <w:rPr>
          <w:rFonts w:cs="Times New Roman" w:hint="eastAsia"/>
          <w:bCs/>
          <w:kern w:val="0"/>
          <w:szCs w:val="28"/>
        </w:rPr>
        <w:t>宗，而</w:t>
      </w:r>
      <w:r w:rsidRPr="000F5579">
        <w:rPr>
          <w:rFonts w:cs="Times New Roman"/>
          <w:bCs/>
          <w:kern w:val="0"/>
          <w:szCs w:val="28"/>
        </w:rPr>
        <w:t>2016</w:t>
      </w:r>
      <w:r w:rsidRPr="000F5579">
        <w:rPr>
          <w:rFonts w:cs="Times New Roman" w:hint="eastAsia"/>
          <w:bCs/>
          <w:kern w:val="0"/>
          <w:szCs w:val="28"/>
        </w:rPr>
        <w:t>年稍微下降至</w:t>
      </w:r>
      <w:r w:rsidRPr="000F5579">
        <w:rPr>
          <w:rFonts w:cs="Times New Roman"/>
          <w:bCs/>
          <w:kern w:val="0"/>
          <w:szCs w:val="28"/>
        </w:rPr>
        <w:t>21 954</w:t>
      </w:r>
      <w:r w:rsidRPr="000F5579">
        <w:rPr>
          <w:rFonts w:cs="Times New Roman"/>
          <w:bCs/>
          <w:kern w:val="0"/>
          <w:szCs w:val="28"/>
        </w:rPr>
        <w:t>。</w:t>
      </w:r>
    </w:p>
    <w:p w:rsidR="00222D16" w:rsidRDefault="00222D16" w:rsidP="00222D16">
      <w:pPr>
        <w:jc w:val="both"/>
        <w:rPr>
          <w:rFonts w:cs="Times New Roman"/>
          <w:b/>
          <w:szCs w:val="28"/>
        </w:rPr>
        <w:sectPr w:rsidR="00222D16" w:rsidSect="00222D16">
          <w:footerReference w:type="default" r:id="rId41"/>
          <w:pgSz w:w="11906" w:h="16838"/>
          <w:pgMar w:top="1440" w:right="1800" w:bottom="1440" w:left="1800" w:header="720" w:footer="720" w:gutter="0"/>
          <w:pgNumType w:start="1"/>
          <w:cols w:space="425"/>
          <w:docGrid w:type="lines" w:linePitch="381"/>
        </w:sectPr>
      </w:pPr>
    </w:p>
    <w:p w:rsidR="0028557A" w:rsidRDefault="0028557A" w:rsidP="0028557A">
      <w:pPr>
        <w:snapToGrid w:val="0"/>
        <w:spacing w:line="400" w:lineRule="atLeast"/>
        <w:jc w:val="right"/>
        <w:rPr>
          <w:rFonts w:cs="Times New Roman"/>
          <w:b/>
          <w:szCs w:val="28"/>
        </w:rPr>
      </w:pPr>
      <w:r w:rsidRPr="0096739E">
        <w:rPr>
          <w:rFonts w:cs="Times New Roman"/>
          <w:b/>
          <w:szCs w:val="28"/>
          <w:lang w:eastAsia="zh-HK"/>
        </w:rPr>
        <w:lastRenderedPageBreak/>
        <w:t>附件</w:t>
      </w:r>
      <w:r w:rsidRPr="0096739E">
        <w:rPr>
          <w:rFonts w:cs="Times New Roman"/>
          <w:b/>
          <w:szCs w:val="28"/>
        </w:rPr>
        <w:t>10B</w:t>
      </w:r>
    </w:p>
    <w:p w:rsidR="0028557A" w:rsidRDefault="0028557A" w:rsidP="0028557A">
      <w:pPr>
        <w:snapToGrid w:val="0"/>
        <w:spacing w:line="400" w:lineRule="atLeast"/>
        <w:jc w:val="right"/>
        <w:rPr>
          <w:rFonts w:cs="Times New Roman"/>
          <w:b/>
          <w:szCs w:val="28"/>
        </w:rPr>
      </w:pPr>
    </w:p>
    <w:p w:rsidR="0028557A" w:rsidRDefault="0028557A" w:rsidP="0028557A">
      <w:pPr>
        <w:snapToGrid w:val="0"/>
        <w:spacing w:line="400" w:lineRule="atLeast"/>
        <w:jc w:val="center"/>
        <w:rPr>
          <w:rFonts w:cs="Times New Roman"/>
          <w:b/>
          <w:szCs w:val="28"/>
        </w:rPr>
      </w:pPr>
      <w:r>
        <w:rPr>
          <w:rFonts w:cs="Times New Roman" w:hint="eastAsia"/>
          <w:b/>
          <w:szCs w:val="28"/>
          <w:lang w:eastAsia="zh-HK"/>
        </w:rPr>
        <w:t>家庭議</w:t>
      </w:r>
      <w:r>
        <w:rPr>
          <w:rFonts w:cs="Times New Roman" w:hint="eastAsia"/>
          <w:b/>
          <w:szCs w:val="28"/>
        </w:rPr>
        <w:t>會</w:t>
      </w:r>
    </w:p>
    <w:p w:rsidR="0028557A" w:rsidRDefault="0028557A" w:rsidP="0028557A">
      <w:pPr>
        <w:snapToGrid w:val="0"/>
        <w:spacing w:line="400" w:lineRule="atLeast"/>
        <w:jc w:val="center"/>
        <w:rPr>
          <w:rFonts w:cs="Times New Roman"/>
          <w:b/>
          <w:szCs w:val="28"/>
        </w:rPr>
      </w:pPr>
    </w:p>
    <w:p w:rsidR="0028557A" w:rsidRPr="0096739E" w:rsidRDefault="0028557A" w:rsidP="0028557A">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1.</w:t>
      </w:r>
      <w:r>
        <w:rPr>
          <w:rFonts w:cs="Times New Roman"/>
          <w:bCs/>
          <w:kern w:val="0"/>
          <w:szCs w:val="28"/>
        </w:rPr>
        <w:tab/>
      </w:r>
      <w:r w:rsidRPr="0096739E">
        <w:rPr>
          <w:rFonts w:cs="Times New Roman" w:hint="eastAsia"/>
          <w:bCs/>
          <w:kern w:val="0"/>
          <w:szCs w:val="28"/>
        </w:rPr>
        <w:t>家庭議會於</w:t>
      </w:r>
      <w:r w:rsidRPr="0096739E">
        <w:rPr>
          <w:rFonts w:cs="Times New Roman"/>
          <w:bCs/>
          <w:kern w:val="0"/>
          <w:szCs w:val="28"/>
        </w:rPr>
        <w:t>2013</w:t>
      </w:r>
      <w:r w:rsidRPr="0096739E">
        <w:rPr>
          <w:rFonts w:cs="Times New Roman" w:hint="eastAsia"/>
          <w:bCs/>
          <w:kern w:val="0"/>
          <w:szCs w:val="28"/>
        </w:rPr>
        <w:t>年</w:t>
      </w:r>
      <w:r w:rsidRPr="0096739E">
        <w:rPr>
          <w:rFonts w:cs="Times New Roman"/>
          <w:bCs/>
          <w:kern w:val="0"/>
          <w:szCs w:val="28"/>
        </w:rPr>
        <w:t>4</w:t>
      </w:r>
      <w:r w:rsidRPr="0096739E">
        <w:rPr>
          <w:rFonts w:cs="Times New Roman" w:hint="eastAsia"/>
          <w:bCs/>
          <w:kern w:val="0"/>
          <w:szCs w:val="28"/>
        </w:rPr>
        <w:t>月</w:t>
      </w:r>
      <w:r w:rsidRPr="0096739E">
        <w:rPr>
          <w:rFonts w:cs="Times New Roman"/>
          <w:bCs/>
          <w:kern w:val="0"/>
          <w:szCs w:val="28"/>
        </w:rPr>
        <w:t>1</w:t>
      </w:r>
      <w:r w:rsidRPr="0096739E">
        <w:rPr>
          <w:rFonts w:cs="Times New Roman" w:hint="eastAsia"/>
          <w:bCs/>
          <w:kern w:val="0"/>
          <w:szCs w:val="28"/>
        </w:rPr>
        <w:t>日重組，由非官方人士出任主席，成員包括</w:t>
      </w:r>
      <w:r w:rsidRPr="0096739E">
        <w:rPr>
          <w:rFonts w:cs="Times New Roman"/>
          <w:bCs/>
          <w:kern w:val="0"/>
          <w:szCs w:val="28"/>
        </w:rPr>
        <w:t>15</w:t>
      </w:r>
      <w:r w:rsidRPr="0096739E">
        <w:rPr>
          <w:rFonts w:cs="Times New Roman" w:hint="eastAsia"/>
          <w:bCs/>
          <w:kern w:val="0"/>
          <w:szCs w:val="28"/>
        </w:rPr>
        <w:t>名非官方委員、三名當然委員（即安老事務委員會主席、婦女事務委員會主席及青年發展委員會副主席）和四名政府代表（即教育局局長、民政事務局局長、勞工及福利局局長和政策創新與統籌辦事處總監）。</w:t>
      </w:r>
    </w:p>
    <w:p w:rsidR="0028557A" w:rsidRPr="0096739E" w:rsidRDefault="0028557A" w:rsidP="0028557A">
      <w:pPr>
        <w:tabs>
          <w:tab w:val="left" w:pos="1440"/>
        </w:tabs>
        <w:adjustRightInd w:val="0"/>
        <w:snapToGrid w:val="0"/>
        <w:spacing w:line="400" w:lineRule="atLeast"/>
        <w:jc w:val="both"/>
        <w:rPr>
          <w:rFonts w:cs="Times New Roman"/>
          <w:bCs/>
          <w:kern w:val="0"/>
          <w:szCs w:val="28"/>
        </w:rPr>
      </w:pPr>
    </w:p>
    <w:p w:rsidR="0028557A" w:rsidRPr="0096739E" w:rsidRDefault="0028557A" w:rsidP="0028557A">
      <w:pPr>
        <w:tabs>
          <w:tab w:val="left" w:pos="1440"/>
        </w:tabs>
        <w:adjustRightInd w:val="0"/>
        <w:snapToGrid w:val="0"/>
        <w:spacing w:line="400" w:lineRule="atLeast"/>
        <w:jc w:val="both"/>
        <w:rPr>
          <w:rFonts w:cs="Times New Roman"/>
          <w:bCs/>
          <w:kern w:val="0"/>
          <w:szCs w:val="28"/>
        </w:rPr>
      </w:pPr>
      <w:r>
        <w:rPr>
          <w:rFonts w:cs="Times New Roman"/>
          <w:bCs/>
          <w:kern w:val="0"/>
          <w:szCs w:val="28"/>
        </w:rPr>
        <w:t>2.</w:t>
      </w:r>
      <w:r w:rsidRPr="0096739E">
        <w:rPr>
          <w:rFonts w:cs="Times New Roman"/>
          <w:bCs/>
          <w:kern w:val="0"/>
          <w:szCs w:val="28"/>
        </w:rPr>
        <w:tab/>
      </w:r>
      <w:r w:rsidRPr="0096739E">
        <w:rPr>
          <w:rFonts w:cs="Times New Roman" w:hint="eastAsia"/>
          <w:bCs/>
          <w:kern w:val="0"/>
          <w:szCs w:val="28"/>
        </w:rPr>
        <w:t>家庭議會確立「愛與關懷」、「責任與尊重」及「溝通與和諧」三組家庭核心價值為健康及快樂家庭生活的重要元素，並與不同持分者合作組織，在社區推廣家庭核心價值</w:t>
      </w:r>
      <w:r w:rsidRPr="0096739E">
        <w:rPr>
          <w:rFonts w:cs="Times New Roman" w:hint="eastAsia"/>
          <w:bCs/>
          <w:kern w:val="0"/>
          <w:szCs w:val="28"/>
          <w:lang w:eastAsia="zh-HK"/>
        </w:rPr>
        <w:t>的活</w:t>
      </w:r>
      <w:r w:rsidRPr="0096739E">
        <w:rPr>
          <w:rFonts w:cs="Times New Roman" w:hint="eastAsia"/>
          <w:bCs/>
          <w:kern w:val="0"/>
          <w:szCs w:val="28"/>
        </w:rPr>
        <w:t>動。議會的網站“開心家庭網絡”亦作為傳播信息，宣傳議會工作和活動的平台，透過網站連結提供相關信息。</w:t>
      </w:r>
    </w:p>
    <w:p w:rsidR="0028557A" w:rsidRPr="0096739E" w:rsidRDefault="0028557A" w:rsidP="0028557A">
      <w:pPr>
        <w:tabs>
          <w:tab w:val="left" w:pos="1440"/>
        </w:tabs>
        <w:adjustRightInd w:val="0"/>
        <w:snapToGrid w:val="0"/>
        <w:spacing w:line="400" w:lineRule="atLeast"/>
        <w:jc w:val="both"/>
        <w:rPr>
          <w:rFonts w:cs="Times New Roman"/>
          <w:bCs/>
          <w:kern w:val="0"/>
          <w:szCs w:val="28"/>
        </w:rPr>
      </w:pPr>
    </w:p>
    <w:p w:rsidR="0028557A" w:rsidRPr="0096739E" w:rsidRDefault="0028557A" w:rsidP="0028557A">
      <w:pPr>
        <w:tabs>
          <w:tab w:val="left" w:pos="1440"/>
        </w:tabs>
        <w:adjustRightInd w:val="0"/>
        <w:snapToGrid w:val="0"/>
        <w:spacing w:line="400" w:lineRule="atLeast"/>
        <w:jc w:val="both"/>
        <w:rPr>
          <w:rFonts w:cs="Times New Roman"/>
          <w:b/>
          <w:szCs w:val="28"/>
        </w:rPr>
      </w:pPr>
      <w:r>
        <w:rPr>
          <w:rFonts w:cs="Times New Roman"/>
          <w:bCs/>
          <w:kern w:val="0"/>
          <w:szCs w:val="28"/>
        </w:rPr>
        <w:t>3.</w:t>
      </w:r>
      <w:r>
        <w:rPr>
          <w:rFonts w:cs="Times New Roman"/>
          <w:bCs/>
          <w:kern w:val="0"/>
          <w:szCs w:val="28"/>
        </w:rPr>
        <w:tab/>
      </w:r>
      <w:r w:rsidRPr="0096739E">
        <w:rPr>
          <w:rFonts w:cs="Times New Roman" w:hint="eastAsia"/>
          <w:bCs/>
          <w:kern w:val="0"/>
          <w:szCs w:val="28"/>
        </w:rPr>
        <w:t>家庭議會亦倡議在政策制訂過程中考慮家庭角度，並進行研究和調查，以加強社會對家庭有關事宜的認識。</w:t>
      </w:r>
    </w:p>
    <w:p w:rsidR="0028557A" w:rsidRDefault="0028557A" w:rsidP="00222D16">
      <w:pPr>
        <w:jc w:val="both"/>
        <w:rPr>
          <w:rFonts w:cs="Times New Roman"/>
          <w:b/>
          <w:szCs w:val="28"/>
        </w:rPr>
        <w:sectPr w:rsidR="0028557A" w:rsidSect="0028557A">
          <w:footerReference w:type="default" r:id="rId42"/>
          <w:pgSz w:w="11906" w:h="16838"/>
          <w:pgMar w:top="1440" w:right="1800" w:bottom="1440" w:left="1800" w:header="720" w:footer="720" w:gutter="0"/>
          <w:pgNumType w:start="1"/>
          <w:cols w:space="425"/>
          <w:docGrid w:type="lines" w:linePitch="381"/>
        </w:sectPr>
      </w:pPr>
    </w:p>
    <w:p w:rsidR="00901437" w:rsidRDefault="00901437" w:rsidP="00901437">
      <w:pPr>
        <w:spacing w:line="0" w:lineRule="atLeast"/>
        <w:jc w:val="right"/>
        <w:rPr>
          <w:rFonts w:cs="Times New Roman"/>
          <w:b/>
          <w:szCs w:val="28"/>
          <w:lang w:eastAsia="zh-HK"/>
        </w:rPr>
      </w:pPr>
      <w:r w:rsidRPr="00254295">
        <w:rPr>
          <w:rFonts w:cs="Times New Roman"/>
          <w:b/>
          <w:szCs w:val="28"/>
          <w:lang w:eastAsia="zh-HK"/>
        </w:rPr>
        <w:lastRenderedPageBreak/>
        <w:t>附件</w:t>
      </w:r>
      <w:r>
        <w:rPr>
          <w:rFonts w:cs="Times New Roman"/>
          <w:b/>
          <w:szCs w:val="28"/>
          <w:lang w:eastAsia="zh-HK"/>
        </w:rPr>
        <w:t>10C</w:t>
      </w:r>
    </w:p>
    <w:p w:rsidR="00901437" w:rsidRDefault="00901437" w:rsidP="00901437">
      <w:pPr>
        <w:spacing w:line="0" w:lineRule="atLeast"/>
        <w:jc w:val="right"/>
        <w:rPr>
          <w:rFonts w:cs="Times New Roman"/>
          <w:b/>
          <w:szCs w:val="28"/>
          <w:lang w:eastAsia="zh-HK"/>
        </w:rPr>
      </w:pPr>
    </w:p>
    <w:p w:rsidR="00901437" w:rsidRDefault="00901437" w:rsidP="00901437">
      <w:pPr>
        <w:snapToGrid w:val="0"/>
        <w:spacing w:line="0" w:lineRule="atLeast"/>
        <w:jc w:val="center"/>
        <w:rPr>
          <w:b/>
          <w:szCs w:val="28"/>
        </w:rPr>
      </w:pPr>
      <w:r w:rsidRPr="00254295">
        <w:rPr>
          <w:rFonts w:hint="eastAsia"/>
          <w:b/>
          <w:szCs w:val="28"/>
        </w:rPr>
        <w:t>兒童事務委員會</w:t>
      </w:r>
    </w:p>
    <w:p w:rsidR="00901437" w:rsidRDefault="00901437" w:rsidP="00901437">
      <w:pPr>
        <w:snapToGrid w:val="0"/>
        <w:spacing w:line="0" w:lineRule="atLeast"/>
        <w:jc w:val="center"/>
        <w:rPr>
          <w:b/>
          <w:szCs w:val="28"/>
        </w:rPr>
      </w:pPr>
    </w:p>
    <w:p w:rsidR="00901437" w:rsidRPr="00254295" w:rsidRDefault="00901437" w:rsidP="00901437">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w:t>
      </w:r>
      <w:r>
        <w:rPr>
          <w:rFonts w:cs="Times New Roman"/>
          <w:bCs/>
          <w:kern w:val="0"/>
          <w:szCs w:val="28"/>
        </w:rPr>
        <w:tab/>
      </w:r>
      <w:r w:rsidRPr="00254295">
        <w:rPr>
          <w:rFonts w:cs="Times New Roman" w:hint="eastAsia"/>
          <w:bCs/>
          <w:kern w:val="0"/>
          <w:szCs w:val="28"/>
        </w:rPr>
        <w:t>政府在</w:t>
      </w:r>
      <w:r w:rsidRPr="00254295">
        <w:rPr>
          <w:rFonts w:cs="Times New Roman"/>
          <w:bCs/>
          <w:kern w:val="0"/>
          <w:szCs w:val="28"/>
        </w:rPr>
        <w:t>2018</w:t>
      </w:r>
      <w:r w:rsidRPr="00254295">
        <w:rPr>
          <w:rFonts w:cs="Times New Roman" w:hint="eastAsia"/>
          <w:bCs/>
          <w:kern w:val="0"/>
          <w:szCs w:val="28"/>
        </w:rPr>
        <w:t>年</w:t>
      </w:r>
      <w:r w:rsidRPr="00254295">
        <w:rPr>
          <w:rFonts w:cs="Times New Roman"/>
          <w:bCs/>
          <w:kern w:val="0"/>
          <w:szCs w:val="28"/>
        </w:rPr>
        <w:t>6</w:t>
      </w:r>
      <w:r w:rsidRPr="00254295">
        <w:rPr>
          <w:rFonts w:cs="Times New Roman" w:hint="eastAsia"/>
          <w:bCs/>
          <w:kern w:val="0"/>
          <w:szCs w:val="28"/>
        </w:rPr>
        <w:t>月</w:t>
      </w:r>
      <w:r w:rsidRPr="00254295">
        <w:rPr>
          <w:rFonts w:cs="Times New Roman"/>
          <w:bCs/>
          <w:kern w:val="0"/>
          <w:szCs w:val="28"/>
        </w:rPr>
        <w:t>1</w:t>
      </w:r>
      <w:r w:rsidRPr="00254295">
        <w:rPr>
          <w:rFonts w:cs="Times New Roman" w:hint="eastAsia"/>
          <w:bCs/>
          <w:kern w:val="0"/>
          <w:szCs w:val="28"/>
        </w:rPr>
        <w:t>日成立兒童事務委員會，由政務司司長擔任主席，勞及福局局長擔任副主席。</w:t>
      </w:r>
      <w:r w:rsidRPr="00254295">
        <w:rPr>
          <w:rFonts w:cs="Times New Roman" w:hint="eastAsia"/>
          <w:bCs/>
          <w:kern w:val="0"/>
          <w:szCs w:val="28"/>
          <w:lang w:eastAsia="zh-HK"/>
        </w:rPr>
        <w:t>這</w:t>
      </w:r>
      <w:r w:rsidRPr="00254295">
        <w:rPr>
          <w:rFonts w:cs="Times New Roman" w:hint="eastAsia"/>
          <w:bCs/>
          <w:kern w:val="0"/>
          <w:szCs w:val="28"/>
        </w:rPr>
        <w:t>是一個常設、以行動為主導，主動回應訴求的高層次諮詢委員會，負責提供整體督導、制定政策方向、策略及工作優次，並把有關的政策、策略及工作優次納入政府的施政綱領，藉此推動及監察政策局／部門推行與兒童事務相關的各項政策措施。委員會成員包括政府官員及來自社會不同界別的專家／持份者，包括教育、醫療、學術、關注兒童權益的團體、法律、藝術及體育、社會服務、公關／媒體、家長、非華語／少數族裔，以及兒童／青少年界別。</w:t>
      </w:r>
    </w:p>
    <w:p w:rsidR="00901437" w:rsidRPr="00254295" w:rsidRDefault="00901437" w:rsidP="00901437">
      <w:pPr>
        <w:tabs>
          <w:tab w:val="left" w:pos="1440"/>
        </w:tabs>
        <w:adjustRightInd w:val="0"/>
        <w:snapToGrid w:val="0"/>
        <w:spacing w:line="400" w:lineRule="atLeast"/>
        <w:jc w:val="both"/>
        <w:rPr>
          <w:rFonts w:cs="Times New Roman"/>
          <w:bCs/>
          <w:kern w:val="0"/>
          <w:szCs w:val="28"/>
        </w:rPr>
      </w:pPr>
    </w:p>
    <w:p w:rsidR="00901437" w:rsidRPr="00254295" w:rsidRDefault="00901437" w:rsidP="00901437">
      <w:pPr>
        <w:tabs>
          <w:tab w:val="left" w:pos="1440"/>
          <w:tab w:val="left" w:pos="1680"/>
        </w:tabs>
        <w:adjustRightInd w:val="0"/>
        <w:snapToGrid w:val="0"/>
        <w:spacing w:line="400" w:lineRule="atLeast"/>
        <w:jc w:val="both"/>
        <w:rPr>
          <w:rFonts w:cs="Times New Roman"/>
          <w:szCs w:val="28"/>
        </w:rPr>
      </w:pPr>
      <w:r>
        <w:rPr>
          <w:rFonts w:cs="Times New Roman"/>
          <w:bCs/>
          <w:kern w:val="0"/>
          <w:szCs w:val="28"/>
        </w:rPr>
        <w:t>2.</w:t>
      </w:r>
      <w:r>
        <w:rPr>
          <w:rFonts w:cs="Times New Roman"/>
          <w:bCs/>
          <w:kern w:val="0"/>
          <w:szCs w:val="28"/>
        </w:rPr>
        <w:tab/>
      </w:r>
      <w:r w:rsidRPr="00254295">
        <w:rPr>
          <w:rFonts w:cs="Times New Roman" w:hint="eastAsia"/>
          <w:bCs/>
          <w:kern w:val="0"/>
          <w:szCs w:val="28"/>
        </w:rPr>
        <w:t>委員會的對象涵蓋</w:t>
      </w:r>
      <w:r w:rsidRPr="00254295">
        <w:rPr>
          <w:rFonts w:cs="Times New Roman"/>
          <w:bCs/>
          <w:kern w:val="0"/>
          <w:szCs w:val="28"/>
        </w:rPr>
        <w:t>18</w:t>
      </w:r>
      <w:r w:rsidRPr="00254295">
        <w:rPr>
          <w:rFonts w:cs="Times New Roman" w:hint="eastAsia"/>
          <w:bCs/>
          <w:kern w:val="0"/>
          <w:szCs w:val="28"/>
        </w:rPr>
        <w:t>歲以下的兒童，並以</w:t>
      </w:r>
      <w:r w:rsidRPr="00254295">
        <w:rPr>
          <w:rFonts w:cs="Times New Roman"/>
          <w:bCs/>
          <w:kern w:val="0"/>
          <w:szCs w:val="28"/>
        </w:rPr>
        <w:t>14</w:t>
      </w:r>
      <w:r w:rsidRPr="00254295">
        <w:rPr>
          <w:rFonts w:cs="Times New Roman" w:hint="eastAsia"/>
          <w:bCs/>
          <w:kern w:val="0"/>
          <w:szCs w:val="28"/>
        </w:rPr>
        <w:t>歲或以下兒童為工作重點。委員會初步計劃聚焦討論與兒童有關的優先事項，包括有特殊教育需要的兒童、少數族裔兒童、兒童的健康、可能受到傷害的兒童、處理學生缺席的機制、兒童參與等。委員會已計劃開展和監督分別關於發展中央兒童數據資料庫及制訂與兒童有關指標的兩項重要研究。委員會亦將開展新的資助計劃，</w:t>
      </w:r>
      <w:r w:rsidRPr="00254295">
        <w:rPr>
          <w:rFonts w:cs="Times New Roman" w:hint="eastAsia"/>
          <w:bCs/>
          <w:kern w:val="0"/>
          <w:szCs w:val="28"/>
          <w:lang w:eastAsia="zh-HK"/>
        </w:rPr>
        <w:t>有助</w:t>
      </w:r>
      <w:r w:rsidRPr="00254295">
        <w:rPr>
          <w:rFonts w:cs="Times New Roman" w:hint="eastAsia"/>
          <w:bCs/>
          <w:kern w:val="0"/>
          <w:szCs w:val="28"/>
        </w:rPr>
        <w:t>非政府機構和兒童關注團體推行與兒童事項有關的推廣及公眾教育項目。再者，委員會計劃推展</w:t>
      </w:r>
      <w:r w:rsidRPr="00254295">
        <w:rPr>
          <w:rFonts w:cs="Times New Roman" w:hint="eastAsia"/>
          <w:bCs/>
          <w:kern w:val="0"/>
          <w:szCs w:val="28"/>
          <w:lang w:eastAsia="zh-HK"/>
        </w:rPr>
        <w:t>以</w:t>
      </w:r>
      <w:r w:rsidRPr="00254295">
        <w:rPr>
          <w:rFonts w:cs="Times New Roman" w:hint="eastAsia"/>
          <w:bCs/>
          <w:kern w:val="0"/>
          <w:szCs w:val="28"/>
        </w:rPr>
        <w:t>民間、商界和政府三方協作方式舉辦的全港性宣傳運動，以增加社會對保障兒童權利和促進兒童利益的認識和理解。</w:t>
      </w:r>
    </w:p>
    <w:p w:rsidR="00901437" w:rsidRDefault="00901437" w:rsidP="00222D16">
      <w:pPr>
        <w:jc w:val="both"/>
        <w:rPr>
          <w:rFonts w:cs="Times New Roman"/>
          <w:b/>
          <w:szCs w:val="28"/>
        </w:rPr>
        <w:sectPr w:rsidR="00901437" w:rsidSect="00901437">
          <w:footerReference w:type="default" r:id="rId43"/>
          <w:pgSz w:w="11906" w:h="16838"/>
          <w:pgMar w:top="1440" w:right="1800" w:bottom="1440" w:left="1800" w:header="720" w:footer="720" w:gutter="0"/>
          <w:pgNumType w:start="1"/>
          <w:cols w:space="425"/>
          <w:docGrid w:type="lines" w:linePitch="381"/>
        </w:sectPr>
      </w:pPr>
    </w:p>
    <w:p w:rsidR="00EE77A6" w:rsidRDefault="00EE77A6" w:rsidP="00EE77A6">
      <w:pPr>
        <w:snapToGrid w:val="0"/>
        <w:spacing w:line="400" w:lineRule="atLeast"/>
        <w:jc w:val="right"/>
        <w:rPr>
          <w:rFonts w:cs="Times New Roman"/>
          <w:b/>
          <w:szCs w:val="28"/>
        </w:rPr>
      </w:pPr>
      <w:r w:rsidRPr="00655827">
        <w:rPr>
          <w:rFonts w:cs="Times New Roman"/>
          <w:b/>
          <w:szCs w:val="28"/>
          <w:lang w:eastAsia="zh-HK"/>
        </w:rPr>
        <w:lastRenderedPageBreak/>
        <w:t>附件</w:t>
      </w:r>
      <w:r w:rsidRPr="00655827">
        <w:rPr>
          <w:rFonts w:cs="Times New Roman"/>
          <w:b/>
          <w:szCs w:val="28"/>
        </w:rPr>
        <w:t>10</w:t>
      </w:r>
      <w:r>
        <w:rPr>
          <w:rFonts w:cs="Times New Roman"/>
          <w:b/>
          <w:szCs w:val="28"/>
        </w:rPr>
        <w:t>D</w:t>
      </w:r>
    </w:p>
    <w:p w:rsidR="00EE77A6" w:rsidRDefault="00EE77A6" w:rsidP="00EE77A6">
      <w:pPr>
        <w:snapToGrid w:val="0"/>
        <w:spacing w:line="400" w:lineRule="atLeast"/>
        <w:jc w:val="center"/>
        <w:rPr>
          <w:b/>
          <w:szCs w:val="28"/>
        </w:rPr>
      </w:pPr>
    </w:p>
    <w:p w:rsidR="00EE77A6" w:rsidRDefault="00EE77A6" w:rsidP="00EE77A6">
      <w:pPr>
        <w:snapToGrid w:val="0"/>
        <w:spacing w:line="400" w:lineRule="atLeast"/>
        <w:jc w:val="center"/>
        <w:rPr>
          <w:b/>
          <w:szCs w:val="28"/>
        </w:rPr>
      </w:pPr>
      <w:r w:rsidRPr="00655827">
        <w:rPr>
          <w:rFonts w:hint="eastAsia"/>
          <w:b/>
          <w:szCs w:val="28"/>
        </w:rPr>
        <w:t>向家庭提供的福利服務</w:t>
      </w:r>
    </w:p>
    <w:p w:rsidR="00EE77A6" w:rsidRDefault="00EE77A6" w:rsidP="00EE77A6">
      <w:pPr>
        <w:snapToGrid w:val="0"/>
        <w:spacing w:line="400" w:lineRule="atLeast"/>
        <w:jc w:val="center"/>
        <w:rPr>
          <w:b/>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u w:val="single"/>
        </w:rPr>
      </w:pPr>
      <w:r w:rsidRPr="00655827">
        <w:rPr>
          <w:rFonts w:cs="Times New Roman" w:hint="eastAsia"/>
          <w:bCs/>
          <w:kern w:val="0"/>
          <w:szCs w:val="28"/>
          <w:u w:val="single"/>
        </w:rPr>
        <w:t>綜合家庭服務中心</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rPr>
      </w:pPr>
      <w:r w:rsidRPr="00655827">
        <w:rPr>
          <w:rFonts w:cs="Times New Roman"/>
          <w:bCs/>
          <w:kern w:val="0"/>
          <w:szCs w:val="28"/>
        </w:rPr>
        <w:t>1</w:t>
      </w:r>
      <w:r>
        <w:rPr>
          <w:rFonts w:cs="Times New Roman" w:hint="eastAsia"/>
          <w:bCs/>
          <w:kern w:val="0"/>
          <w:szCs w:val="28"/>
        </w:rPr>
        <w:t>.</w:t>
      </w:r>
      <w:r w:rsidRPr="00655827">
        <w:rPr>
          <w:rFonts w:cs="Times New Roman"/>
          <w:bCs/>
          <w:kern w:val="0"/>
          <w:szCs w:val="28"/>
        </w:rPr>
        <w:tab/>
      </w:r>
      <w:r w:rsidRPr="00655827">
        <w:rPr>
          <w:rFonts w:cs="Times New Roman" w:hint="eastAsia"/>
          <w:bCs/>
          <w:kern w:val="0"/>
          <w:szCs w:val="28"/>
        </w:rPr>
        <w:t>在</w:t>
      </w:r>
      <w:r w:rsidRPr="00655827">
        <w:rPr>
          <w:rFonts w:cs="Times New Roman"/>
          <w:bCs/>
          <w:kern w:val="0"/>
          <w:szCs w:val="28"/>
        </w:rPr>
        <w:t>2004</w:t>
      </w:r>
      <w:r w:rsidRPr="00655827">
        <w:rPr>
          <w:rFonts w:cs="Times New Roman" w:hint="eastAsia"/>
          <w:bCs/>
          <w:kern w:val="0"/>
          <w:szCs w:val="28"/>
        </w:rPr>
        <w:t>年以前，家庭服務中心是為需要協助及支援的家庭提供服務的最前線單位。在</w:t>
      </w:r>
      <w:r w:rsidRPr="00655827">
        <w:rPr>
          <w:rFonts w:cs="Times New Roman"/>
          <w:bCs/>
          <w:kern w:val="0"/>
          <w:szCs w:val="28"/>
        </w:rPr>
        <w:t>2004</w:t>
      </w:r>
      <w:r w:rsidRPr="00655827">
        <w:rPr>
          <w:rFonts w:cs="Times New Roman" w:hint="eastAsia"/>
          <w:bCs/>
          <w:kern w:val="0"/>
          <w:szCs w:val="28"/>
        </w:rPr>
        <w:t>年，社署確認了新的綜合家庭服務模式能更有效地回應服務需求，因而分階段透過整合家庭服務中心及其他家庭服務單位，成立了綜合家庭服務中心。綜合家庭服務模式被認為是一種有效的服務模式，能為服務使用者提供全面、方便及便利的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w:t>
      </w:r>
      <w:r w:rsidRPr="00655827">
        <w:rPr>
          <w:rFonts w:cs="Times New Roman"/>
          <w:bCs/>
          <w:kern w:val="0"/>
          <w:szCs w:val="28"/>
        </w:rPr>
        <w:tab/>
      </w:r>
      <w:r w:rsidRPr="00655827">
        <w:rPr>
          <w:rFonts w:cs="Times New Roman" w:hint="eastAsia"/>
          <w:bCs/>
          <w:kern w:val="0"/>
          <w:szCs w:val="28"/>
        </w:rPr>
        <w:t>截至</w:t>
      </w:r>
      <w:r w:rsidRPr="00655827">
        <w:rPr>
          <w:rFonts w:cs="Times New Roman"/>
          <w:bCs/>
          <w:kern w:val="0"/>
          <w:szCs w:val="28"/>
        </w:rPr>
        <w:t>2018</w:t>
      </w:r>
      <w:r w:rsidRPr="00655827">
        <w:rPr>
          <w:rFonts w:cs="Times New Roman" w:hint="eastAsia"/>
          <w:bCs/>
          <w:kern w:val="0"/>
          <w:szCs w:val="28"/>
        </w:rPr>
        <w:t>年</w:t>
      </w:r>
      <w:r w:rsidRPr="00655827">
        <w:rPr>
          <w:rFonts w:cs="Times New Roman"/>
          <w:bCs/>
          <w:kern w:val="0"/>
          <w:szCs w:val="28"/>
        </w:rPr>
        <w:t>12</w:t>
      </w:r>
      <w:r w:rsidRPr="00655827">
        <w:rPr>
          <w:rFonts w:cs="Times New Roman" w:hint="eastAsia"/>
          <w:bCs/>
          <w:kern w:val="0"/>
          <w:szCs w:val="28"/>
        </w:rPr>
        <w:t>月</w:t>
      </w:r>
      <w:r w:rsidRPr="00655827">
        <w:rPr>
          <w:rFonts w:cs="Times New Roman"/>
          <w:bCs/>
          <w:kern w:val="0"/>
          <w:szCs w:val="28"/>
        </w:rPr>
        <w:t>31</w:t>
      </w:r>
      <w:r w:rsidRPr="00655827">
        <w:rPr>
          <w:rFonts w:cs="Times New Roman" w:hint="eastAsia"/>
          <w:bCs/>
          <w:kern w:val="0"/>
          <w:szCs w:val="28"/>
        </w:rPr>
        <w:t>日，香港共有</w:t>
      </w:r>
      <w:r w:rsidRPr="00655827">
        <w:rPr>
          <w:rFonts w:cs="Times New Roman"/>
          <w:bCs/>
          <w:kern w:val="0"/>
          <w:szCs w:val="28"/>
        </w:rPr>
        <w:t>65</w:t>
      </w:r>
      <w:r w:rsidRPr="00655827">
        <w:rPr>
          <w:rFonts w:cs="Times New Roman" w:hint="eastAsia"/>
          <w:bCs/>
          <w:kern w:val="0"/>
          <w:szCs w:val="28"/>
        </w:rPr>
        <w:t>間綜合家庭服務中心，為有需要的兒童或家庭提供一系列預防、支援和補救服務，包括家庭生活教育、親子活動、諮詢服務、外展服務、互助小組、輔導和轉介服務。綜合家庭服務中心的人手在服務重組後有相當的增長，前線社工人手數目由</w:t>
      </w:r>
      <w:r w:rsidRPr="00655827">
        <w:rPr>
          <w:rFonts w:cs="Times New Roman"/>
          <w:bCs/>
          <w:kern w:val="0"/>
          <w:szCs w:val="28"/>
        </w:rPr>
        <w:t>2004-05</w:t>
      </w:r>
      <w:r w:rsidRPr="00655827">
        <w:rPr>
          <w:rFonts w:cs="Times New Roman" w:hint="eastAsia"/>
          <w:bCs/>
          <w:kern w:val="0"/>
          <w:szCs w:val="28"/>
        </w:rPr>
        <w:t>年度的</w:t>
      </w:r>
      <w:r w:rsidRPr="00655827">
        <w:rPr>
          <w:rFonts w:cs="Times New Roman"/>
          <w:bCs/>
          <w:kern w:val="0"/>
          <w:szCs w:val="28"/>
        </w:rPr>
        <w:t>896</w:t>
      </w:r>
      <w:r w:rsidRPr="00655827">
        <w:rPr>
          <w:rFonts w:cs="Times New Roman" w:hint="eastAsia"/>
          <w:bCs/>
          <w:kern w:val="0"/>
          <w:szCs w:val="28"/>
        </w:rPr>
        <w:t>名增加至</w:t>
      </w:r>
      <w:r w:rsidRPr="00655827">
        <w:rPr>
          <w:rFonts w:cs="Times New Roman"/>
          <w:bCs/>
          <w:kern w:val="0"/>
          <w:szCs w:val="28"/>
        </w:rPr>
        <w:t>2018-19</w:t>
      </w:r>
      <w:r w:rsidRPr="00655827">
        <w:rPr>
          <w:rFonts w:cs="Times New Roman" w:hint="eastAsia"/>
          <w:bCs/>
          <w:kern w:val="0"/>
          <w:szCs w:val="28"/>
        </w:rPr>
        <w:t>年度的</w:t>
      </w:r>
      <w:r w:rsidRPr="00655827">
        <w:rPr>
          <w:rFonts w:cs="Times New Roman"/>
          <w:bCs/>
          <w:kern w:val="0"/>
          <w:szCs w:val="28"/>
        </w:rPr>
        <w:t>1 123</w:t>
      </w:r>
      <w:r w:rsidRPr="00655827">
        <w:rPr>
          <w:rFonts w:cs="Times New Roman" w:hint="eastAsia"/>
          <w:bCs/>
          <w:kern w:val="0"/>
          <w:szCs w:val="28"/>
        </w:rPr>
        <w:t>名，中心主任／督導人員亦由</w:t>
      </w:r>
      <w:r w:rsidRPr="00655827">
        <w:rPr>
          <w:rFonts w:cs="Times New Roman"/>
          <w:bCs/>
          <w:kern w:val="0"/>
          <w:szCs w:val="28"/>
        </w:rPr>
        <w:t>62</w:t>
      </w:r>
      <w:r w:rsidRPr="00655827">
        <w:rPr>
          <w:rFonts w:cs="Times New Roman" w:hint="eastAsia"/>
          <w:bCs/>
          <w:kern w:val="0"/>
          <w:szCs w:val="28"/>
        </w:rPr>
        <w:t>名增加至</w:t>
      </w:r>
      <w:r w:rsidRPr="00655827">
        <w:rPr>
          <w:rFonts w:cs="Times New Roman"/>
          <w:bCs/>
          <w:kern w:val="0"/>
          <w:szCs w:val="28"/>
        </w:rPr>
        <w:t>98</w:t>
      </w:r>
      <w:r w:rsidRPr="00655827">
        <w:rPr>
          <w:rFonts w:cs="Times New Roman" w:hint="eastAsia"/>
          <w:bCs/>
          <w:kern w:val="0"/>
          <w:szCs w:val="28"/>
        </w:rPr>
        <w:t>名，前線社工及中心主任／督導人員總人手增幅達</w:t>
      </w:r>
      <w:r w:rsidRPr="00655827">
        <w:rPr>
          <w:rFonts w:cs="Times New Roman"/>
          <w:bCs/>
          <w:kern w:val="0"/>
          <w:szCs w:val="28"/>
        </w:rPr>
        <w:t>27%</w:t>
      </w:r>
      <w:r w:rsidRPr="00655827">
        <w:rPr>
          <w:rFonts w:cs="Times New Roman" w:hint="eastAsia"/>
          <w:bCs/>
          <w:kern w:val="0"/>
          <w:szCs w:val="28"/>
        </w:rPr>
        <w:t>。</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u w:val="single"/>
        </w:rPr>
      </w:pPr>
      <w:r w:rsidRPr="00655827">
        <w:rPr>
          <w:rFonts w:cs="Times New Roman" w:hint="eastAsia"/>
          <w:bCs/>
          <w:kern w:val="0"/>
          <w:szCs w:val="28"/>
          <w:u w:val="single"/>
        </w:rPr>
        <w:t>熱線服務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3.</w:t>
      </w:r>
      <w:r w:rsidRPr="00655827">
        <w:rPr>
          <w:rFonts w:cs="Times New Roman"/>
          <w:bCs/>
          <w:kern w:val="0"/>
          <w:szCs w:val="28"/>
        </w:rPr>
        <w:tab/>
      </w:r>
      <w:r w:rsidRPr="00655827">
        <w:rPr>
          <w:rFonts w:cs="Times New Roman" w:hint="eastAsia"/>
          <w:bCs/>
          <w:kern w:val="0"/>
          <w:szCs w:val="28"/>
        </w:rPr>
        <w:t>上一次報告的第</w:t>
      </w:r>
      <w:r w:rsidRPr="00655827">
        <w:rPr>
          <w:rFonts w:cs="Times New Roman"/>
          <w:bCs/>
          <w:kern w:val="0"/>
          <w:szCs w:val="28"/>
        </w:rPr>
        <w:t>10.13</w:t>
      </w:r>
      <w:r w:rsidRPr="00655827">
        <w:rPr>
          <w:rFonts w:cs="Times New Roman" w:hint="eastAsia"/>
          <w:bCs/>
          <w:kern w:val="0"/>
          <w:szCs w:val="28"/>
        </w:rPr>
        <w:t>段指出，為方便市民使用相關福利服務，社署推出了熱線服務。在</w:t>
      </w:r>
      <w:r w:rsidRPr="00655827">
        <w:rPr>
          <w:rFonts w:cs="Times New Roman"/>
          <w:bCs/>
          <w:kern w:val="0"/>
          <w:szCs w:val="28"/>
        </w:rPr>
        <w:t>2008</w:t>
      </w:r>
      <w:r w:rsidRPr="00655827">
        <w:rPr>
          <w:rFonts w:cs="Times New Roman" w:hint="eastAsia"/>
          <w:bCs/>
          <w:kern w:val="0"/>
          <w:szCs w:val="28"/>
        </w:rPr>
        <w:t>年</w:t>
      </w:r>
      <w:r w:rsidRPr="00655827">
        <w:rPr>
          <w:rFonts w:cs="Times New Roman"/>
          <w:bCs/>
          <w:kern w:val="0"/>
          <w:szCs w:val="28"/>
        </w:rPr>
        <w:t>10</w:t>
      </w:r>
      <w:r w:rsidRPr="00655827">
        <w:rPr>
          <w:rFonts w:cs="Times New Roman" w:hint="eastAsia"/>
          <w:bCs/>
          <w:kern w:val="0"/>
          <w:szCs w:val="28"/>
        </w:rPr>
        <w:t>月，社署強化其部門熱線，委託一間非政府機構在社署辦公時間以外營運熱線，並營辦一支外展服務隊，令熱線可</w:t>
      </w:r>
      <w:r w:rsidRPr="00655827">
        <w:rPr>
          <w:rFonts w:cs="Times New Roman"/>
          <w:bCs/>
          <w:kern w:val="0"/>
          <w:szCs w:val="28"/>
        </w:rPr>
        <w:t>24</w:t>
      </w:r>
      <w:r w:rsidRPr="00655827">
        <w:rPr>
          <w:rFonts w:cs="Times New Roman" w:hint="eastAsia"/>
          <w:bCs/>
          <w:kern w:val="0"/>
          <w:szCs w:val="28"/>
        </w:rPr>
        <w:t>小時運作，及於辦公時間以外為有需要的個案提供外展服務。加強熱線服務有助及早識別並預防家庭問題。</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4.</w:t>
      </w:r>
      <w:r w:rsidRPr="00655827">
        <w:rPr>
          <w:rFonts w:cs="Times New Roman"/>
          <w:bCs/>
          <w:kern w:val="0"/>
          <w:szCs w:val="28"/>
        </w:rPr>
        <w:tab/>
      </w:r>
      <w:r w:rsidRPr="00655827">
        <w:rPr>
          <w:rFonts w:cs="Times New Roman" w:hint="eastAsia"/>
          <w:bCs/>
          <w:kern w:val="0"/>
          <w:szCs w:val="28"/>
        </w:rPr>
        <w:t>有鑒於部分市民可能因為受全球金融海嘯影響而面對情緒或家庭等問題，社署在</w:t>
      </w:r>
      <w:r w:rsidRPr="00655827">
        <w:rPr>
          <w:rFonts w:cs="Times New Roman"/>
          <w:bCs/>
          <w:kern w:val="0"/>
          <w:szCs w:val="28"/>
        </w:rPr>
        <w:t>2008</w:t>
      </w:r>
      <w:r w:rsidRPr="00655827">
        <w:rPr>
          <w:rFonts w:cs="Times New Roman" w:hint="eastAsia"/>
          <w:bCs/>
          <w:kern w:val="0"/>
          <w:szCs w:val="28"/>
        </w:rPr>
        <w:t>年</w:t>
      </w:r>
      <w:r w:rsidRPr="00655827">
        <w:rPr>
          <w:rFonts w:cs="Times New Roman"/>
          <w:bCs/>
          <w:kern w:val="0"/>
          <w:szCs w:val="28"/>
        </w:rPr>
        <w:t>10</w:t>
      </w:r>
      <w:r w:rsidRPr="00655827">
        <w:rPr>
          <w:rFonts w:cs="Times New Roman" w:hint="eastAsia"/>
          <w:bCs/>
          <w:kern w:val="0"/>
          <w:szCs w:val="28"/>
        </w:rPr>
        <w:t>月向兩間非政府機構額外撥款，資助它們設立「金融危機情緒輔導熱線」。熱線由註冊社工接聽，提供</w:t>
      </w:r>
      <w:r w:rsidRPr="00655827">
        <w:rPr>
          <w:rFonts w:cs="Times New Roman"/>
          <w:bCs/>
          <w:kern w:val="0"/>
          <w:szCs w:val="28"/>
        </w:rPr>
        <w:t>24</w:t>
      </w:r>
      <w:r w:rsidRPr="00655827">
        <w:rPr>
          <w:rFonts w:cs="Times New Roman" w:hint="eastAsia"/>
          <w:bCs/>
          <w:kern w:val="0"/>
          <w:szCs w:val="28"/>
        </w:rPr>
        <w:t>小時服務。社工也會為求助人士提供面對面的輔導服務及舉辦支援小組，加強他們處理壓力的技巧及協助他們積極面對問題，並會</w:t>
      </w:r>
      <w:r w:rsidRPr="00655827">
        <w:rPr>
          <w:rFonts w:cs="Times New Roman" w:hint="eastAsia"/>
          <w:bCs/>
          <w:kern w:val="0"/>
          <w:szCs w:val="28"/>
        </w:rPr>
        <w:lastRenderedPageBreak/>
        <w:t>按需要將個案轉介至合適的福利服務單位跟進。此外，社署在</w:t>
      </w:r>
      <w:r w:rsidRPr="00655827">
        <w:rPr>
          <w:rFonts w:cs="Times New Roman"/>
          <w:bCs/>
          <w:kern w:val="0"/>
          <w:szCs w:val="28"/>
        </w:rPr>
        <w:t>2018</w:t>
      </w:r>
      <w:r w:rsidRPr="00655827">
        <w:rPr>
          <w:rFonts w:cs="Times New Roman" w:hint="eastAsia"/>
          <w:bCs/>
          <w:kern w:val="0"/>
          <w:szCs w:val="28"/>
        </w:rPr>
        <w:t>年</w:t>
      </w:r>
      <w:r w:rsidRPr="00655827">
        <w:rPr>
          <w:rFonts w:cs="Times New Roman"/>
          <w:bCs/>
          <w:kern w:val="0"/>
          <w:szCs w:val="28"/>
        </w:rPr>
        <w:t>1</w:t>
      </w:r>
      <w:r w:rsidRPr="00655827">
        <w:rPr>
          <w:rFonts w:cs="Times New Roman" w:hint="eastAsia"/>
          <w:bCs/>
          <w:kern w:val="0"/>
          <w:szCs w:val="28"/>
        </w:rPr>
        <w:t>月向一間非政府機構額外撥款，資助它設立「性小眾熱線及支援服務」，為性小眾提供一個便捷方法，使他們得到適時的支援和輔導，以提高他們解決生活問題的技巧／緩解他們的生活壓力。服務由註冊社工提供，內容包括</w:t>
      </w:r>
      <w:r w:rsidRPr="00655827">
        <w:rPr>
          <w:rFonts w:cs="Times New Roman"/>
          <w:bCs/>
          <w:kern w:val="0"/>
          <w:szCs w:val="28"/>
        </w:rPr>
        <w:t>24</w:t>
      </w:r>
      <w:r w:rsidRPr="00655827">
        <w:rPr>
          <w:rFonts w:cs="Times New Roman" w:hint="eastAsia"/>
          <w:bCs/>
          <w:kern w:val="0"/>
          <w:szCs w:val="28"/>
        </w:rPr>
        <w:t>小時熱線、支援小組和活動。</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u w:val="single"/>
        </w:rPr>
      </w:pPr>
      <w:r w:rsidRPr="00655827">
        <w:rPr>
          <w:rFonts w:cs="Times New Roman" w:hint="eastAsia"/>
          <w:bCs/>
          <w:kern w:val="0"/>
          <w:szCs w:val="28"/>
          <w:u w:val="single"/>
        </w:rPr>
        <w:t>幼兒照顧服務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5.</w:t>
      </w:r>
      <w:r w:rsidRPr="00655827">
        <w:rPr>
          <w:rFonts w:cs="Times New Roman"/>
          <w:bCs/>
          <w:kern w:val="0"/>
          <w:szCs w:val="28"/>
        </w:rPr>
        <w:tab/>
      </w:r>
      <w:r w:rsidRPr="00655827">
        <w:rPr>
          <w:rFonts w:cs="Times New Roman" w:hint="eastAsia"/>
          <w:bCs/>
          <w:kern w:val="0"/>
          <w:szCs w:val="28"/>
        </w:rPr>
        <w:t>為支援一些因工作或其他原因而暫時未能照顧子女的家長，政府資助非政府機構提供多元化的幼兒照顧服務，包括幼兒中心服務、暫託幼兒服務、延長時間服務、鄰里支援幼兒照顧計劃及互助幼兒中心（上一次報告的第</w:t>
      </w:r>
      <w:r w:rsidRPr="00655827">
        <w:rPr>
          <w:rFonts w:cs="Times New Roman"/>
          <w:bCs/>
          <w:kern w:val="0"/>
          <w:szCs w:val="28"/>
        </w:rPr>
        <w:t>10.15</w:t>
      </w:r>
      <w:r w:rsidRPr="00655827">
        <w:rPr>
          <w:rFonts w:cs="Times New Roman" w:hint="eastAsia"/>
          <w:bCs/>
          <w:kern w:val="0"/>
          <w:szCs w:val="28"/>
        </w:rPr>
        <w:t>段提及），以配合家長及幼兒的不同需要。繼上一次報告，政府進一步加強／重整了部分幼兒照顧服務，以便更有效地回應服務需求。主要措施如下﹕</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221770" w:rsidP="00221770">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EE77A6" w:rsidRPr="00655827">
        <w:rPr>
          <w:rFonts w:cs="Times New Roman"/>
          <w:bCs/>
          <w:kern w:val="0"/>
          <w:szCs w:val="28"/>
        </w:rPr>
        <w:t>(a)</w:t>
      </w:r>
      <w:r w:rsidR="00EE77A6" w:rsidRPr="00655827">
        <w:rPr>
          <w:rFonts w:cs="Times New Roman"/>
          <w:bCs/>
          <w:kern w:val="0"/>
          <w:szCs w:val="28"/>
        </w:rPr>
        <w:tab/>
      </w:r>
      <w:r w:rsidR="00EE77A6" w:rsidRPr="00655827">
        <w:rPr>
          <w:rFonts w:cs="Times New Roman" w:hint="eastAsia"/>
          <w:bCs/>
          <w:kern w:val="0"/>
          <w:szCs w:val="28"/>
        </w:rPr>
        <w:t>加強幼兒照顧服務：為進一步回應家庭對服務的需求，政府一直加強幼兒照顧服務。例如，因應教育局在</w:t>
      </w:r>
      <w:r w:rsidR="00EE77A6" w:rsidRPr="00655827">
        <w:rPr>
          <w:rFonts w:cs="Times New Roman"/>
          <w:bCs/>
          <w:kern w:val="0"/>
          <w:szCs w:val="28"/>
        </w:rPr>
        <w:t>2017/18</w:t>
      </w:r>
      <w:r w:rsidR="00EE77A6" w:rsidRPr="00FE2A7D">
        <w:rPr>
          <w:rFonts w:cs="Times New Roman" w:hint="eastAsia"/>
          <w:bCs/>
          <w:spacing w:val="-4"/>
          <w:kern w:val="0"/>
          <w:szCs w:val="28"/>
        </w:rPr>
        <w:t>學年落實免費優質幼稚園教育政策，社署已於</w:t>
      </w:r>
      <w:r w:rsidR="00EE77A6" w:rsidRPr="00FE2A7D">
        <w:rPr>
          <w:rFonts w:cs="Times New Roman"/>
          <w:bCs/>
          <w:spacing w:val="-4"/>
          <w:kern w:val="0"/>
          <w:szCs w:val="28"/>
        </w:rPr>
        <w:t>2017</w:t>
      </w:r>
      <w:r w:rsidR="00EE77A6" w:rsidRPr="00FE2A7D">
        <w:rPr>
          <w:rFonts w:cs="Times New Roman" w:hint="eastAsia"/>
          <w:bCs/>
          <w:spacing w:val="-4"/>
          <w:kern w:val="0"/>
          <w:szCs w:val="28"/>
        </w:rPr>
        <w:t>年</w:t>
      </w:r>
      <w:r w:rsidR="00EE77A6" w:rsidRPr="00FE2A7D">
        <w:rPr>
          <w:rFonts w:cs="Times New Roman"/>
          <w:bCs/>
          <w:spacing w:val="-4"/>
          <w:kern w:val="0"/>
          <w:szCs w:val="28"/>
        </w:rPr>
        <w:t>9</w:t>
      </w:r>
      <w:r w:rsidR="00EE77A6" w:rsidRPr="00655827">
        <w:rPr>
          <w:rFonts w:cs="Times New Roman" w:hint="eastAsia"/>
          <w:bCs/>
          <w:kern w:val="0"/>
          <w:szCs w:val="28"/>
        </w:rPr>
        <w:t>月起提供額外資源，以加強日間／住宿幼兒照顧和學前康復服務。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221770" w:rsidP="00221770">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EE77A6" w:rsidRPr="00655827">
        <w:rPr>
          <w:rFonts w:cs="Times New Roman"/>
          <w:bCs/>
          <w:kern w:val="0"/>
          <w:szCs w:val="28"/>
        </w:rPr>
        <w:t>(b)</w:t>
      </w:r>
      <w:r w:rsidR="00EE77A6" w:rsidRPr="00655827">
        <w:rPr>
          <w:rFonts w:cs="Times New Roman"/>
          <w:bCs/>
          <w:kern w:val="0"/>
          <w:szCs w:val="28"/>
        </w:rPr>
        <w:tab/>
      </w:r>
      <w:r w:rsidR="00EE77A6" w:rsidRPr="00AF0B59">
        <w:rPr>
          <w:rFonts w:cs="Times New Roman" w:hint="eastAsia"/>
          <w:bCs/>
          <w:spacing w:val="-2"/>
          <w:kern w:val="0"/>
          <w:szCs w:val="28"/>
        </w:rPr>
        <w:t>延長時間服務：為支援婦女兼顧工作和家庭，政府已於</w:t>
      </w:r>
      <w:r w:rsidR="00EE77A6" w:rsidRPr="00AF0B59">
        <w:rPr>
          <w:rFonts w:cs="Times New Roman"/>
          <w:bCs/>
          <w:spacing w:val="-2"/>
          <w:kern w:val="0"/>
          <w:szCs w:val="28"/>
        </w:rPr>
        <w:t>2015-16</w:t>
      </w:r>
      <w:r w:rsidR="00EE77A6" w:rsidRPr="00AF0B59">
        <w:rPr>
          <w:rFonts w:cs="Times New Roman" w:hint="eastAsia"/>
          <w:bCs/>
          <w:spacing w:val="-2"/>
          <w:kern w:val="0"/>
          <w:szCs w:val="28"/>
        </w:rPr>
        <w:t>年度起強化延長時間服務，在原有每週的</w:t>
      </w:r>
      <w:r w:rsidR="00EE77A6" w:rsidRPr="00AF0B59">
        <w:rPr>
          <w:rFonts w:cs="Times New Roman"/>
          <w:bCs/>
          <w:spacing w:val="-2"/>
          <w:kern w:val="0"/>
          <w:szCs w:val="28"/>
        </w:rPr>
        <w:t>10</w:t>
      </w:r>
      <w:r w:rsidR="00EE77A6" w:rsidRPr="00AF0B59">
        <w:rPr>
          <w:rFonts w:cs="Times New Roman" w:hint="eastAsia"/>
          <w:bCs/>
          <w:spacing w:val="-2"/>
          <w:kern w:val="0"/>
          <w:szCs w:val="28"/>
        </w:rPr>
        <w:t>小時、</w:t>
      </w:r>
      <w:r w:rsidR="00EE77A6" w:rsidRPr="00AF0B59">
        <w:rPr>
          <w:rFonts w:cs="Times New Roman"/>
          <w:bCs/>
          <w:spacing w:val="-2"/>
          <w:kern w:val="0"/>
          <w:szCs w:val="28"/>
        </w:rPr>
        <w:t>12</w:t>
      </w:r>
      <w:r w:rsidR="00EE77A6" w:rsidRPr="00AF0B59">
        <w:rPr>
          <w:rFonts w:cs="Times New Roman" w:hint="eastAsia"/>
          <w:bCs/>
          <w:spacing w:val="-2"/>
          <w:kern w:val="0"/>
          <w:szCs w:val="28"/>
        </w:rPr>
        <w:t>小時及</w:t>
      </w:r>
      <w:r w:rsidR="00EE77A6" w:rsidRPr="00AF0B59">
        <w:rPr>
          <w:rFonts w:cs="Times New Roman"/>
          <w:bCs/>
          <w:spacing w:val="-2"/>
          <w:kern w:val="0"/>
          <w:szCs w:val="28"/>
        </w:rPr>
        <w:t>17</w:t>
      </w:r>
      <w:r w:rsidR="00EE77A6" w:rsidRPr="00AF0B59">
        <w:rPr>
          <w:rFonts w:cs="Times New Roman" w:hint="eastAsia"/>
          <w:bCs/>
          <w:spacing w:val="-2"/>
          <w:kern w:val="0"/>
          <w:szCs w:val="28"/>
        </w:rPr>
        <w:t>小時的運作模式上，增設每週</w:t>
      </w:r>
      <w:r w:rsidR="00EE77A6" w:rsidRPr="00AF0B59">
        <w:rPr>
          <w:rFonts w:cs="Times New Roman"/>
          <w:bCs/>
          <w:spacing w:val="-2"/>
          <w:kern w:val="0"/>
          <w:szCs w:val="28"/>
        </w:rPr>
        <w:t>5</w:t>
      </w:r>
      <w:r w:rsidR="00EE77A6" w:rsidRPr="00AF0B59">
        <w:rPr>
          <w:rFonts w:cs="Times New Roman" w:hint="eastAsia"/>
          <w:bCs/>
          <w:spacing w:val="-2"/>
          <w:kern w:val="0"/>
          <w:szCs w:val="28"/>
        </w:rPr>
        <w:t>小時及</w:t>
      </w:r>
      <w:r w:rsidR="00EE77A6" w:rsidRPr="00AF0B59">
        <w:rPr>
          <w:rFonts w:cs="Times New Roman"/>
          <w:bCs/>
          <w:spacing w:val="-2"/>
          <w:kern w:val="0"/>
          <w:szCs w:val="28"/>
        </w:rPr>
        <w:t>6</w:t>
      </w:r>
      <w:r w:rsidR="00EE77A6" w:rsidRPr="00AF0B59">
        <w:rPr>
          <w:rFonts w:cs="Times New Roman" w:hint="eastAsia"/>
          <w:bCs/>
          <w:spacing w:val="-2"/>
          <w:kern w:val="0"/>
          <w:szCs w:val="28"/>
        </w:rPr>
        <w:t>小時的兩項運作模式，以加強服務彈性。同時，政府亦在服務需求殷切地區內的資助獨立幼兒中心及幼稚園暨幼兒中心，把原有的</w:t>
      </w:r>
      <w:r w:rsidR="00EE77A6" w:rsidRPr="00AF0B59">
        <w:rPr>
          <w:rFonts w:cs="Times New Roman"/>
          <w:bCs/>
          <w:spacing w:val="-2"/>
          <w:kern w:val="0"/>
          <w:szCs w:val="28"/>
        </w:rPr>
        <w:t>1 230</w:t>
      </w:r>
      <w:r w:rsidR="00EE77A6" w:rsidRPr="00AF0B59">
        <w:rPr>
          <w:rFonts w:cs="Times New Roman" w:hint="eastAsia"/>
          <w:bCs/>
          <w:spacing w:val="-2"/>
          <w:kern w:val="0"/>
          <w:szCs w:val="28"/>
        </w:rPr>
        <w:t>個「延長時間服務」名額，分階段增加至</w:t>
      </w:r>
      <w:r w:rsidR="00EE77A6" w:rsidRPr="00AF0B59">
        <w:rPr>
          <w:rFonts w:cs="Times New Roman"/>
          <w:bCs/>
          <w:spacing w:val="-2"/>
          <w:kern w:val="0"/>
          <w:szCs w:val="28"/>
        </w:rPr>
        <w:t>2 260</w:t>
      </w:r>
      <w:r w:rsidR="00EE77A6" w:rsidRPr="00AF0B59">
        <w:rPr>
          <w:rFonts w:cs="Times New Roman" w:hint="eastAsia"/>
          <w:bCs/>
          <w:spacing w:val="-2"/>
          <w:kern w:val="0"/>
          <w:szCs w:val="28"/>
        </w:rPr>
        <w:t>個，讓更多有需要的學前兒童，可以留在原有服務單位繼續接受延長時間的照顧服務，以紓緩在職父母的壓力。</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221770" w:rsidP="00221770">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EE77A6" w:rsidRPr="00655827">
        <w:rPr>
          <w:rFonts w:cs="Times New Roman"/>
          <w:bCs/>
          <w:kern w:val="0"/>
          <w:szCs w:val="28"/>
        </w:rPr>
        <w:t>(c)</w:t>
      </w:r>
      <w:r w:rsidR="00EE77A6" w:rsidRPr="00655827">
        <w:rPr>
          <w:rFonts w:cs="Times New Roman"/>
          <w:bCs/>
          <w:kern w:val="0"/>
          <w:szCs w:val="28"/>
        </w:rPr>
        <w:tab/>
      </w:r>
      <w:r w:rsidR="00EE77A6" w:rsidRPr="00655827">
        <w:rPr>
          <w:rFonts w:cs="Times New Roman" w:hint="eastAsia"/>
          <w:bCs/>
          <w:kern w:val="0"/>
          <w:szCs w:val="28"/>
        </w:rPr>
        <w:t>鄰里支援幼兒照顧計劃：為期三年以試行形式推出的鄰里支援幼兒照顧計劃已於</w:t>
      </w:r>
      <w:r w:rsidR="00EE77A6" w:rsidRPr="00655827">
        <w:rPr>
          <w:rFonts w:cs="Times New Roman"/>
          <w:bCs/>
          <w:kern w:val="0"/>
          <w:szCs w:val="28"/>
        </w:rPr>
        <w:t>2011</w:t>
      </w:r>
      <w:r w:rsidR="00EE77A6" w:rsidRPr="00655827">
        <w:rPr>
          <w:rFonts w:cs="Times New Roman" w:hint="eastAsia"/>
          <w:bCs/>
          <w:kern w:val="0"/>
          <w:szCs w:val="28"/>
        </w:rPr>
        <w:t>年</w:t>
      </w:r>
      <w:r w:rsidR="00EE77A6" w:rsidRPr="00655827">
        <w:rPr>
          <w:rFonts w:cs="Times New Roman"/>
          <w:bCs/>
          <w:kern w:val="0"/>
          <w:szCs w:val="28"/>
        </w:rPr>
        <w:t>9</w:t>
      </w:r>
      <w:r w:rsidR="00EE77A6" w:rsidRPr="00655827">
        <w:rPr>
          <w:rFonts w:cs="Times New Roman" w:hint="eastAsia"/>
          <w:bCs/>
          <w:kern w:val="0"/>
          <w:szCs w:val="28"/>
        </w:rPr>
        <w:t>月完成。鑑於此彈性幼兒照顧服務的模式成效理想，鄰里支援幼兒照顧計劃已於</w:t>
      </w:r>
      <w:r w:rsidR="00EE77A6" w:rsidRPr="00655827">
        <w:rPr>
          <w:rFonts w:cs="Times New Roman"/>
          <w:bCs/>
          <w:kern w:val="0"/>
          <w:szCs w:val="28"/>
        </w:rPr>
        <w:lastRenderedPageBreak/>
        <w:t>2011</w:t>
      </w:r>
      <w:r w:rsidR="00EE77A6" w:rsidRPr="00655827">
        <w:rPr>
          <w:rFonts w:cs="Times New Roman" w:hint="eastAsia"/>
          <w:bCs/>
          <w:kern w:val="0"/>
          <w:szCs w:val="28"/>
        </w:rPr>
        <w:t>年常規化並擴展至</w:t>
      </w:r>
      <w:r w:rsidR="00EE77A6" w:rsidRPr="00655827">
        <w:rPr>
          <w:rFonts w:cs="Times New Roman"/>
          <w:bCs/>
          <w:kern w:val="0"/>
          <w:szCs w:val="28"/>
        </w:rPr>
        <w:t>18</w:t>
      </w:r>
      <w:r w:rsidR="00EE77A6" w:rsidRPr="00655827">
        <w:rPr>
          <w:rFonts w:cs="Times New Roman" w:hint="eastAsia"/>
          <w:bCs/>
          <w:kern w:val="0"/>
          <w:szCs w:val="28"/>
        </w:rPr>
        <w:t>區，讓更多有需要的家庭受惠。</w:t>
      </w:r>
      <w:r w:rsidR="00EE77A6" w:rsidRPr="00AF0B59">
        <w:rPr>
          <w:rFonts w:cs="Times New Roman" w:hint="eastAsia"/>
          <w:bCs/>
          <w:spacing w:val="-2"/>
          <w:kern w:val="0"/>
          <w:szCs w:val="28"/>
        </w:rPr>
        <w:t>鄰里支援幼兒照顧計劃在</w:t>
      </w:r>
      <w:r w:rsidR="00EE77A6" w:rsidRPr="00AF0B59">
        <w:rPr>
          <w:rFonts w:cs="Times New Roman"/>
          <w:bCs/>
          <w:spacing w:val="-2"/>
          <w:kern w:val="0"/>
          <w:szCs w:val="28"/>
        </w:rPr>
        <w:t>2014</w:t>
      </w:r>
      <w:r w:rsidR="00EE77A6" w:rsidRPr="00AF0B59">
        <w:rPr>
          <w:rFonts w:cs="Times New Roman" w:hint="eastAsia"/>
          <w:bCs/>
          <w:spacing w:val="-2"/>
          <w:kern w:val="0"/>
          <w:szCs w:val="28"/>
        </w:rPr>
        <w:t>年</w:t>
      </w:r>
      <w:r w:rsidR="00EE77A6" w:rsidRPr="00AF0B59">
        <w:rPr>
          <w:rFonts w:cs="Times New Roman"/>
          <w:bCs/>
          <w:spacing w:val="-2"/>
          <w:kern w:val="0"/>
          <w:szCs w:val="28"/>
        </w:rPr>
        <w:t>10</w:t>
      </w:r>
      <w:r w:rsidR="00EE77A6" w:rsidRPr="00AF0B59">
        <w:rPr>
          <w:rFonts w:cs="Times New Roman" w:hint="eastAsia"/>
          <w:bCs/>
          <w:spacing w:val="-2"/>
          <w:kern w:val="0"/>
          <w:szCs w:val="28"/>
        </w:rPr>
        <w:t>月優化，把受惠的兒童年齡上限從六歲以下提升至九歲以下，以及增加了社區保姆家居照顧的服務名額。</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221770" w:rsidP="00221770">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EE77A6" w:rsidRPr="00655827">
        <w:rPr>
          <w:rFonts w:cs="Times New Roman"/>
          <w:bCs/>
          <w:kern w:val="0"/>
          <w:szCs w:val="28"/>
        </w:rPr>
        <w:t>(d)</w:t>
      </w:r>
      <w:r w:rsidR="00EE77A6" w:rsidRPr="00655827">
        <w:rPr>
          <w:rFonts w:cs="Times New Roman"/>
          <w:bCs/>
          <w:kern w:val="0"/>
          <w:szCs w:val="28"/>
        </w:rPr>
        <w:tab/>
      </w:r>
      <w:r w:rsidR="00EE77A6" w:rsidRPr="00655827">
        <w:rPr>
          <w:rFonts w:cs="Times New Roman" w:hint="eastAsia"/>
          <w:bCs/>
          <w:kern w:val="0"/>
          <w:szCs w:val="28"/>
        </w:rPr>
        <w:t>互助幼兒中心：互助幼兒中心由社會福利團體、教會及婦女組織營運。自</w:t>
      </w:r>
      <w:r w:rsidR="00EE77A6" w:rsidRPr="00655827">
        <w:rPr>
          <w:rFonts w:cs="Times New Roman"/>
          <w:bCs/>
          <w:kern w:val="0"/>
          <w:szCs w:val="28"/>
        </w:rPr>
        <w:t>2008</w:t>
      </w:r>
      <w:r w:rsidR="00EE77A6" w:rsidRPr="00655827">
        <w:rPr>
          <w:rFonts w:cs="Times New Roman" w:hint="eastAsia"/>
          <w:bCs/>
          <w:kern w:val="0"/>
          <w:szCs w:val="28"/>
        </w:rPr>
        <w:t>年</w:t>
      </w:r>
      <w:r w:rsidR="00EE77A6" w:rsidRPr="00655827">
        <w:rPr>
          <w:rFonts w:cs="Times New Roman"/>
          <w:bCs/>
          <w:kern w:val="0"/>
          <w:szCs w:val="28"/>
        </w:rPr>
        <w:t>1</w:t>
      </w:r>
      <w:r w:rsidR="00EE77A6" w:rsidRPr="00655827">
        <w:rPr>
          <w:rFonts w:cs="Times New Roman" w:hint="eastAsia"/>
          <w:bCs/>
          <w:kern w:val="0"/>
          <w:szCs w:val="28"/>
        </w:rPr>
        <w:t>月起，政府為互助幼兒中心提供資助，以加強他們於晚間、周末和假日的服務。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221770" w:rsidP="00221770">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EE77A6" w:rsidRPr="00655827">
        <w:rPr>
          <w:rFonts w:cs="Times New Roman"/>
          <w:bCs/>
          <w:kern w:val="0"/>
          <w:szCs w:val="28"/>
        </w:rPr>
        <w:t>(e)</w:t>
      </w:r>
      <w:r w:rsidR="00EE77A6" w:rsidRPr="00655827">
        <w:rPr>
          <w:rFonts w:cs="Times New Roman"/>
          <w:bCs/>
          <w:kern w:val="0"/>
          <w:szCs w:val="28"/>
        </w:rPr>
        <w:tab/>
      </w:r>
      <w:r w:rsidR="00EE77A6" w:rsidRPr="00655827">
        <w:rPr>
          <w:rFonts w:cs="Times New Roman" w:hint="eastAsia"/>
          <w:bCs/>
          <w:kern w:val="0"/>
          <w:szCs w:val="28"/>
        </w:rPr>
        <w:t>日間兒童之家及日間寄養服務：鑑於住宿照顧服務的需求殷切，而鄰里支援幼兒照顧計劃服務亦提供相類似的日間幼兒照顧服務，日間兒童之家及日間寄養服務已分別於</w:t>
      </w:r>
      <w:r w:rsidR="00EE77A6" w:rsidRPr="00655827">
        <w:rPr>
          <w:rFonts w:cs="Times New Roman"/>
          <w:bCs/>
          <w:kern w:val="0"/>
          <w:szCs w:val="28"/>
        </w:rPr>
        <w:t>2010</w:t>
      </w:r>
      <w:r w:rsidR="00EE77A6" w:rsidRPr="00655827">
        <w:rPr>
          <w:rFonts w:cs="Times New Roman" w:hint="eastAsia"/>
          <w:bCs/>
          <w:kern w:val="0"/>
          <w:szCs w:val="28"/>
        </w:rPr>
        <w:t>年及</w:t>
      </w:r>
      <w:r w:rsidR="00EE77A6" w:rsidRPr="00655827">
        <w:rPr>
          <w:rFonts w:cs="Times New Roman"/>
          <w:bCs/>
          <w:kern w:val="0"/>
          <w:szCs w:val="28"/>
        </w:rPr>
        <w:t>2012</w:t>
      </w:r>
      <w:r w:rsidR="00EE77A6" w:rsidRPr="00655827">
        <w:rPr>
          <w:rFonts w:cs="Times New Roman" w:hint="eastAsia"/>
          <w:bCs/>
          <w:kern w:val="0"/>
          <w:szCs w:val="28"/>
        </w:rPr>
        <w:t>年進行服務重整並停止運作，而相關資源亦獲調撥以提供額外的兒童住宿照顧服務名額。</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6.</w:t>
      </w:r>
      <w:r w:rsidRPr="00655827">
        <w:rPr>
          <w:rFonts w:cs="Times New Roman"/>
          <w:bCs/>
          <w:kern w:val="0"/>
          <w:szCs w:val="28"/>
        </w:rPr>
        <w:tab/>
      </w:r>
      <w:r w:rsidRPr="00655827">
        <w:rPr>
          <w:rFonts w:cs="Times New Roman" w:hint="eastAsia"/>
          <w:bCs/>
          <w:kern w:val="0"/>
          <w:szCs w:val="28"/>
        </w:rPr>
        <w:t>為提升幼兒照顧服務以結合照顧與發展，《行政長官</w:t>
      </w:r>
      <w:r w:rsidRPr="00655827">
        <w:rPr>
          <w:rFonts w:cs="Times New Roman"/>
          <w:bCs/>
          <w:kern w:val="0"/>
          <w:szCs w:val="28"/>
        </w:rPr>
        <w:t>2018</w:t>
      </w:r>
      <w:r w:rsidRPr="00655827">
        <w:rPr>
          <w:rFonts w:cs="Times New Roman" w:hint="eastAsia"/>
          <w:bCs/>
          <w:kern w:val="0"/>
          <w:szCs w:val="28"/>
        </w:rPr>
        <w:t>年施政報告》公布一系列措施，包括制訂幼兒中心服務名額的規劃比率；優化目前日間及住宿幼兒中心內合資格幼兒工作員的人手比例；提高日間幼兒中心服務的資助水平；透過加強對社區保姆的訓練及增加社區保姆所得的服務獎勵金，優化「鄰里支援幼兒照顧計劃」的服務質素；以及分階段重整現時的互助幼兒中心，為學前兒童提供課餘託管服務，以進一步配合社區內的幼兒照顧需要。</w:t>
      </w:r>
      <w:r w:rsidRPr="00655827">
        <w:rPr>
          <w:rFonts w:cs="Times New Roman"/>
          <w:bCs/>
          <w:kern w:val="0"/>
          <w:szCs w:val="28"/>
        </w:rPr>
        <w:t>2019-20</w:t>
      </w:r>
      <w:r w:rsidRPr="00655827">
        <w:rPr>
          <w:rFonts w:cs="Times New Roman" w:hint="eastAsia"/>
          <w:bCs/>
          <w:kern w:val="0"/>
          <w:szCs w:val="28"/>
        </w:rPr>
        <w:t>年度財政預算案亦公布由</w:t>
      </w:r>
      <w:r w:rsidRPr="00655827">
        <w:rPr>
          <w:rFonts w:cs="Times New Roman"/>
          <w:bCs/>
          <w:kern w:val="0"/>
          <w:szCs w:val="28"/>
        </w:rPr>
        <w:t>2019-20</w:t>
      </w:r>
      <w:r w:rsidRPr="00655827">
        <w:rPr>
          <w:rFonts w:cs="Times New Roman" w:hint="eastAsia"/>
          <w:bCs/>
          <w:kern w:val="0"/>
          <w:szCs w:val="28"/>
        </w:rPr>
        <w:t>年度起分階段在五區增加約</w:t>
      </w:r>
      <w:r w:rsidRPr="00655827">
        <w:rPr>
          <w:rFonts w:cs="Times New Roman"/>
          <w:bCs/>
          <w:kern w:val="0"/>
          <w:szCs w:val="28"/>
        </w:rPr>
        <w:t>400</w:t>
      </w:r>
      <w:r w:rsidRPr="00655827">
        <w:rPr>
          <w:rFonts w:cs="Times New Roman" w:hint="eastAsia"/>
          <w:bCs/>
          <w:kern w:val="0"/>
          <w:szCs w:val="28"/>
        </w:rPr>
        <w:t>個獨立幼兒中心服務名額。</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7.</w:t>
      </w:r>
      <w:r w:rsidRPr="00655827">
        <w:rPr>
          <w:rFonts w:cs="Times New Roman"/>
          <w:bCs/>
          <w:kern w:val="0"/>
          <w:szCs w:val="28"/>
        </w:rPr>
        <w:tab/>
      </w:r>
      <w:r w:rsidRPr="00655827">
        <w:rPr>
          <w:rFonts w:cs="Times New Roman" w:hint="eastAsia"/>
          <w:bCs/>
          <w:kern w:val="0"/>
          <w:szCs w:val="28"/>
        </w:rPr>
        <w:t>除此之外，各種兒童住宿照顧服務（寄養服務、兒童之家、留宿幼兒中心、兒童院及男／女童院／宿舍）仍繼續運作。據上一次報告所述，</w:t>
      </w:r>
      <w:r w:rsidRPr="00655827">
        <w:rPr>
          <w:rFonts w:cs="Times New Roman"/>
          <w:bCs/>
          <w:kern w:val="0"/>
          <w:szCs w:val="28"/>
        </w:rPr>
        <w:t>2009-10</w:t>
      </w:r>
      <w:r w:rsidRPr="00655827">
        <w:rPr>
          <w:rFonts w:cs="Times New Roman" w:hint="eastAsia"/>
          <w:bCs/>
          <w:kern w:val="0"/>
          <w:szCs w:val="28"/>
        </w:rPr>
        <w:t>年度的寄養服務名額為</w:t>
      </w:r>
      <w:r w:rsidRPr="00655827">
        <w:rPr>
          <w:rFonts w:cs="Times New Roman"/>
          <w:bCs/>
          <w:kern w:val="0"/>
          <w:szCs w:val="28"/>
        </w:rPr>
        <w:t>970</w:t>
      </w:r>
      <w:r w:rsidRPr="00655827">
        <w:rPr>
          <w:rFonts w:cs="Times New Roman" w:hint="eastAsia"/>
          <w:bCs/>
          <w:kern w:val="0"/>
          <w:szCs w:val="28"/>
        </w:rPr>
        <w:t>個，而截至</w:t>
      </w:r>
      <w:r w:rsidRPr="00655827">
        <w:rPr>
          <w:rFonts w:cs="Times New Roman"/>
          <w:bCs/>
          <w:kern w:val="0"/>
          <w:szCs w:val="28"/>
        </w:rPr>
        <w:t>2018-19</w:t>
      </w:r>
      <w:r w:rsidRPr="00655827">
        <w:rPr>
          <w:rFonts w:cs="Times New Roman" w:hint="eastAsia"/>
          <w:bCs/>
          <w:kern w:val="0"/>
          <w:szCs w:val="28"/>
        </w:rPr>
        <w:t>年度，有關服務名額已增加至</w:t>
      </w:r>
      <w:r w:rsidRPr="00655827">
        <w:rPr>
          <w:rFonts w:cs="Times New Roman"/>
          <w:bCs/>
          <w:kern w:val="0"/>
          <w:szCs w:val="28"/>
        </w:rPr>
        <w:t>1 130</w:t>
      </w:r>
      <w:r w:rsidRPr="00655827">
        <w:rPr>
          <w:rFonts w:cs="Times New Roman" w:hint="eastAsia"/>
          <w:bCs/>
          <w:kern w:val="0"/>
          <w:szCs w:val="28"/>
        </w:rPr>
        <w:t>個。此外，兒童之家的服務單位的數目亦由</w:t>
      </w:r>
      <w:r w:rsidRPr="00655827">
        <w:rPr>
          <w:rFonts w:cs="Times New Roman"/>
          <w:bCs/>
          <w:kern w:val="0"/>
          <w:szCs w:val="28"/>
        </w:rPr>
        <w:t>2009-10</w:t>
      </w:r>
      <w:r w:rsidRPr="00655827">
        <w:rPr>
          <w:rFonts w:cs="Times New Roman" w:hint="eastAsia"/>
          <w:bCs/>
          <w:kern w:val="0"/>
          <w:szCs w:val="28"/>
        </w:rPr>
        <w:t>年度的</w:t>
      </w:r>
      <w:r w:rsidRPr="00655827">
        <w:rPr>
          <w:rFonts w:cs="Times New Roman"/>
          <w:bCs/>
          <w:kern w:val="0"/>
          <w:szCs w:val="28"/>
        </w:rPr>
        <w:t>108</w:t>
      </w:r>
      <w:r w:rsidRPr="00655827">
        <w:rPr>
          <w:rFonts w:cs="Times New Roman" w:hint="eastAsia"/>
          <w:bCs/>
          <w:kern w:val="0"/>
          <w:szCs w:val="28"/>
        </w:rPr>
        <w:t>間增加至</w:t>
      </w:r>
      <w:r w:rsidRPr="00655827">
        <w:rPr>
          <w:rFonts w:cs="Times New Roman"/>
          <w:bCs/>
          <w:kern w:val="0"/>
          <w:szCs w:val="28"/>
        </w:rPr>
        <w:t>2018-19</w:t>
      </w:r>
      <w:r w:rsidRPr="00655827">
        <w:rPr>
          <w:rFonts w:cs="Times New Roman" w:hint="eastAsia"/>
          <w:bCs/>
          <w:kern w:val="0"/>
          <w:szCs w:val="28"/>
        </w:rPr>
        <w:t>年度的</w:t>
      </w:r>
      <w:r w:rsidRPr="00655827">
        <w:rPr>
          <w:rFonts w:cs="Times New Roman"/>
          <w:bCs/>
          <w:kern w:val="0"/>
          <w:szCs w:val="28"/>
        </w:rPr>
        <w:t>112</w:t>
      </w:r>
      <w:r w:rsidRPr="00655827">
        <w:rPr>
          <w:rFonts w:cs="Times New Roman" w:hint="eastAsia"/>
          <w:bCs/>
          <w:kern w:val="0"/>
          <w:szCs w:val="28"/>
        </w:rPr>
        <w:t>間。</w:t>
      </w:r>
      <w:r w:rsidRPr="00655827">
        <w:rPr>
          <w:rFonts w:cs="Times New Roman"/>
          <w:bCs/>
          <w:kern w:val="0"/>
          <w:szCs w:val="28"/>
        </w:rPr>
        <w:t>2018</w:t>
      </w:r>
      <w:r w:rsidRPr="00655827">
        <w:rPr>
          <w:rFonts w:cs="Times New Roman" w:hint="eastAsia"/>
          <w:bCs/>
          <w:kern w:val="0"/>
          <w:szCs w:val="28"/>
        </w:rPr>
        <w:t>年</w:t>
      </w:r>
      <w:r w:rsidRPr="00655827">
        <w:rPr>
          <w:rFonts w:cs="Times New Roman"/>
          <w:bCs/>
          <w:kern w:val="0"/>
          <w:szCs w:val="28"/>
        </w:rPr>
        <w:t>12</w:t>
      </w:r>
      <w:r w:rsidRPr="00655827">
        <w:rPr>
          <w:rFonts w:cs="Times New Roman" w:hint="eastAsia"/>
          <w:bCs/>
          <w:kern w:val="0"/>
          <w:szCs w:val="28"/>
        </w:rPr>
        <w:t>月兒童住宿照顧服務的名額總數為</w:t>
      </w:r>
      <w:r w:rsidRPr="00655827">
        <w:rPr>
          <w:rFonts w:cs="Times New Roman"/>
          <w:bCs/>
          <w:kern w:val="0"/>
          <w:szCs w:val="28"/>
        </w:rPr>
        <w:t>3 839</w:t>
      </w:r>
      <w:r w:rsidRPr="00655827">
        <w:rPr>
          <w:rFonts w:cs="Times New Roman" w:hint="eastAsia"/>
          <w:bCs/>
          <w:kern w:val="0"/>
          <w:szCs w:val="28"/>
        </w:rPr>
        <w:t>個，而上一次報告所述</w:t>
      </w:r>
      <w:r w:rsidRPr="00655827">
        <w:rPr>
          <w:rFonts w:cs="Times New Roman"/>
          <w:bCs/>
          <w:kern w:val="0"/>
          <w:szCs w:val="28"/>
        </w:rPr>
        <w:t>2009</w:t>
      </w:r>
      <w:r w:rsidRPr="00655827">
        <w:rPr>
          <w:rFonts w:cs="Times New Roman" w:hint="eastAsia"/>
          <w:bCs/>
          <w:kern w:val="0"/>
          <w:szCs w:val="28"/>
        </w:rPr>
        <w:t>年</w:t>
      </w:r>
      <w:r w:rsidRPr="00655827">
        <w:rPr>
          <w:rFonts w:cs="Times New Roman"/>
          <w:bCs/>
          <w:kern w:val="0"/>
          <w:szCs w:val="28"/>
        </w:rPr>
        <w:t>12</w:t>
      </w:r>
      <w:r w:rsidRPr="00655827">
        <w:rPr>
          <w:rFonts w:cs="Times New Roman" w:hint="eastAsia"/>
          <w:bCs/>
          <w:kern w:val="0"/>
          <w:szCs w:val="28"/>
        </w:rPr>
        <w:t>月的數字則為</w:t>
      </w:r>
      <w:r w:rsidRPr="00655827">
        <w:rPr>
          <w:rFonts w:cs="Times New Roman"/>
          <w:bCs/>
          <w:kern w:val="0"/>
          <w:szCs w:val="28"/>
        </w:rPr>
        <w:t>3 532</w:t>
      </w:r>
      <w:r w:rsidRPr="00655827">
        <w:rPr>
          <w:rFonts w:cs="Times New Roman" w:hint="eastAsia"/>
          <w:bCs/>
          <w:kern w:val="0"/>
          <w:szCs w:val="28"/>
        </w:rPr>
        <w:t>個。行政長官</w:t>
      </w:r>
      <w:r w:rsidRPr="00655827">
        <w:rPr>
          <w:rFonts w:cs="Times New Roman"/>
          <w:bCs/>
          <w:kern w:val="0"/>
          <w:szCs w:val="28"/>
        </w:rPr>
        <w:t>2018</w:t>
      </w:r>
      <w:r w:rsidRPr="00655827">
        <w:rPr>
          <w:rFonts w:cs="Times New Roman" w:hint="eastAsia"/>
          <w:bCs/>
          <w:kern w:val="0"/>
          <w:szCs w:val="28"/>
        </w:rPr>
        <w:t>年的《施政綱領》宣布除繼續分階段增加兒童住宿照顧服務的名額外，亦將會於</w:t>
      </w:r>
      <w:r w:rsidRPr="00655827">
        <w:rPr>
          <w:rFonts w:cs="Times New Roman"/>
          <w:bCs/>
          <w:kern w:val="0"/>
          <w:szCs w:val="28"/>
        </w:rPr>
        <w:t>2020-21</w:t>
      </w:r>
      <w:r w:rsidRPr="00655827">
        <w:rPr>
          <w:rFonts w:cs="Times New Roman" w:hint="eastAsia"/>
          <w:bCs/>
          <w:kern w:val="0"/>
          <w:szCs w:val="28"/>
        </w:rPr>
        <w:t>年度，增設四所兒童之家，以加強支援及保護有需要的兒</w:t>
      </w:r>
      <w:r w:rsidRPr="00655827">
        <w:rPr>
          <w:rFonts w:cs="Times New Roman" w:hint="eastAsia"/>
          <w:bCs/>
          <w:kern w:val="0"/>
          <w:szCs w:val="28"/>
        </w:rPr>
        <w:lastRenderedPageBreak/>
        <w:t>童及家庭。</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8.</w:t>
      </w:r>
      <w:r w:rsidRPr="00655827">
        <w:rPr>
          <w:rFonts w:cs="Times New Roman"/>
          <w:bCs/>
          <w:kern w:val="0"/>
          <w:szCs w:val="28"/>
        </w:rPr>
        <w:tab/>
      </w:r>
      <w:r w:rsidRPr="00655827">
        <w:rPr>
          <w:rFonts w:cs="Times New Roman" w:hint="eastAsia"/>
          <w:bCs/>
          <w:kern w:val="0"/>
          <w:szCs w:val="28"/>
        </w:rPr>
        <w:t>上一次報告第</w:t>
      </w:r>
      <w:r w:rsidRPr="00655827">
        <w:rPr>
          <w:rFonts w:cs="Times New Roman"/>
          <w:bCs/>
          <w:kern w:val="0"/>
          <w:szCs w:val="28"/>
        </w:rPr>
        <w:t>10.17</w:t>
      </w:r>
      <w:r w:rsidRPr="00655827">
        <w:rPr>
          <w:rFonts w:cs="Times New Roman" w:hint="eastAsia"/>
          <w:bCs/>
          <w:kern w:val="0"/>
          <w:szCs w:val="28"/>
        </w:rPr>
        <w:t>段所提供有關家庭及幼兒照顧服務的數據更新如下：</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tbl>
      <w:tblPr>
        <w:tblW w:w="8422" w:type="dxa"/>
        <w:tblInd w:w="-5" w:type="dxa"/>
        <w:tblBorders>
          <w:top w:val="nil"/>
          <w:left w:val="nil"/>
          <w:bottom w:val="nil"/>
          <w:right w:val="nil"/>
        </w:tblBorders>
        <w:tblLayout w:type="fixed"/>
        <w:tblLook w:val="0000" w:firstRow="0" w:lastRow="0" w:firstColumn="0" w:lastColumn="0" w:noHBand="0" w:noVBand="0"/>
      </w:tblPr>
      <w:tblGrid>
        <w:gridCol w:w="1985"/>
        <w:gridCol w:w="1609"/>
        <w:gridCol w:w="1609"/>
        <w:gridCol w:w="1609"/>
        <w:gridCol w:w="1610"/>
      </w:tblGrid>
      <w:tr w:rsidR="00EE77A6" w:rsidRPr="00AF0B59" w:rsidTr="00E22C88">
        <w:trPr>
          <w:trHeight w:val="411"/>
          <w:tblHeader/>
        </w:trPr>
        <w:tc>
          <w:tcPr>
            <w:tcW w:w="1985" w:type="dxa"/>
            <w:tcBorders>
              <w:top w:val="single" w:sz="6" w:space="0" w:color="000000"/>
              <w:left w:val="single" w:sz="4" w:space="0" w:color="000000"/>
              <w:bottom w:val="single" w:sz="4" w:space="0" w:color="000000"/>
              <w:right w:val="single" w:sz="4" w:space="0" w:color="000000"/>
            </w:tcBorders>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b/>
                <w:color w:val="000000"/>
                <w:kern w:val="0"/>
                <w:sz w:val="24"/>
                <w:szCs w:val="24"/>
              </w:rPr>
            </w:pPr>
          </w:p>
        </w:tc>
        <w:tc>
          <w:tcPr>
            <w:tcW w:w="1609" w:type="dxa"/>
            <w:tcBorders>
              <w:top w:val="single" w:sz="6" w:space="0" w:color="000000"/>
              <w:left w:val="single" w:sz="4" w:space="0" w:color="000000"/>
              <w:bottom w:val="single" w:sz="4" w:space="0" w:color="000000"/>
              <w:right w:val="single" w:sz="4" w:space="0" w:color="000000"/>
            </w:tcBorders>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b/>
                <w:color w:val="000000"/>
                <w:kern w:val="0"/>
                <w:sz w:val="24"/>
                <w:szCs w:val="24"/>
              </w:rPr>
            </w:pPr>
            <w:r w:rsidRPr="00AF0B59">
              <w:rPr>
                <w:rFonts w:cs="Times New Roman"/>
                <w:b/>
                <w:color w:val="000000"/>
                <w:kern w:val="0"/>
                <w:sz w:val="24"/>
                <w:szCs w:val="24"/>
              </w:rPr>
              <w:t>1997-98</w:t>
            </w:r>
            <w:r w:rsidRPr="00AF0B59">
              <w:rPr>
                <w:rFonts w:cs="Times New Roman"/>
                <w:b/>
                <w:color w:val="000000"/>
                <w:kern w:val="0"/>
                <w:sz w:val="24"/>
                <w:szCs w:val="24"/>
              </w:rPr>
              <w:t>年度的提供情況</w:t>
            </w:r>
          </w:p>
        </w:tc>
        <w:tc>
          <w:tcPr>
            <w:tcW w:w="1609" w:type="dxa"/>
            <w:tcBorders>
              <w:top w:val="single" w:sz="6" w:space="0" w:color="000000"/>
              <w:left w:val="single" w:sz="4" w:space="0" w:color="000000"/>
              <w:bottom w:val="single" w:sz="4" w:space="0" w:color="000000"/>
              <w:right w:val="single" w:sz="6" w:space="0" w:color="000000"/>
            </w:tcBorders>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b/>
                <w:color w:val="000000"/>
                <w:kern w:val="0"/>
                <w:sz w:val="24"/>
                <w:szCs w:val="24"/>
              </w:rPr>
            </w:pPr>
            <w:r w:rsidRPr="00AF0B59">
              <w:rPr>
                <w:rFonts w:cs="Times New Roman"/>
                <w:b/>
                <w:color w:val="000000"/>
                <w:kern w:val="0"/>
                <w:sz w:val="24"/>
                <w:szCs w:val="24"/>
              </w:rPr>
              <w:t>2002-03</w:t>
            </w:r>
            <w:r w:rsidRPr="00AF0B59">
              <w:rPr>
                <w:rFonts w:cs="Times New Roman"/>
                <w:b/>
                <w:color w:val="000000"/>
                <w:kern w:val="0"/>
                <w:sz w:val="24"/>
                <w:szCs w:val="24"/>
              </w:rPr>
              <w:t>年度的提供情況</w:t>
            </w:r>
          </w:p>
        </w:tc>
        <w:tc>
          <w:tcPr>
            <w:tcW w:w="1609" w:type="dxa"/>
            <w:tcBorders>
              <w:top w:val="single" w:sz="4" w:space="0" w:color="auto"/>
              <w:bottom w:val="single" w:sz="4" w:space="0" w:color="auto"/>
              <w:right w:val="single" w:sz="4" w:space="0" w:color="auto"/>
            </w:tcBorders>
            <w:shd w:val="clear" w:color="auto" w:fill="auto"/>
          </w:tcPr>
          <w:p w:rsidR="00EE77A6" w:rsidRPr="00AF0B59" w:rsidRDefault="00EE77A6" w:rsidP="00E22C88">
            <w:pPr>
              <w:widowControl/>
              <w:tabs>
                <w:tab w:val="left" w:pos="1440"/>
              </w:tabs>
              <w:overflowPunct w:val="0"/>
              <w:snapToGrid w:val="0"/>
              <w:spacing w:line="400" w:lineRule="atLeast"/>
              <w:jc w:val="center"/>
              <w:rPr>
                <w:rFonts w:cs="Times New Roman"/>
                <w:b/>
                <w:color w:val="000000"/>
                <w:kern w:val="0"/>
                <w:sz w:val="24"/>
                <w:szCs w:val="24"/>
              </w:rPr>
            </w:pPr>
            <w:r w:rsidRPr="00AF0B59">
              <w:rPr>
                <w:rFonts w:cs="Times New Roman"/>
                <w:b/>
                <w:color w:val="000000"/>
                <w:kern w:val="0"/>
                <w:sz w:val="24"/>
                <w:szCs w:val="24"/>
              </w:rPr>
              <w:t>2009-10</w:t>
            </w:r>
            <w:r w:rsidRPr="00AF0B59">
              <w:rPr>
                <w:rFonts w:cs="Times New Roman"/>
                <w:b/>
                <w:color w:val="000000"/>
                <w:kern w:val="0"/>
                <w:sz w:val="24"/>
                <w:szCs w:val="24"/>
              </w:rPr>
              <w:t>年度的提供情況</w:t>
            </w:r>
          </w:p>
        </w:tc>
        <w:tc>
          <w:tcPr>
            <w:tcW w:w="1610" w:type="dxa"/>
            <w:tcBorders>
              <w:top w:val="single" w:sz="4" w:space="0" w:color="auto"/>
              <w:bottom w:val="single" w:sz="4" w:space="0" w:color="auto"/>
              <w:right w:val="single" w:sz="4" w:space="0" w:color="auto"/>
            </w:tcBorders>
          </w:tcPr>
          <w:p w:rsidR="00EE77A6" w:rsidRPr="00AF0B59" w:rsidRDefault="00EE77A6" w:rsidP="00E22C88">
            <w:pPr>
              <w:widowControl/>
              <w:tabs>
                <w:tab w:val="left" w:pos="1440"/>
              </w:tabs>
              <w:overflowPunct w:val="0"/>
              <w:snapToGrid w:val="0"/>
              <w:spacing w:line="400" w:lineRule="atLeast"/>
              <w:jc w:val="center"/>
              <w:rPr>
                <w:rFonts w:cs="Times New Roman"/>
                <w:b/>
                <w:color w:val="000000"/>
                <w:kern w:val="0"/>
                <w:sz w:val="24"/>
                <w:szCs w:val="24"/>
              </w:rPr>
            </w:pPr>
            <w:r w:rsidRPr="00AF0B59">
              <w:rPr>
                <w:rFonts w:cs="Times New Roman"/>
                <w:b/>
                <w:color w:val="000000"/>
                <w:kern w:val="0"/>
                <w:sz w:val="24"/>
                <w:szCs w:val="24"/>
              </w:rPr>
              <w:t>2018-19</w:t>
            </w:r>
            <w:r w:rsidRPr="00AF0B59">
              <w:rPr>
                <w:rFonts w:cs="Times New Roman"/>
                <w:b/>
                <w:color w:val="000000"/>
                <w:kern w:val="0"/>
                <w:sz w:val="24"/>
                <w:szCs w:val="24"/>
              </w:rPr>
              <w:t>年度的提供情況</w:t>
            </w:r>
          </w:p>
        </w:tc>
      </w:tr>
      <w:tr w:rsidR="00EE77A6" w:rsidRPr="00AF0B59" w:rsidTr="00E22C88">
        <w:trPr>
          <w:trHeight w:val="405"/>
        </w:trPr>
        <w:tc>
          <w:tcPr>
            <w:tcW w:w="1985"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bCs/>
                <w:color w:val="000000"/>
                <w:kern w:val="0"/>
                <w:sz w:val="24"/>
                <w:szCs w:val="24"/>
              </w:rPr>
            </w:pPr>
            <w:r w:rsidRPr="00AF0B59">
              <w:rPr>
                <w:rFonts w:cs="Times New Roman"/>
                <w:color w:val="000000"/>
                <w:kern w:val="0"/>
                <w:sz w:val="24"/>
                <w:szCs w:val="24"/>
              </w:rPr>
              <w:t>附設於幼稚園的資助幼兒中心</w:t>
            </w:r>
            <w:r w:rsidRPr="00AF0B59" w:rsidDel="006E028F">
              <w:rPr>
                <w:rFonts w:cs="Times New Roman"/>
                <w:color w:val="000000"/>
                <w:kern w:val="0"/>
                <w:sz w:val="24"/>
                <w:szCs w:val="24"/>
              </w:rPr>
              <w:t xml:space="preserve"> </w:t>
            </w:r>
            <w:r w:rsidRPr="00AF0B59">
              <w:rPr>
                <w:rFonts w:cs="Times New Roman"/>
                <w:color w:val="000000"/>
                <w:kern w:val="0"/>
                <w:sz w:val="24"/>
                <w:szCs w:val="24"/>
              </w:rPr>
              <w:t>（前身為政府及資助日間託兒所）名額</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25 941</w:t>
            </w:r>
            <w:r w:rsidRPr="00AF0B59">
              <w:rPr>
                <w:rFonts w:cs="Times New Roman"/>
                <w:color w:val="000000"/>
                <w:kern w:val="0"/>
                <w:sz w:val="24"/>
                <w:szCs w:val="24"/>
              </w:rPr>
              <w:t>個</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29 314</w:t>
            </w:r>
            <w:r w:rsidRPr="00AF0B59">
              <w:rPr>
                <w:rFonts w:cs="Times New Roman"/>
                <w:color w:val="000000"/>
                <w:kern w:val="0"/>
                <w:sz w:val="24"/>
                <w:szCs w:val="24"/>
              </w:rPr>
              <w:t>個</w:t>
            </w:r>
          </w:p>
        </w:tc>
        <w:tc>
          <w:tcPr>
            <w:tcW w:w="1609" w:type="dxa"/>
            <w:vMerge w:val="restart"/>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見附註</w:t>
            </w:r>
            <w:r w:rsidRPr="00AF0B59">
              <w:rPr>
                <w:rFonts w:cs="Times New Roman"/>
                <w:color w:val="000000"/>
                <w:kern w:val="0"/>
                <w:sz w:val="24"/>
                <w:szCs w:val="24"/>
              </w:rPr>
              <w:t>(1)</w:t>
            </w:r>
          </w:p>
        </w:tc>
        <w:tc>
          <w:tcPr>
            <w:tcW w:w="1610"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6 071</w:t>
            </w:r>
            <w:r w:rsidRPr="00AF0B59">
              <w:rPr>
                <w:rFonts w:cs="Times New Roman"/>
                <w:color w:val="000000"/>
                <w:kern w:val="0"/>
                <w:sz w:val="24"/>
                <w:szCs w:val="24"/>
              </w:rPr>
              <w:t>個</w:t>
            </w:r>
          </w:p>
        </w:tc>
      </w:tr>
      <w:tr w:rsidR="00EE77A6" w:rsidRPr="00AF0B59" w:rsidTr="00E22C88">
        <w:trPr>
          <w:trHeight w:val="1096"/>
        </w:trPr>
        <w:tc>
          <w:tcPr>
            <w:tcW w:w="1985"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AF0B59">
              <w:rPr>
                <w:rFonts w:cs="Times New Roman"/>
                <w:color w:val="000000"/>
                <w:kern w:val="0"/>
                <w:sz w:val="24"/>
                <w:szCs w:val="24"/>
              </w:rPr>
              <w:t>資助獨立幼兒中心（前身為資助日間育嬰園）名額</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1 479</w:t>
            </w:r>
            <w:r w:rsidRPr="00AF0B59">
              <w:rPr>
                <w:rFonts w:cs="Times New Roman"/>
                <w:color w:val="000000"/>
                <w:kern w:val="0"/>
                <w:sz w:val="24"/>
                <w:szCs w:val="24"/>
              </w:rPr>
              <w:t>個</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1 113</w:t>
            </w:r>
            <w:r w:rsidRPr="00AF0B59">
              <w:rPr>
                <w:rFonts w:cs="Times New Roman"/>
                <w:color w:val="000000"/>
                <w:kern w:val="0"/>
                <w:sz w:val="24"/>
                <w:szCs w:val="24"/>
              </w:rPr>
              <w:t>個</w:t>
            </w:r>
          </w:p>
        </w:tc>
        <w:tc>
          <w:tcPr>
            <w:tcW w:w="1609" w:type="dxa"/>
            <w:vMerge/>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p>
        </w:tc>
        <w:tc>
          <w:tcPr>
            <w:tcW w:w="1610"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747</w:t>
            </w:r>
            <w:r w:rsidRPr="00AF0B59">
              <w:rPr>
                <w:rFonts w:cs="Times New Roman"/>
                <w:color w:val="000000"/>
                <w:kern w:val="0"/>
                <w:sz w:val="24"/>
                <w:szCs w:val="24"/>
              </w:rPr>
              <w:t>個</w:t>
            </w:r>
          </w:p>
        </w:tc>
      </w:tr>
      <w:tr w:rsidR="00EE77A6" w:rsidRPr="00AF0B59" w:rsidTr="00E22C88">
        <w:trPr>
          <w:trHeight w:val="1409"/>
        </w:trPr>
        <w:tc>
          <w:tcPr>
            <w:tcW w:w="1985"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AF0B59">
              <w:rPr>
                <w:rFonts w:cs="Times New Roman"/>
                <w:color w:val="000000"/>
                <w:kern w:val="0"/>
                <w:sz w:val="24"/>
                <w:szCs w:val="24"/>
              </w:rPr>
              <w:t>提供暫託幼兒服務的單位數目及名額</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230</w:t>
            </w:r>
            <w:r w:rsidRPr="00AF0B59">
              <w:rPr>
                <w:rFonts w:cs="Times New Roman"/>
                <w:color w:val="000000"/>
                <w:kern w:val="0"/>
                <w:sz w:val="24"/>
                <w:szCs w:val="24"/>
              </w:rPr>
              <w:t>間</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r w:rsidRPr="00AF0B59">
              <w:rPr>
                <w:rFonts w:cs="Times New Roman"/>
                <w:color w:val="000000"/>
                <w:kern w:val="0"/>
                <w:sz w:val="24"/>
                <w:szCs w:val="24"/>
              </w:rPr>
              <w:t>690</w:t>
            </w:r>
            <w:r w:rsidRPr="00AF0B59">
              <w:rPr>
                <w:rFonts w:cs="Times New Roman"/>
                <w:color w:val="000000"/>
                <w:kern w:val="0"/>
                <w:sz w:val="24"/>
                <w:szCs w:val="24"/>
              </w:rPr>
              <w:t>個）</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243</w:t>
            </w:r>
            <w:r w:rsidRPr="00AF0B59">
              <w:rPr>
                <w:rFonts w:cs="Times New Roman"/>
                <w:color w:val="000000"/>
                <w:kern w:val="0"/>
                <w:sz w:val="24"/>
                <w:szCs w:val="24"/>
              </w:rPr>
              <w:t>間</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r w:rsidRPr="00AF0B59">
              <w:rPr>
                <w:rFonts w:cs="Times New Roman"/>
                <w:color w:val="000000"/>
                <w:kern w:val="0"/>
                <w:sz w:val="24"/>
                <w:szCs w:val="24"/>
              </w:rPr>
              <w:t>729</w:t>
            </w:r>
            <w:r w:rsidRPr="00AF0B59">
              <w:rPr>
                <w:rFonts w:cs="Times New Roman"/>
                <w:color w:val="000000"/>
                <w:kern w:val="0"/>
                <w:sz w:val="24"/>
                <w:szCs w:val="24"/>
              </w:rPr>
              <w:t>個）</w:t>
            </w:r>
          </w:p>
        </w:tc>
        <w:tc>
          <w:tcPr>
            <w:tcW w:w="1609"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217</w:t>
            </w:r>
            <w:r w:rsidRPr="00AF0B59">
              <w:rPr>
                <w:rFonts w:cs="Times New Roman"/>
                <w:color w:val="000000"/>
                <w:kern w:val="0"/>
                <w:sz w:val="24"/>
                <w:szCs w:val="24"/>
              </w:rPr>
              <w:t>間</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r w:rsidRPr="00AF0B59">
              <w:rPr>
                <w:rFonts w:cs="Times New Roman"/>
                <w:color w:val="000000"/>
                <w:kern w:val="0"/>
                <w:sz w:val="24"/>
                <w:szCs w:val="24"/>
              </w:rPr>
              <w:t>494</w:t>
            </w:r>
            <w:r w:rsidRPr="00AF0B59">
              <w:rPr>
                <w:rFonts w:cs="Times New Roman"/>
                <w:color w:val="000000"/>
                <w:kern w:val="0"/>
                <w:sz w:val="24"/>
                <w:szCs w:val="24"/>
              </w:rPr>
              <w:t>個）</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見附註</w:t>
            </w:r>
            <w:r w:rsidRPr="00AF0B59">
              <w:rPr>
                <w:rFonts w:cs="Times New Roman"/>
                <w:color w:val="000000"/>
                <w:kern w:val="0"/>
                <w:sz w:val="24"/>
                <w:szCs w:val="24"/>
              </w:rPr>
              <w:t>(2)</w:t>
            </w:r>
          </w:p>
        </w:tc>
        <w:tc>
          <w:tcPr>
            <w:tcW w:w="1610"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221</w:t>
            </w:r>
            <w:r w:rsidRPr="00AF0B59">
              <w:rPr>
                <w:rFonts w:cs="Times New Roman"/>
                <w:color w:val="000000"/>
                <w:kern w:val="0"/>
                <w:sz w:val="24"/>
                <w:szCs w:val="24"/>
              </w:rPr>
              <w:t>間</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(446</w:t>
            </w:r>
            <w:r w:rsidRPr="00AF0B59">
              <w:rPr>
                <w:rFonts w:cs="Times New Roman"/>
                <w:color w:val="000000"/>
                <w:kern w:val="0"/>
                <w:sz w:val="24"/>
                <w:szCs w:val="24"/>
              </w:rPr>
              <w:t>個</w:t>
            </w:r>
            <w:r w:rsidRPr="00AF0B59">
              <w:rPr>
                <w:rFonts w:cs="Times New Roman"/>
                <w:color w:val="000000"/>
                <w:kern w:val="0"/>
                <w:sz w:val="24"/>
                <w:szCs w:val="24"/>
              </w:rPr>
              <w:t>)</w:t>
            </w:r>
          </w:p>
        </w:tc>
      </w:tr>
      <w:tr w:rsidR="00EE77A6" w:rsidRPr="00AF0B59" w:rsidTr="00E22C88">
        <w:trPr>
          <w:trHeight w:val="805"/>
        </w:trPr>
        <w:tc>
          <w:tcPr>
            <w:tcW w:w="1985"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AF0B59">
              <w:rPr>
                <w:rFonts w:cs="Times New Roman"/>
                <w:color w:val="000000"/>
                <w:kern w:val="0"/>
                <w:sz w:val="24"/>
                <w:szCs w:val="24"/>
              </w:rPr>
              <w:t>提供延長時間服務的單位數目及名額</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5</w:t>
            </w:r>
            <w:r w:rsidRPr="00AF0B59">
              <w:rPr>
                <w:rFonts w:cs="Times New Roman"/>
                <w:color w:val="000000"/>
                <w:kern w:val="0"/>
                <w:sz w:val="24"/>
                <w:szCs w:val="24"/>
              </w:rPr>
              <w:t>間（</w:t>
            </w:r>
            <w:r w:rsidRPr="00AF0B59">
              <w:rPr>
                <w:rFonts w:cs="Times New Roman"/>
                <w:color w:val="000000"/>
                <w:kern w:val="0"/>
                <w:sz w:val="24"/>
                <w:szCs w:val="24"/>
              </w:rPr>
              <w:t>70</w:t>
            </w:r>
            <w:r w:rsidRPr="00AF0B59">
              <w:rPr>
                <w:rFonts w:cs="Times New Roman"/>
                <w:color w:val="000000"/>
                <w:kern w:val="0"/>
                <w:sz w:val="24"/>
                <w:szCs w:val="24"/>
              </w:rPr>
              <w:t>個）</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115</w:t>
            </w:r>
            <w:r w:rsidRPr="00AF0B59">
              <w:rPr>
                <w:rFonts w:cs="Times New Roman"/>
                <w:color w:val="000000"/>
                <w:kern w:val="0"/>
                <w:sz w:val="24"/>
                <w:szCs w:val="24"/>
              </w:rPr>
              <w:t>間</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(1 610</w:t>
            </w:r>
            <w:r w:rsidRPr="00AF0B59">
              <w:rPr>
                <w:rFonts w:cs="Times New Roman"/>
                <w:color w:val="000000"/>
                <w:kern w:val="0"/>
                <w:sz w:val="24"/>
                <w:szCs w:val="24"/>
              </w:rPr>
              <w:t>個）</w:t>
            </w:r>
          </w:p>
        </w:tc>
        <w:tc>
          <w:tcPr>
            <w:tcW w:w="1609"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105</w:t>
            </w:r>
            <w:r w:rsidRPr="00AF0B59">
              <w:rPr>
                <w:rFonts w:cs="Times New Roman"/>
                <w:color w:val="000000"/>
                <w:kern w:val="0"/>
                <w:sz w:val="24"/>
                <w:szCs w:val="24"/>
              </w:rPr>
              <w:t>間（</w:t>
            </w:r>
            <w:r w:rsidRPr="00AF0B59">
              <w:rPr>
                <w:rFonts w:cs="Times New Roman"/>
                <w:color w:val="000000"/>
                <w:kern w:val="0"/>
                <w:sz w:val="24"/>
                <w:szCs w:val="24"/>
              </w:rPr>
              <w:t>1 230</w:t>
            </w:r>
            <w:r w:rsidRPr="00AF0B59">
              <w:rPr>
                <w:rFonts w:cs="Times New Roman"/>
                <w:color w:val="000000"/>
                <w:kern w:val="0"/>
                <w:sz w:val="24"/>
                <w:szCs w:val="24"/>
              </w:rPr>
              <w:t>個）見附註</w:t>
            </w:r>
            <w:r w:rsidRPr="00AF0B59">
              <w:rPr>
                <w:rFonts w:cs="Times New Roman"/>
                <w:color w:val="000000"/>
                <w:kern w:val="0"/>
                <w:sz w:val="24"/>
                <w:szCs w:val="24"/>
              </w:rPr>
              <w:t>(2)</w:t>
            </w:r>
          </w:p>
        </w:tc>
        <w:tc>
          <w:tcPr>
            <w:tcW w:w="1610"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164</w:t>
            </w:r>
            <w:r w:rsidRPr="00AF0B59">
              <w:rPr>
                <w:rFonts w:cs="Times New Roman"/>
                <w:color w:val="000000"/>
                <w:kern w:val="0"/>
                <w:sz w:val="24"/>
                <w:szCs w:val="24"/>
              </w:rPr>
              <w:t>間</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(2 260</w:t>
            </w:r>
            <w:r w:rsidRPr="00AF0B59">
              <w:rPr>
                <w:rFonts w:cs="Times New Roman"/>
                <w:color w:val="000000"/>
                <w:kern w:val="0"/>
                <w:sz w:val="24"/>
                <w:szCs w:val="24"/>
              </w:rPr>
              <w:t>個</w:t>
            </w:r>
            <w:r w:rsidRPr="00AF0B59">
              <w:rPr>
                <w:rFonts w:cs="Times New Roman"/>
                <w:color w:val="000000"/>
                <w:kern w:val="0"/>
                <w:sz w:val="24"/>
                <w:szCs w:val="24"/>
              </w:rPr>
              <w:t>)</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見附註</w:t>
            </w:r>
            <w:r w:rsidRPr="00AF0B59">
              <w:rPr>
                <w:rFonts w:cs="Times New Roman"/>
                <w:color w:val="000000"/>
                <w:kern w:val="0"/>
                <w:sz w:val="24"/>
                <w:szCs w:val="24"/>
              </w:rPr>
              <w:t>(</w:t>
            </w:r>
            <w:r w:rsidRPr="00AF0B59">
              <w:rPr>
                <w:rFonts w:cs="Times New Roman"/>
                <w:color w:val="000000"/>
                <w:kern w:val="0"/>
                <w:sz w:val="24"/>
                <w:szCs w:val="24"/>
                <w:lang w:eastAsia="zh-HK"/>
              </w:rPr>
              <w:t>3</w:t>
            </w:r>
            <w:r w:rsidRPr="00AF0B59">
              <w:rPr>
                <w:rFonts w:cs="Times New Roman"/>
                <w:color w:val="000000"/>
                <w:kern w:val="0"/>
                <w:sz w:val="24"/>
                <w:szCs w:val="24"/>
              </w:rPr>
              <w:t>)</w:t>
            </w:r>
          </w:p>
        </w:tc>
      </w:tr>
      <w:tr w:rsidR="00EE77A6" w:rsidRPr="00AF0B59" w:rsidTr="00E22C88">
        <w:trPr>
          <w:trHeight w:val="754"/>
        </w:trPr>
        <w:tc>
          <w:tcPr>
            <w:tcW w:w="1985" w:type="dxa"/>
            <w:tcBorders>
              <w:top w:val="single" w:sz="4" w:space="0" w:color="000000"/>
              <w:left w:val="single" w:sz="4" w:space="0" w:color="000000"/>
              <w:bottom w:val="single" w:sz="6"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AF0B59">
              <w:rPr>
                <w:rFonts w:cs="Times New Roman"/>
                <w:color w:val="000000"/>
                <w:kern w:val="0"/>
                <w:sz w:val="24"/>
                <w:szCs w:val="24"/>
              </w:rPr>
              <w:t>鄰里支援幼兒照顧計劃名額</w:t>
            </w:r>
          </w:p>
        </w:tc>
        <w:tc>
          <w:tcPr>
            <w:tcW w:w="1609" w:type="dxa"/>
            <w:tcBorders>
              <w:top w:val="single" w:sz="4" w:space="0" w:color="000000"/>
              <w:left w:val="single" w:sz="4" w:space="0" w:color="000000"/>
              <w:bottom w:val="single" w:sz="6"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p>
        </w:tc>
        <w:tc>
          <w:tcPr>
            <w:tcW w:w="1609" w:type="dxa"/>
            <w:tcBorders>
              <w:top w:val="single" w:sz="4" w:space="0" w:color="000000"/>
              <w:left w:val="single" w:sz="4" w:space="0" w:color="000000"/>
              <w:bottom w:val="single" w:sz="6"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p>
        </w:tc>
        <w:tc>
          <w:tcPr>
            <w:tcW w:w="1609" w:type="dxa"/>
            <w:tcBorders>
              <w:top w:val="single" w:sz="4" w:space="0" w:color="000000"/>
              <w:left w:val="single" w:sz="4" w:space="0" w:color="000000"/>
              <w:bottom w:val="single" w:sz="6"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474</w:t>
            </w:r>
            <w:r w:rsidRPr="00AF0B59">
              <w:rPr>
                <w:rFonts w:cs="Times New Roman"/>
                <w:color w:val="000000"/>
                <w:kern w:val="0"/>
                <w:sz w:val="24"/>
                <w:szCs w:val="24"/>
              </w:rPr>
              <w:t>個</w:t>
            </w:r>
          </w:p>
        </w:tc>
        <w:tc>
          <w:tcPr>
            <w:tcW w:w="1610" w:type="dxa"/>
            <w:tcBorders>
              <w:top w:val="single" w:sz="4" w:space="0" w:color="000000"/>
              <w:left w:val="single" w:sz="4" w:space="0" w:color="000000"/>
              <w:bottom w:val="single" w:sz="6"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至少</w:t>
            </w:r>
            <w:r w:rsidRPr="00AF0B59">
              <w:rPr>
                <w:rFonts w:cs="Times New Roman"/>
                <w:color w:val="000000"/>
                <w:kern w:val="0"/>
                <w:sz w:val="24"/>
                <w:szCs w:val="24"/>
              </w:rPr>
              <w:t>954</w:t>
            </w:r>
            <w:r w:rsidRPr="00AF0B59">
              <w:rPr>
                <w:rFonts w:cs="Times New Roman"/>
                <w:color w:val="000000"/>
                <w:kern w:val="0"/>
                <w:sz w:val="24"/>
                <w:szCs w:val="24"/>
              </w:rPr>
              <w:t>個</w:t>
            </w:r>
          </w:p>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見附註</w:t>
            </w:r>
            <w:r w:rsidRPr="00AF0B59">
              <w:rPr>
                <w:rFonts w:cs="Times New Roman"/>
                <w:color w:val="000000"/>
                <w:kern w:val="0"/>
                <w:sz w:val="24"/>
                <w:szCs w:val="24"/>
              </w:rPr>
              <w:t>(4)</w:t>
            </w:r>
          </w:p>
        </w:tc>
      </w:tr>
      <w:tr w:rsidR="00EE77A6" w:rsidRPr="00AF0B59" w:rsidTr="00E22C88">
        <w:trPr>
          <w:trHeight w:val="222"/>
        </w:trPr>
        <w:tc>
          <w:tcPr>
            <w:tcW w:w="1985" w:type="dxa"/>
            <w:tcBorders>
              <w:top w:val="single" w:sz="4" w:space="0" w:color="000000"/>
              <w:left w:val="single" w:sz="4" w:space="0" w:color="000000"/>
              <w:bottom w:val="single" w:sz="6"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AF0B59">
              <w:rPr>
                <w:rFonts w:cs="Times New Roman"/>
                <w:color w:val="000000"/>
                <w:kern w:val="0"/>
                <w:sz w:val="24"/>
                <w:szCs w:val="24"/>
              </w:rPr>
              <w:t>互助幼兒中心名額</w:t>
            </w:r>
          </w:p>
        </w:tc>
        <w:tc>
          <w:tcPr>
            <w:tcW w:w="1609" w:type="dxa"/>
            <w:tcBorders>
              <w:top w:val="single" w:sz="4" w:space="0" w:color="000000"/>
              <w:left w:val="single" w:sz="4" w:space="0" w:color="000000"/>
              <w:bottom w:val="single" w:sz="6"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p>
        </w:tc>
        <w:tc>
          <w:tcPr>
            <w:tcW w:w="1609" w:type="dxa"/>
            <w:tcBorders>
              <w:top w:val="single" w:sz="4" w:space="0" w:color="000000"/>
              <w:left w:val="single" w:sz="4" w:space="0" w:color="000000"/>
              <w:bottom w:val="single" w:sz="6"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w:t>
            </w:r>
          </w:p>
        </w:tc>
        <w:tc>
          <w:tcPr>
            <w:tcW w:w="1609" w:type="dxa"/>
            <w:tcBorders>
              <w:top w:val="single" w:sz="4" w:space="0" w:color="000000"/>
              <w:left w:val="single" w:sz="4" w:space="0" w:color="000000"/>
              <w:bottom w:val="single" w:sz="6"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314</w:t>
            </w:r>
            <w:r w:rsidRPr="00AF0B59">
              <w:rPr>
                <w:rFonts w:cs="Times New Roman"/>
                <w:color w:val="000000"/>
                <w:kern w:val="0"/>
                <w:sz w:val="24"/>
                <w:szCs w:val="24"/>
              </w:rPr>
              <w:t>個</w:t>
            </w:r>
          </w:p>
        </w:tc>
        <w:tc>
          <w:tcPr>
            <w:tcW w:w="1610" w:type="dxa"/>
            <w:tcBorders>
              <w:top w:val="single" w:sz="4" w:space="0" w:color="000000"/>
              <w:left w:val="single" w:sz="4" w:space="0" w:color="000000"/>
              <w:bottom w:val="single" w:sz="6"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261</w:t>
            </w:r>
            <w:r w:rsidRPr="00AF0B59">
              <w:rPr>
                <w:rFonts w:cs="Times New Roman"/>
                <w:color w:val="000000"/>
                <w:kern w:val="0"/>
                <w:sz w:val="24"/>
                <w:szCs w:val="24"/>
              </w:rPr>
              <w:t>個</w:t>
            </w:r>
          </w:p>
        </w:tc>
      </w:tr>
      <w:tr w:rsidR="00EE77A6" w:rsidRPr="00AF0B59" w:rsidTr="00E22C88">
        <w:trPr>
          <w:trHeight w:val="805"/>
        </w:trPr>
        <w:tc>
          <w:tcPr>
            <w:tcW w:w="1985"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AF0B59">
              <w:rPr>
                <w:rFonts w:cs="Times New Roman"/>
                <w:color w:val="000000"/>
                <w:kern w:val="0"/>
                <w:sz w:val="24"/>
                <w:szCs w:val="24"/>
              </w:rPr>
              <w:t>家務指導員數目</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52</w:t>
            </w:r>
            <w:r w:rsidRPr="00AF0B59">
              <w:rPr>
                <w:rFonts w:cs="Times New Roman"/>
                <w:color w:val="000000"/>
                <w:kern w:val="0"/>
                <w:sz w:val="24"/>
                <w:szCs w:val="24"/>
              </w:rPr>
              <w:t>名</w:t>
            </w:r>
          </w:p>
        </w:tc>
        <w:tc>
          <w:tcPr>
            <w:tcW w:w="1609" w:type="dxa"/>
            <w:tcBorders>
              <w:top w:val="single" w:sz="4" w:space="0" w:color="000000"/>
              <w:left w:val="single" w:sz="4" w:space="0" w:color="000000"/>
              <w:bottom w:val="single" w:sz="4" w:space="0" w:color="000000"/>
              <w:right w:val="single" w:sz="4"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44</w:t>
            </w:r>
            <w:r w:rsidRPr="00AF0B59">
              <w:rPr>
                <w:rFonts w:cs="Times New Roman"/>
                <w:color w:val="000000"/>
                <w:kern w:val="0"/>
                <w:sz w:val="24"/>
                <w:szCs w:val="24"/>
              </w:rPr>
              <w:t>名</w:t>
            </w:r>
          </w:p>
        </w:tc>
        <w:tc>
          <w:tcPr>
            <w:tcW w:w="1609"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44</w:t>
            </w:r>
            <w:r w:rsidRPr="00AF0B59">
              <w:rPr>
                <w:rFonts w:cs="Times New Roman"/>
                <w:color w:val="000000"/>
                <w:kern w:val="0"/>
                <w:sz w:val="24"/>
                <w:szCs w:val="24"/>
              </w:rPr>
              <w:t>名</w:t>
            </w:r>
          </w:p>
        </w:tc>
        <w:tc>
          <w:tcPr>
            <w:tcW w:w="1610" w:type="dxa"/>
            <w:tcBorders>
              <w:top w:val="single" w:sz="4" w:space="0" w:color="000000"/>
              <w:left w:val="single" w:sz="4" w:space="0" w:color="000000"/>
              <w:bottom w:val="single" w:sz="4" w:space="0" w:color="000000"/>
              <w:right w:val="single" w:sz="6" w:space="0" w:color="000000"/>
            </w:tcBorders>
            <w:vAlign w:val="center"/>
          </w:tcPr>
          <w:p w:rsidR="00EE77A6" w:rsidRPr="00AF0B59"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AF0B59">
              <w:rPr>
                <w:rFonts w:cs="Times New Roman"/>
                <w:color w:val="000000"/>
                <w:kern w:val="0"/>
                <w:sz w:val="24"/>
                <w:szCs w:val="24"/>
              </w:rPr>
              <w:t>59</w:t>
            </w:r>
            <w:r w:rsidRPr="00AF0B59">
              <w:rPr>
                <w:rFonts w:cs="Times New Roman"/>
                <w:color w:val="000000"/>
                <w:kern w:val="0"/>
                <w:sz w:val="24"/>
                <w:szCs w:val="24"/>
              </w:rPr>
              <w:t>名</w:t>
            </w:r>
          </w:p>
        </w:tc>
      </w:tr>
    </w:tbl>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rPr>
      </w:pPr>
      <w:r w:rsidRPr="00655827">
        <w:rPr>
          <w:rFonts w:cs="Times New Roman" w:hint="eastAsia"/>
          <w:bCs/>
          <w:kern w:val="0"/>
          <w:szCs w:val="28"/>
        </w:rPr>
        <w:t>附註：</w:t>
      </w:r>
      <w:r w:rsidRPr="00655827">
        <w:rPr>
          <w:rFonts w:cs="Times New Roman"/>
          <w:bCs/>
          <w:kern w:val="0"/>
          <w:szCs w:val="28"/>
        </w:rPr>
        <w:t xml:space="preserve"> </w:t>
      </w:r>
    </w:p>
    <w:p w:rsidR="00EE77A6" w:rsidRPr="00655827" w:rsidRDefault="00EE77A6" w:rsidP="00B82DC6">
      <w:pPr>
        <w:tabs>
          <w:tab w:val="left" w:pos="720"/>
          <w:tab w:val="left" w:pos="1440"/>
        </w:tabs>
        <w:adjustRightInd w:val="0"/>
        <w:snapToGrid w:val="0"/>
        <w:spacing w:line="400" w:lineRule="atLeast"/>
        <w:ind w:left="716" w:hanging="716"/>
        <w:jc w:val="both"/>
        <w:rPr>
          <w:rFonts w:cs="Times New Roman"/>
          <w:bCs/>
          <w:kern w:val="0"/>
          <w:szCs w:val="28"/>
        </w:rPr>
      </w:pPr>
      <w:r w:rsidRPr="00655827">
        <w:rPr>
          <w:rFonts w:cs="Times New Roman"/>
          <w:bCs/>
          <w:kern w:val="0"/>
          <w:szCs w:val="28"/>
        </w:rPr>
        <w:t>(1)</w:t>
      </w:r>
      <w:r w:rsidRPr="00655827">
        <w:rPr>
          <w:rFonts w:cs="Times New Roman"/>
          <w:bCs/>
          <w:kern w:val="0"/>
          <w:szCs w:val="28"/>
        </w:rPr>
        <w:tab/>
      </w:r>
      <w:r w:rsidRPr="00655827">
        <w:rPr>
          <w:rFonts w:cs="Times New Roman" w:hint="eastAsia"/>
          <w:bCs/>
          <w:kern w:val="0"/>
          <w:szCs w:val="28"/>
        </w:rPr>
        <w:t>在</w:t>
      </w:r>
      <w:r w:rsidRPr="00655827">
        <w:rPr>
          <w:rFonts w:cs="Times New Roman"/>
          <w:bCs/>
          <w:kern w:val="0"/>
          <w:szCs w:val="28"/>
        </w:rPr>
        <w:t>2005</w:t>
      </w:r>
      <w:r w:rsidRPr="00655827">
        <w:rPr>
          <w:rFonts w:cs="Times New Roman" w:hint="eastAsia"/>
          <w:bCs/>
          <w:kern w:val="0"/>
          <w:szCs w:val="28"/>
        </w:rPr>
        <w:t>年進行學前服務協調後，政府及資助日間託兒所及資助日間育嬰園轉為獨立幼兒中心及幼稚園暨幼兒中心，兩者在</w:t>
      </w:r>
      <w:r w:rsidRPr="00655827">
        <w:rPr>
          <w:rFonts w:cs="Times New Roman"/>
          <w:bCs/>
          <w:kern w:val="0"/>
          <w:szCs w:val="28"/>
        </w:rPr>
        <w:t>2009-10</w:t>
      </w:r>
      <w:r w:rsidRPr="00655827">
        <w:rPr>
          <w:rFonts w:cs="Times New Roman" w:hint="eastAsia"/>
          <w:bCs/>
          <w:kern w:val="0"/>
          <w:szCs w:val="28"/>
        </w:rPr>
        <w:t>年度分別提供</w:t>
      </w:r>
      <w:r w:rsidRPr="00655827">
        <w:rPr>
          <w:rFonts w:cs="Times New Roman"/>
          <w:bCs/>
          <w:kern w:val="0"/>
          <w:szCs w:val="28"/>
        </w:rPr>
        <w:t>690</w:t>
      </w:r>
      <w:r w:rsidRPr="00655827">
        <w:rPr>
          <w:rFonts w:cs="Times New Roman" w:hint="eastAsia"/>
          <w:bCs/>
          <w:kern w:val="0"/>
          <w:szCs w:val="28"/>
        </w:rPr>
        <w:t>資助及</w:t>
      </w:r>
      <w:r w:rsidRPr="00655827">
        <w:rPr>
          <w:rFonts w:cs="Times New Roman"/>
          <w:bCs/>
          <w:kern w:val="0"/>
          <w:szCs w:val="28"/>
        </w:rPr>
        <w:t>80 517</w:t>
      </w:r>
      <w:r w:rsidRPr="00655827">
        <w:rPr>
          <w:rFonts w:cs="Times New Roman" w:hint="eastAsia"/>
          <w:bCs/>
          <w:kern w:val="0"/>
          <w:szCs w:val="28"/>
        </w:rPr>
        <w:t>個資助／非資助名額。</w:t>
      </w:r>
    </w:p>
    <w:p w:rsidR="00EE77A6" w:rsidRPr="00655827" w:rsidRDefault="00EE77A6" w:rsidP="00B82DC6">
      <w:pPr>
        <w:tabs>
          <w:tab w:val="left" w:pos="720"/>
          <w:tab w:val="left" w:pos="1440"/>
        </w:tabs>
        <w:adjustRightInd w:val="0"/>
        <w:snapToGrid w:val="0"/>
        <w:spacing w:line="400" w:lineRule="atLeast"/>
        <w:ind w:left="716" w:hanging="716"/>
        <w:jc w:val="both"/>
        <w:rPr>
          <w:rFonts w:cs="Times New Roman"/>
          <w:bCs/>
          <w:kern w:val="0"/>
          <w:szCs w:val="28"/>
        </w:rPr>
      </w:pPr>
      <w:r w:rsidRPr="00655827">
        <w:rPr>
          <w:rFonts w:cs="Times New Roman"/>
          <w:bCs/>
          <w:kern w:val="0"/>
          <w:szCs w:val="28"/>
        </w:rPr>
        <w:t>(2)</w:t>
      </w:r>
      <w:r w:rsidRPr="00655827">
        <w:rPr>
          <w:rFonts w:cs="Times New Roman"/>
          <w:bCs/>
          <w:kern w:val="0"/>
          <w:szCs w:val="28"/>
        </w:rPr>
        <w:tab/>
      </w:r>
      <w:r w:rsidRPr="00655827">
        <w:rPr>
          <w:rFonts w:cs="Times New Roman" w:hint="eastAsia"/>
          <w:bCs/>
          <w:kern w:val="0"/>
          <w:szCs w:val="28"/>
        </w:rPr>
        <w:t>在過去數年，暫託及延長時間服務名額因為服務需求下降而減</w:t>
      </w:r>
      <w:r w:rsidRPr="00655827">
        <w:rPr>
          <w:rFonts w:cs="Times New Roman" w:hint="eastAsia"/>
          <w:bCs/>
          <w:kern w:val="0"/>
          <w:szCs w:val="28"/>
        </w:rPr>
        <w:lastRenderedPageBreak/>
        <w:t>少。在</w:t>
      </w:r>
      <w:r w:rsidRPr="00655827">
        <w:rPr>
          <w:rFonts w:cs="Times New Roman"/>
          <w:bCs/>
          <w:kern w:val="0"/>
          <w:szCs w:val="28"/>
        </w:rPr>
        <w:t>2009</w:t>
      </w:r>
      <w:r w:rsidRPr="00655827">
        <w:rPr>
          <w:rFonts w:cs="Times New Roman" w:hint="eastAsia"/>
          <w:bCs/>
          <w:kern w:val="0"/>
          <w:szCs w:val="28"/>
        </w:rPr>
        <w:t>年</w:t>
      </w:r>
      <w:r w:rsidRPr="00655827">
        <w:rPr>
          <w:rFonts w:cs="Times New Roman"/>
          <w:bCs/>
          <w:kern w:val="0"/>
          <w:szCs w:val="28"/>
        </w:rPr>
        <w:t>4</w:t>
      </w:r>
      <w:r w:rsidRPr="00655827">
        <w:rPr>
          <w:rFonts w:cs="Times New Roman" w:hint="eastAsia"/>
          <w:bCs/>
          <w:kern w:val="0"/>
          <w:szCs w:val="28"/>
        </w:rPr>
        <w:t>月至</w:t>
      </w:r>
      <w:r w:rsidRPr="00655827">
        <w:rPr>
          <w:rFonts w:cs="Times New Roman"/>
          <w:bCs/>
          <w:kern w:val="0"/>
          <w:szCs w:val="28"/>
        </w:rPr>
        <w:t>12</w:t>
      </w:r>
      <w:r w:rsidRPr="00655827">
        <w:rPr>
          <w:rFonts w:cs="Times New Roman" w:hint="eastAsia"/>
          <w:bCs/>
          <w:kern w:val="0"/>
          <w:szCs w:val="28"/>
        </w:rPr>
        <w:t>月期間，兩項服務的平均使用率分別為</w:t>
      </w:r>
      <w:r w:rsidRPr="00655827">
        <w:rPr>
          <w:rFonts w:cs="Times New Roman"/>
          <w:bCs/>
          <w:kern w:val="0"/>
          <w:szCs w:val="28"/>
        </w:rPr>
        <w:t>49%</w:t>
      </w:r>
      <w:r w:rsidRPr="00655827">
        <w:rPr>
          <w:rFonts w:cs="Times New Roman" w:hint="eastAsia"/>
          <w:bCs/>
          <w:kern w:val="0"/>
          <w:szCs w:val="28"/>
        </w:rPr>
        <w:t>及</w:t>
      </w:r>
      <w:r w:rsidRPr="00655827">
        <w:rPr>
          <w:rFonts w:cs="Times New Roman"/>
          <w:bCs/>
          <w:kern w:val="0"/>
          <w:szCs w:val="28"/>
        </w:rPr>
        <w:t>74%</w:t>
      </w:r>
      <w:r w:rsidRPr="00655827">
        <w:rPr>
          <w:rFonts w:cs="Times New Roman" w:hint="eastAsia"/>
          <w:bCs/>
          <w:kern w:val="0"/>
          <w:szCs w:val="28"/>
        </w:rPr>
        <w:t>。為滿足家長對彈性及暫託幼兒服務的需求，社署在過去數年引入了多項服務模式及時間都較具彈性的嶄新幼兒照顧服務。</w:t>
      </w:r>
    </w:p>
    <w:p w:rsidR="00EE77A6" w:rsidRPr="00655827" w:rsidRDefault="00EE77A6" w:rsidP="00B82DC6">
      <w:pPr>
        <w:tabs>
          <w:tab w:val="left" w:pos="720"/>
          <w:tab w:val="left" w:pos="1440"/>
        </w:tabs>
        <w:adjustRightInd w:val="0"/>
        <w:snapToGrid w:val="0"/>
        <w:spacing w:line="400" w:lineRule="atLeast"/>
        <w:ind w:left="716" w:hanging="716"/>
        <w:jc w:val="both"/>
        <w:rPr>
          <w:rFonts w:cs="Times New Roman"/>
          <w:bCs/>
          <w:kern w:val="0"/>
          <w:szCs w:val="28"/>
        </w:rPr>
      </w:pPr>
      <w:r w:rsidRPr="00655827">
        <w:rPr>
          <w:rFonts w:cs="Times New Roman"/>
          <w:bCs/>
          <w:kern w:val="0"/>
          <w:szCs w:val="28"/>
        </w:rPr>
        <w:t>(3)</w:t>
      </w:r>
      <w:r w:rsidRPr="00655827">
        <w:rPr>
          <w:rFonts w:cs="Times New Roman"/>
          <w:bCs/>
          <w:kern w:val="0"/>
          <w:szCs w:val="28"/>
        </w:rPr>
        <w:tab/>
      </w:r>
      <w:r w:rsidRPr="00655827">
        <w:rPr>
          <w:rFonts w:cs="Times New Roman" w:hint="eastAsia"/>
          <w:bCs/>
          <w:kern w:val="0"/>
          <w:szCs w:val="28"/>
        </w:rPr>
        <w:t>政府已於</w:t>
      </w:r>
      <w:r w:rsidRPr="00655827">
        <w:rPr>
          <w:rFonts w:cs="Times New Roman"/>
          <w:bCs/>
          <w:kern w:val="0"/>
          <w:szCs w:val="28"/>
        </w:rPr>
        <w:t>2015-16</w:t>
      </w:r>
      <w:r w:rsidRPr="00655827">
        <w:rPr>
          <w:rFonts w:cs="Times New Roman" w:hint="eastAsia"/>
          <w:bCs/>
          <w:kern w:val="0"/>
          <w:szCs w:val="28"/>
        </w:rPr>
        <w:t>年度起，分階段在需求殷切的地區內的資助獨立幼兒中心及幼稚園暨幼兒中心增加延長時間服務的名額。</w:t>
      </w:r>
    </w:p>
    <w:p w:rsidR="00EE77A6" w:rsidRPr="00655827" w:rsidRDefault="00EE77A6" w:rsidP="00B82DC6">
      <w:pPr>
        <w:tabs>
          <w:tab w:val="left" w:pos="720"/>
          <w:tab w:val="left" w:pos="1440"/>
        </w:tabs>
        <w:adjustRightInd w:val="0"/>
        <w:snapToGrid w:val="0"/>
        <w:spacing w:line="400" w:lineRule="atLeast"/>
        <w:ind w:left="716" w:hanging="716"/>
        <w:jc w:val="both"/>
        <w:rPr>
          <w:rFonts w:cs="Times New Roman"/>
          <w:bCs/>
          <w:kern w:val="0"/>
          <w:szCs w:val="28"/>
        </w:rPr>
      </w:pPr>
      <w:r w:rsidRPr="00655827">
        <w:rPr>
          <w:rFonts w:cs="Times New Roman"/>
          <w:bCs/>
          <w:kern w:val="0"/>
          <w:szCs w:val="28"/>
        </w:rPr>
        <w:t>(4)</w:t>
      </w:r>
      <w:r w:rsidRPr="00655827">
        <w:rPr>
          <w:rFonts w:cs="Times New Roman"/>
          <w:bCs/>
          <w:kern w:val="0"/>
          <w:szCs w:val="28"/>
        </w:rPr>
        <w:tab/>
      </w:r>
      <w:r w:rsidRPr="00655827">
        <w:rPr>
          <w:rFonts w:cs="Times New Roman" w:hint="eastAsia"/>
          <w:bCs/>
          <w:kern w:val="0"/>
          <w:szCs w:val="28"/>
        </w:rPr>
        <w:t>營辦者可在社署規定的最低名額數目之上，靈活增設額外的社區保姆服務名額，以應付實際的服務需求。</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tbl>
      <w:tblPr>
        <w:tblW w:w="8477" w:type="dxa"/>
        <w:tblInd w:w="-5" w:type="dxa"/>
        <w:tblBorders>
          <w:top w:val="nil"/>
          <w:left w:val="nil"/>
          <w:bottom w:val="nil"/>
          <w:right w:val="nil"/>
        </w:tblBorders>
        <w:tblLayout w:type="fixed"/>
        <w:tblLook w:val="0000" w:firstRow="0" w:lastRow="0" w:firstColumn="0" w:lastColumn="0" w:noHBand="0" w:noVBand="0"/>
      </w:tblPr>
      <w:tblGrid>
        <w:gridCol w:w="2185"/>
        <w:gridCol w:w="1614"/>
        <w:gridCol w:w="1559"/>
        <w:gridCol w:w="1559"/>
        <w:gridCol w:w="1560"/>
      </w:tblGrid>
      <w:tr w:rsidR="00EE77A6" w:rsidRPr="00655827" w:rsidTr="00E22C88">
        <w:trPr>
          <w:trHeight w:val="410"/>
          <w:tblHeader/>
        </w:trPr>
        <w:tc>
          <w:tcPr>
            <w:tcW w:w="2185" w:type="dxa"/>
            <w:tcBorders>
              <w:top w:val="single" w:sz="6"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b/>
                <w:color w:val="000000"/>
                <w:kern w:val="0"/>
                <w:sz w:val="24"/>
                <w:szCs w:val="24"/>
              </w:rPr>
            </w:pPr>
          </w:p>
        </w:tc>
        <w:tc>
          <w:tcPr>
            <w:tcW w:w="1614" w:type="dxa"/>
            <w:tcBorders>
              <w:top w:val="single" w:sz="6"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b/>
                <w:color w:val="000000"/>
                <w:kern w:val="0"/>
                <w:sz w:val="24"/>
                <w:szCs w:val="24"/>
              </w:rPr>
            </w:pPr>
            <w:r w:rsidRPr="009331AE">
              <w:rPr>
                <w:rFonts w:cs="Times New Roman"/>
                <w:b/>
                <w:color w:val="000000"/>
                <w:kern w:val="0"/>
                <w:sz w:val="24"/>
                <w:szCs w:val="24"/>
              </w:rPr>
              <w:t>1997-98</w:t>
            </w:r>
            <w:r w:rsidRPr="009331AE">
              <w:rPr>
                <w:rFonts w:cs="Times New Roman" w:hint="eastAsia"/>
                <w:b/>
                <w:color w:val="000000"/>
                <w:kern w:val="0"/>
                <w:sz w:val="24"/>
                <w:szCs w:val="24"/>
              </w:rPr>
              <w:t>年度的提供情況</w:t>
            </w:r>
          </w:p>
        </w:tc>
        <w:tc>
          <w:tcPr>
            <w:tcW w:w="1559" w:type="dxa"/>
            <w:tcBorders>
              <w:top w:val="single" w:sz="4" w:space="0" w:color="auto"/>
              <w:bottom w:val="single" w:sz="4" w:space="0" w:color="auto"/>
              <w:right w:val="single" w:sz="4" w:space="0" w:color="auto"/>
            </w:tcBorders>
            <w:shd w:val="clear" w:color="auto" w:fill="auto"/>
          </w:tcPr>
          <w:p w:rsidR="00EE77A6" w:rsidRPr="009331AE" w:rsidRDefault="00EE77A6" w:rsidP="00E22C88">
            <w:pPr>
              <w:widowControl/>
              <w:tabs>
                <w:tab w:val="left" w:pos="1440"/>
              </w:tabs>
              <w:overflowPunct w:val="0"/>
              <w:snapToGrid w:val="0"/>
              <w:spacing w:line="400" w:lineRule="atLeast"/>
              <w:jc w:val="center"/>
              <w:rPr>
                <w:rFonts w:cs="Times New Roman"/>
                <w:b/>
                <w:color w:val="000000"/>
                <w:kern w:val="0"/>
                <w:sz w:val="24"/>
                <w:szCs w:val="24"/>
              </w:rPr>
            </w:pPr>
            <w:r w:rsidRPr="009331AE">
              <w:rPr>
                <w:rFonts w:cs="Times New Roman"/>
                <w:b/>
                <w:color w:val="000000"/>
                <w:kern w:val="0"/>
                <w:sz w:val="24"/>
                <w:szCs w:val="24"/>
              </w:rPr>
              <w:t>2002-03</w:t>
            </w:r>
            <w:r w:rsidRPr="009331AE">
              <w:rPr>
                <w:rFonts w:cs="Times New Roman" w:hint="eastAsia"/>
                <w:b/>
                <w:color w:val="000000"/>
                <w:kern w:val="0"/>
                <w:sz w:val="24"/>
                <w:szCs w:val="24"/>
              </w:rPr>
              <w:t>年度的提供情況</w:t>
            </w:r>
          </w:p>
        </w:tc>
        <w:tc>
          <w:tcPr>
            <w:tcW w:w="1559" w:type="dxa"/>
            <w:tcBorders>
              <w:top w:val="single" w:sz="4" w:space="0" w:color="auto"/>
              <w:bottom w:val="single" w:sz="4" w:space="0" w:color="auto"/>
              <w:right w:val="single" w:sz="4" w:space="0" w:color="auto"/>
            </w:tcBorders>
            <w:shd w:val="clear" w:color="auto" w:fill="auto"/>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b/>
                <w:color w:val="000000"/>
                <w:kern w:val="0"/>
                <w:sz w:val="24"/>
                <w:szCs w:val="24"/>
              </w:rPr>
            </w:pPr>
            <w:r w:rsidRPr="009331AE">
              <w:rPr>
                <w:rFonts w:cs="Times New Roman"/>
                <w:b/>
                <w:color w:val="000000"/>
                <w:kern w:val="0"/>
                <w:sz w:val="24"/>
                <w:szCs w:val="24"/>
              </w:rPr>
              <w:t>2009-10</w:t>
            </w:r>
            <w:r w:rsidRPr="009331AE">
              <w:rPr>
                <w:rFonts w:cs="Times New Roman" w:hint="eastAsia"/>
                <w:b/>
                <w:color w:val="000000"/>
                <w:kern w:val="0"/>
                <w:sz w:val="24"/>
                <w:szCs w:val="24"/>
              </w:rPr>
              <w:t>年度的提供情況</w:t>
            </w:r>
          </w:p>
        </w:tc>
        <w:tc>
          <w:tcPr>
            <w:tcW w:w="1560" w:type="dxa"/>
            <w:tcBorders>
              <w:top w:val="single" w:sz="4" w:space="0" w:color="auto"/>
              <w:bottom w:val="single" w:sz="4" w:space="0" w:color="auto"/>
              <w:right w:val="single" w:sz="4" w:space="0" w:color="auto"/>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b/>
                <w:color w:val="000000"/>
                <w:kern w:val="0"/>
                <w:sz w:val="24"/>
                <w:szCs w:val="24"/>
              </w:rPr>
            </w:pPr>
            <w:r w:rsidRPr="009331AE">
              <w:rPr>
                <w:rFonts w:cs="Times New Roman"/>
                <w:b/>
                <w:color w:val="000000"/>
                <w:kern w:val="0"/>
                <w:sz w:val="24"/>
                <w:szCs w:val="24"/>
              </w:rPr>
              <w:t>2018-19</w:t>
            </w:r>
            <w:r w:rsidRPr="009331AE">
              <w:rPr>
                <w:rFonts w:cs="Times New Roman" w:hint="eastAsia"/>
                <w:b/>
                <w:color w:val="000000"/>
                <w:kern w:val="0"/>
                <w:sz w:val="24"/>
                <w:szCs w:val="24"/>
              </w:rPr>
              <w:t>年度的提供情況</w:t>
            </w:r>
          </w:p>
        </w:tc>
      </w:tr>
      <w:tr w:rsidR="00EE77A6" w:rsidRPr="00655827" w:rsidTr="00E22C88">
        <w:trPr>
          <w:trHeight w:val="805"/>
        </w:trPr>
        <w:tc>
          <w:tcPr>
            <w:tcW w:w="2185"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hint="eastAsia"/>
                <w:color w:val="000000"/>
                <w:kern w:val="0"/>
                <w:sz w:val="24"/>
                <w:szCs w:val="24"/>
              </w:rPr>
              <w:t>家庭個案工作者</w:t>
            </w:r>
            <w:r w:rsidRPr="009331AE">
              <w:rPr>
                <w:rFonts w:cs="Times New Roman"/>
                <w:color w:val="000000"/>
                <w:kern w:val="0"/>
                <w:sz w:val="24"/>
                <w:szCs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706</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744</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1 017</w:t>
            </w:r>
            <w:r w:rsidRPr="009331AE">
              <w:rPr>
                <w:rFonts w:cs="Times New Roman" w:hint="eastAsia"/>
                <w:color w:val="000000"/>
                <w:kern w:val="0"/>
                <w:sz w:val="24"/>
                <w:szCs w:val="24"/>
              </w:rPr>
              <w:t>人</w:t>
            </w:r>
          </w:p>
        </w:tc>
        <w:tc>
          <w:tcPr>
            <w:tcW w:w="1560"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1 123</w:t>
            </w:r>
            <w:r w:rsidRPr="009331AE">
              <w:rPr>
                <w:rFonts w:cs="Times New Roman" w:hint="eastAsia"/>
                <w:color w:val="000000"/>
                <w:kern w:val="0"/>
                <w:sz w:val="24"/>
                <w:szCs w:val="24"/>
              </w:rPr>
              <w:t>人</w:t>
            </w:r>
          </w:p>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hint="eastAsia"/>
                <w:color w:val="000000"/>
                <w:kern w:val="0"/>
                <w:sz w:val="24"/>
                <w:szCs w:val="24"/>
              </w:rPr>
              <w:t>（綜合家庭服務中心社工人數）</w:t>
            </w:r>
          </w:p>
        </w:tc>
      </w:tr>
      <w:tr w:rsidR="00EE77A6" w:rsidRPr="00655827" w:rsidTr="00E22C88">
        <w:trPr>
          <w:trHeight w:val="805"/>
        </w:trPr>
        <w:tc>
          <w:tcPr>
            <w:tcW w:w="2185"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hint="eastAsia"/>
                <w:color w:val="000000"/>
                <w:kern w:val="0"/>
                <w:sz w:val="24"/>
                <w:szCs w:val="24"/>
              </w:rPr>
              <w:t>保護家庭及兒童工作者</w:t>
            </w:r>
          </w:p>
        </w:tc>
        <w:tc>
          <w:tcPr>
            <w:tcW w:w="1614"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29</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105</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168</w:t>
            </w:r>
            <w:r w:rsidRPr="009331AE">
              <w:rPr>
                <w:rFonts w:cs="Times New Roman" w:hint="eastAsia"/>
                <w:color w:val="000000"/>
                <w:kern w:val="0"/>
                <w:sz w:val="24"/>
                <w:szCs w:val="24"/>
              </w:rPr>
              <w:t>人</w:t>
            </w:r>
          </w:p>
        </w:tc>
        <w:tc>
          <w:tcPr>
            <w:tcW w:w="1560" w:type="dxa"/>
            <w:tcBorders>
              <w:top w:val="single" w:sz="4" w:space="0" w:color="000000"/>
              <w:left w:val="single" w:sz="4" w:space="0" w:color="000000"/>
              <w:bottom w:val="single" w:sz="4" w:space="0" w:color="000000"/>
              <w:right w:val="single" w:sz="4" w:space="0" w:color="000000"/>
            </w:tcBorders>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170</w:t>
            </w:r>
            <w:r w:rsidRPr="009331AE">
              <w:rPr>
                <w:rFonts w:cs="Times New Roman" w:hint="eastAsia"/>
                <w:color w:val="000000"/>
                <w:kern w:val="0"/>
                <w:sz w:val="24"/>
                <w:szCs w:val="24"/>
              </w:rPr>
              <w:t>人</w:t>
            </w:r>
          </w:p>
        </w:tc>
      </w:tr>
      <w:tr w:rsidR="00EE77A6" w:rsidRPr="00655827" w:rsidTr="00E22C8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06"/>
        </w:trPr>
        <w:tc>
          <w:tcPr>
            <w:tcW w:w="2185" w:type="dxa"/>
            <w:tcBorders>
              <w:top w:val="single" w:sz="4" w:space="0" w:color="000000"/>
              <w:left w:val="single" w:sz="4" w:space="0" w:color="000000"/>
              <w:bottom w:val="single" w:sz="6"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hint="eastAsia"/>
                <w:color w:val="000000"/>
                <w:kern w:val="0"/>
                <w:sz w:val="24"/>
                <w:szCs w:val="24"/>
              </w:rPr>
              <w:t>臨床心理學家</w:t>
            </w:r>
            <w:r w:rsidRPr="009331AE">
              <w:rPr>
                <w:rFonts w:cs="Times New Roman"/>
                <w:color w:val="000000"/>
                <w:kern w:val="0"/>
                <w:sz w:val="24"/>
                <w:szCs w:val="24"/>
              </w:rPr>
              <w:t xml:space="preserve"> </w:t>
            </w:r>
          </w:p>
        </w:tc>
        <w:tc>
          <w:tcPr>
            <w:tcW w:w="1614" w:type="dxa"/>
            <w:tcBorders>
              <w:top w:val="single" w:sz="4" w:space="0" w:color="000000"/>
              <w:left w:val="single" w:sz="4" w:space="0" w:color="000000"/>
              <w:bottom w:val="single" w:sz="6"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59</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6"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69</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6"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78</w:t>
            </w:r>
            <w:r w:rsidRPr="009331AE">
              <w:rPr>
                <w:rFonts w:cs="Times New Roman" w:hint="eastAsia"/>
                <w:color w:val="000000"/>
                <w:kern w:val="0"/>
                <w:sz w:val="24"/>
                <w:szCs w:val="24"/>
              </w:rPr>
              <w:t>人</w:t>
            </w:r>
          </w:p>
        </w:tc>
        <w:tc>
          <w:tcPr>
            <w:tcW w:w="1560" w:type="dxa"/>
            <w:tcBorders>
              <w:top w:val="single" w:sz="4" w:space="0" w:color="000000"/>
              <w:left w:val="single" w:sz="4" w:space="0" w:color="000000"/>
              <w:bottom w:val="single" w:sz="6"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hint="eastAsia"/>
                <w:color w:val="000000"/>
                <w:kern w:val="0"/>
                <w:sz w:val="24"/>
                <w:szCs w:val="24"/>
                <w:lang w:eastAsia="zh-HK"/>
              </w:rPr>
              <w:t>80</w:t>
            </w:r>
            <w:r w:rsidRPr="009331AE">
              <w:rPr>
                <w:rFonts w:cs="Times New Roman" w:hint="eastAsia"/>
                <w:color w:val="000000"/>
                <w:kern w:val="0"/>
                <w:sz w:val="24"/>
                <w:szCs w:val="24"/>
              </w:rPr>
              <w:t>人</w:t>
            </w:r>
          </w:p>
        </w:tc>
      </w:tr>
      <w:tr w:rsidR="00EE77A6" w:rsidRPr="00655827" w:rsidTr="00E22C8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05"/>
        </w:trPr>
        <w:tc>
          <w:tcPr>
            <w:tcW w:w="2185"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hint="eastAsia"/>
                <w:color w:val="000000"/>
                <w:kern w:val="0"/>
                <w:sz w:val="24"/>
                <w:szCs w:val="24"/>
              </w:rPr>
              <w:t>學校社會工作者</w:t>
            </w:r>
            <w:r w:rsidRPr="009331AE">
              <w:rPr>
                <w:rFonts w:cs="Times New Roman"/>
                <w:color w:val="000000"/>
                <w:kern w:val="0"/>
                <w:sz w:val="24"/>
                <w:szCs w:val="24"/>
              </w:rPr>
              <w:t xml:space="preserve"> </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286</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466</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484</w:t>
            </w:r>
            <w:r w:rsidRPr="009331AE">
              <w:rPr>
                <w:rFonts w:cs="Times New Roman" w:hint="eastAsia"/>
                <w:color w:val="000000"/>
                <w:kern w:val="0"/>
                <w:sz w:val="24"/>
                <w:szCs w:val="24"/>
              </w:rPr>
              <w:t>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559</w:t>
            </w:r>
            <w:r w:rsidRPr="009331AE">
              <w:rPr>
                <w:rFonts w:cs="Times New Roman" w:hint="eastAsia"/>
                <w:color w:val="000000"/>
                <w:kern w:val="0"/>
                <w:sz w:val="24"/>
                <w:szCs w:val="24"/>
              </w:rPr>
              <w:t>人</w:t>
            </w:r>
          </w:p>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w:t>
            </w:r>
            <w:r w:rsidRPr="009331AE">
              <w:rPr>
                <w:rFonts w:cs="Times New Roman" w:hint="eastAsia"/>
                <w:color w:val="000000"/>
                <w:kern w:val="0"/>
                <w:sz w:val="24"/>
                <w:szCs w:val="24"/>
              </w:rPr>
              <w:t>中學學校社工人數</w:t>
            </w:r>
            <w:r w:rsidRPr="009331AE">
              <w:rPr>
                <w:rFonts w:cs="Times New Roman"/>
                <w:color w:val="000000"/>
                <w:kern w:val="0"/>
                <w:sz w:val="24"/>
                <w:szCs w:val="24"/>
              </w:rPr>
              <w:t>)</w:t>
            </w:r>
          </w:p>
        </w:tc>
      </w:tr>
      <w:tr w:rsidR="00EE77A6" w:rsidRPr="00655827" w:rsidTr="00E22C8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05"/>
        </w:trPr>
        <w:tc>
          <w:tcPr>
            <w:tcW w:w="2185"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hint="eastAsia"/>
                <w:color w:val="000000"/>
                <w:kern w:val="0"/>
                <w:sz w:val="24"/>
                <w:szCs w:val="24"/>
              </w:rPr>
              <w:t>醫務社會工作者</w:t>
            </w:r>
            <w:r w:rsidRPr="009331AE">
              <w:rPr>
                <w:rFonts w:cs="Times New Roman"/>
                <w:color w:val="000000"/>
                <w:kern w:val="0"/>
                <w:sz w:val="24"/>
                <w:szCs w:val="24"/>
              </w:rPr>
              <w:t xml:space="preserve"> </w:t>
            </w:r>
          </w:p>
        </w:tc>
        <w:tc>
          <w:tcPr>
            <w:tcW w:w="1614"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372</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361</w:t>
            </w:r>
            <w:r w:rsidRPr="009331AE">
              <w:rPr>
                <w:rFonts w:cs="Times New Roman" w:hint="eastAsia"/>
                <w:color w:val="000000"/>
                <w:kern w:val="0"/>
                <w:sz w:val="24"/>
                <w:szCs w:val="24"/>
              </w:rPr>
              <w:t>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386</w:t>
            </w:r>
            <w:r w:rsidRPr="009331AE">
              <w:rPr>
                <w:rFonts w:cs="Times New Roman" w:hint="eastAsia"/>
                <w:color w:val="000000"/>
                <w:kern w:val="0"/>
                <w:sz w:val="24"/>
                <w:szCs w:val="24"/>
              </w:rPr>
              <w:t>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463</w:t>
            </w:r>
            <w:r w:rsidRPr="009331AE">
              <w:rPr>
                <w:rFonts w:cs="Times New Roman" w:hint="eastAsia"/>
                <w:color w:val="000000"/>
                <w:kern w:val="0"/>
                <w:sz w:val="24"/>
                <w:szCs w:val="24"/>
              </w:rPr>
              <w:t>人</w:t>
            </w:r>
          </w:p>
        </w:tc>
      </w:tr>
      <w:tr w:rsidR="00EE77A6" w:rsidRPr="00655827" w:rsidTr="00E22C88">
        <w:trPr>
          <w:trHeight w:val="205"/>
        </w:trPr>
        <w:tc>
          <w:tcPr>
            <w:tcW w:w="2185"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color w:val="000000"/>
                <w:kern w:val="0"/>
                <w:sz w:val="24"/>
                <w:szCs w:val="24"/>
              </w:rPr>
              <w:t>寄養服務名額</w:t>
            </w:r>
            <w:r w:rsidRPr="009331AE">
              <w:rPr>
                <w:rFonts w:cs="Times New Roman"/>
                <w:color w:val="000000"/>
                <w:kern w:val="0"/>
                <w:sz w:val="24"/>
                <w:szCs w:val="24"/>
              </w:rPr>
              <w:t xml:space="preserve"> </w:t>
            </w:r>
          </w:p>
        </w:tc>
        <w:tc>
          <w:tcPr>
            <w:tcW w:w="1614"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600</w:t>
            </w:r>
            <w:r w:rsidRPr="009331AE">
              <w:rPr>
                <w:rFonts w:cs="Times New Roman"/>
                <w:color w:val="000000"/>
                <w:kern w:val="0"/>
                <w:sz w:val="24"/>
                <w:szCs w:val="24"/>
              </w:rPr>
              <w:t>個</w:t>
            </w:r>
          </w:p>
        </w:tc>
        <w:tc>
          <w:tcPr>
            <w:tcW w:w="1559"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670</w:t>
            </w:r>
            <w:r w:rsidRPr="009331AE">
              <w:rPr>
                <w:rFonts w:cs="Times New Roman"/>
                <w:color w:val="000000"/>
                <w:kern w:val="0"/>
                <w:sz w:val="24"/>
                <w:szCs w:val="24"/>
              </w:rPr>
              <w:t>個</w:t>
            </w:r>
          </w:p>
        </w:tc>
        <w:tc>
          <w:tcPr>
            <w:tcW w:w="1559"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970</w:t>
            </w:r>
            <w:r w:rsidRPr="009331AE">
              <w:rPr>
                <w:rFonts w:cs="Times New Roman"/>
                <w:color w:val="000000"/>
                <w:kern w:val="0"/>
                <w:sz w:val="24"/>
                <w:szCs w:val="24"/>
              </w:rPr>
              <w:t>個</w:t>
            </w:r>
          </w:p>
        </w:tc>
        <w:tc>
          <w:tcPr>
            <w:tcW w:w="1560" w:type="dxa"/>
            <w:tcBorders>
              <w:top w:val="single" w:sz="4" w:space="0" w:color="000000"/>
              <w:left w:val="single" w:sz="4" w:space="0" w:color="000000"/>
              <w:bottom w:val="single" w:sz="4"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1 130</w:t>
            </w:r>
            <w:r w:rsidRPr="009331AE">
              <w:rPr>
                <w:rFonts w:cs="Times New Roman"/>
                <w:color w:val="000000"/>
                <w:kern w:val="0"/>
                <w:sz w:val="24"/>
                <w:szCs w:val="24"/>
              </w:rPr>
              <w:t>個</w:t>
            </w:r>
          </w:p>
        </w:tc>
      </w:tr>
      <w:tr w:rsidR="00EE77A6" w:rsidRPr="00655827" w:rsidTr="00E22C88">
        <w:trPr>
          <w:trHeight w:val="206"/>
        </w:trPr>
        <w:tc>
          <w:tcPr>
            <w:tcW w:w="2185" w:type="dxa"/>
            <w:tcBorders>
              <w:top w:val="single" w:sz="4" w:space="0" w:color="000000"/>
              <w:left w:val="single" w:sz="4" w:space="0" w:color="000000"/>
              <w:bottom w:val="single" w:sz="6"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rPr>
                <w:rFonts w:cs="Times New Roman"/>
                <w:color w:val="000000"/>
                <w:kern w:val="0"/>
                <w:sz w:val="24"/>
                <w:szCs w:val="24"/>
              </w:rPr>
            </w:pPr>
            <w:r w:rsidRPr="009331AE">
              <w:rPr>
                <w:rFonts w:cs="Times New Roman"/>
                <w:color w:val="000000"/>
                <w:kern w:val="0"/>
                <w:sz w:val="24"/>
                <w:szCs w:val="24"/>
              </w:rPr>
              <w:t>兒童之家單位數目</w:t>
            </w:r>
            <w:r w:rsidRPr="009331AE">
              <w:rPr>
                <w:rFonts w:cs="Times New Roman"/>
                <w:color w:val="000000"/>
                <w:kern w:val="0"/>
                <w:sz w:val="24"/>
                <w:szCs w:val="24"/>
              </w:rPr>
              <w:t xml:space="preserve"> </w:t>
            </w:r>
          </w:p>
        </w:tc>
        <w:tc>
          <w:tcPr>
            <w:tcW w:w="1614" w:type="dxa"/>
            <w:tcBorders>
              <w:top w:val="single" w:sz="4" w:space="0" w:color="000000"/>
              <w:left w:val="single" w:sz="4" w:space="0" w:color="000000"/>
              <w:bottom w:val="single" w:sz="6"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113</w:t>
            </w:r>
            <w:r w:rsidRPr="009331AE">
              <w:rPr>
                <w:rFonts w:cs="Times New Roman"/>
                <w:color w:val="000000"/>
                <w:kern w:val="0"/>
                <w:sz w:val="24"/>
                <w:szCs w:val="24"/>
              </w:rPr>
              <w:t>間</w:t>
            </w:r>
          </w:p>
        </w:tc>
        <w:tc>
          <w:tcPr>
            <w:tcW w:w="1559" w:type="dxa"/>
            <w:tcBorders>
              <w:top w:val="single" w:sz="4" w:space="0" w:color="000000"/>
              <w:left w:val="single" w:sz="4" w:space="0" w:color="000000"/>
              <w:bottom w:val="single" w:sz="6"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119</w:t>
            </w:r>
            <w:r w:rsidRPr="009331AE">
              <w:rPr>
                <w:rFonts w:cs="Times New Roman"/>
                <w:color w:val="000000"/>
                <w:kern w:val="0"/>
                <w:sz w:val="24"/>
                <w:szCs w:val="24"/>
              </w:rPr>
              <w:t>間</w:t>
            </w:r>
          </w:p>
        </w:tc>
        <w:tc>
          <w:tcPr>
            <w:tcW w:w="1559" w:type="dxa"/>
            <w:tcBorders>
              <w:top w:val="single" w:sz="4" w:space="0" w:color="000000"/>
              <w:left w:val="single" w:sz="4" w:space="0" w:color="000000"/>
              <w:bottom w:val="single" w:sz="6"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108</w:t>
            </w:r>
            <w:r w:rsidRPr="009331AE">
              <w:rPr>
                <w:rFonts w:cs="Times New Roman"/>
                <w:color w:val="000000"/>
                <w:kern w:val="0"/>
                <w:sz w:val="24"/>
                <w:szCs w:val="24"/>
              </w:rPr>
              <w:t>間</w:t>
            </w:r>
          </w:p>
        </w:tc>
        <w:tc>
          <w:tcPr>
            <w:tcW w:w="1560" w:type="dxa"/>
            <w:tcBorders>
              <w:top w:val="single" w:sz="4" w:space="0" w:color="000000"/>
              <w:left w:val="single" w:sz="4" w:space="0" w:color="000000"/>
              <w:bottom w:val="single" w:sz="6" w:space="0" w:color="000000"/>
              <w:right w:val="single" w:sz="4" w:space="0" w:color="000000"/>
            </w:tcBorders>
            <w:vAlign w:val="center"/>
          </w:tcPr>
          <w:p w:rsidR="00EE77A6" w:rsidRPr="009331AE" w:rsidRDefault="00EE77A6" w:rsidP="00E22C88">
            <w:pPr>
              <w:tabs>
                <w:tab w:val="left" w:pos="1440"/>
              </w:tabs>
              <w:overflowPunct w:val="0"/>
              <w:autoSpaceDE w:val="0"/>
              <w:autoSpaceDN w:val="0"/>
              <w:adjustRightInd w:val="0"/>
              <w:snapToGrid w:val="0"/>
              <w:spacing w:line="400" w:lineRule="atLeast"/>
              <w:jc w:val="center"/>
              <w:rPr>
                <w:rFonts w:cs="Times New Roman"/>
                <w:color w:val="000000"/>
                <w:kern w:val="0"/>
                <w:sz w:val="24"/>
                <w:szCs w:val="24"/>
              </w:rPr>
            </w:pPr>
            <w:r w:rsidRPr="009331AE">
              <w:rPr>
                <w:rFonts w:cs="Times New Roman"/>
                <w:color w:val="000000"/>
                <w:kern w:val="0"/>
                <w:sz w:val="24"/>
                <w:szCs w:val="24"/>
              </w:rPr>
              <w:t>112</w:t>
            </w:r>
            <w:r w:rsidRPr="009331AE">
              <w:rPr>
                <w:rFonts w:cs="Times New Roman"/>
                <w:color w:val="000000"/>
                <w:kern w:val="0"/>
                <w:sz w:val="24"/>
                <w:szCs w:val="24"/>
              </w:rPr>
              <w:t>間</w:t>
            </w:r>
          </w:p>
        </w:tc>
      </w:tr>
    </w:tbl>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u w:val="single"/>
        </w:rPr>
      </w:pPr>
      <w:r w:rsidRPr="00655827">
        <w:rPr>
          <w:rFonts w:cs="Times New Roman" w:hint="eastAsia"/>
          <w:bCs/>
          <w:kern w:val="0"/>
          <w:szCs w:val="28"/>
          <w:u w:val="single"/>
        </w:rPr>
        <w:t>課餘託管服務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9.</w:t>
      </w:r>
      <w:r w:rsidRPr="00655827">
        <w:rPr>
          <w:rFonts w:cs="Times New Roman"/>
          <w:bCs/>
          <w:kern w:val="0"/>
          <w:szCs w:val="28"/>
        </w:rPr>
        <w:tab/>
      </w:r>
      <w:r w:rsidRPr="00655827">
        <w:rPr>
          <w:rFonts w:cs="Times New Roman" w:hint="eastAsia"/>
          <w:bCs/>
          <w:kern w:val="0"/>
          <w:szCs w:val="28"/>
        </w:rPr>
        <w:t>非政府機構為</w:t>
      </w:r>
      <w:r w:rsidRPr="00655827">
        <w:rPr>
          <w:rFonts w:cs="Times New Roman"/>
          <w:bCs/>
          <w:kern w:val="0"/>
          <w:szCs w:val="28"/>
        </w:rPr>
        <w:t>6</w:t>
      </w:r>
      <w:r w:rsidRPr="00655827">
        <w:rPr>
          <w:rFonts w:cs="Times New Roman" w:hint="eastAsia"/>
          <w:bCs/>
          <w:kern w:val="0"/>
          <w:szCs w:val="28"/>
        </w:rPr>
        <w:t>至</w:t>
      </w:r>
      <w:r w:rsidRPr="00655827">
        <w:rPr>
          <w:rFonts w:cs="Times New Roman"/>
          <w:bCs/>
          <w:kern w:val="0"/>
          <w:szCs w:val="28"/>
        </w:rPr>
        <w:t>12</w:t>
      </w:r>
      <w:r w:rsidRPr="00655827">
        <w:rPr>
          <w:rFonts w:cs="Times New Roman" w:hint="eastAsia"/>
          <w:bCs/>
          <w:kern w:val="0"/>
          <w:szCs w:val="28"/>
        </w:rPr>
        <w:t>歲的兒童提供課餘託管服務，讓那些因父母工作、尋找工作或其他原因未能在課餘時間得到照顧的兒童獲得適切照顧。社署透過提供「課餘託管收費減免計劃」，減免兒童課餘託管服務的收費，以幫助有需要的家庭。於</w:t>
      </w:r>
      <w:r w:rsidRPr="00655827">
        <w:rPr>
          <w:rFonts w:cs="Times New Roman"/>
          <w:bCs/>
          <w:kern w:val="0"/>
          <w:szCs w:val="28"/>
        </w:rPr>
        <w:t>2018</w:t>
      </w:r>
      <w:r w:rsidRPr="00655827">
        <w:rPr>
          <w:rFonts w:cs="Times New Roman" w:hint="eastAsia"/>
          <w:bCs/>
          <w:kern w:val="0"/>
          <w:szCs w:val="28"/>
        </w:rPr>
        <w:t>年</w:t>
      </w:r>
      <w:r w:rsidRPr="00655827">
        <w:rPr>
          <w:rFonts w:cs="Times New Roman"/>
          <w:bCs/>
          <w:kern w:val="0"/>
          <w:szCs w:val="28"/>
        </w:rPr>
        <w:t>12</w:t>
      </w:r>
      <w:r w:rsidRPr="00655827">
        <w:rPr>
          <w:rFonts w:cs="Times New Roman" w:hint="eastAsia"/>
          <w:bCs/>
          <w:kern w:val="0"/>
          <w:szCs w:val="28"/>
        </w:rPr>
        <w:t>月，參與</w:t>
      </w:r>
      <w:r w:rsidRPr="00655827">
        <w:rPr>
          <w:rFonts w:cs="Times New Roman" w:hint="eastAsia"/>
          <w:bCs/>
          <w:kern w:val="0"/>
          <w:szCs w:val="28"/>
          <w:lang w:eastAsia="zh-HK"/>
        </w:rPr>
        <w:t>該</w:t>
      </w:r>
      <w:r w:rsidRPr="00655827">
        <w:rPr>
          <w:rFonts w:cs="Times New Roman" w:hint="eastAsia"/>
          <w:bCs/>
          <w:kern w:val="0"/>
          <w:szCs w:val="28"/>
        </w:rPr>
        <w:t>計劃的課餘託管中心有</w:t>
      </w:r>
      <w:r w:rsidRPr="00655827">
        <w:rPr>
          <w:rFonts w:cs="Times New Roman"/>
          <w:bCs/>
          <w:kern w:val="0"/>
          <w:szCs w:val="28"/>
        </w:rPr>
        <w:t>156</w:t>
      </w:r>
      <w:r w:rsidRPr="00655827">
        <w:rPr>
          <w:rFonts w:cs="Times New Roman" w:hint="eastAsia"/>
          <w:bCs/>
          <w:kern w:val="0"/>
          <w:szCs w:val="28"/>
        </w:rPr>
        <w:t>間，提供</w:t>
      </w:r>
      <w:r w:rsidRPr="00655827">
        <w:rPr>
          <w:rFonts w:cs="Times New Roman"/>
          <w:bCs/>
          <w:kern w:val="0"/>
          <w:szCs w:val="28"/>
        </w:rPr>
        <w:t>5 594</w:t>
      </w:r>
      <w:r w:rsidRPr="00655827">
        <w:rPr>
          <w:rFonts w:cs="Times New Roman" w:hint="eastAsia"/>
          <w:bCs/>
          <w:kern w:val="0"/>
          <w:szCs w:val="28"/>
        </w:rPr>
        <w:t>個服務名額及</w:t>
      </w:r>
      <w:r w:rsidRPr="00655827">
        <w:rPr>
          <w:rFonts w:cs="Times New Roman"/>
          <w:bCs/>
          <w:kern w:val="0"/>
          <w:szCs w:val="28"/>
        </w:rPr>
        <w:t>1 723.5</w:t>
      </w:r>
      <w:r w:rsidRPr="00655827">
        <w:rPr>
          <w:rFonts w:cs="Times New Roman" w:hint="eastAsia"/>
          <w:bCs/>
          <w:kern w:val="0"/>
          <w:szCs w:val="28"/>
        </w:rPr>
        <w:t>個豁免全費名額。為支援工時較長、工時不固定、需在週末工作的家長，政府自</w:t>
      </w:r>
      <w:r w:rsidRPr="00655827">
        <w:rPr>
          <w:rFonts w:cs="Times New Roman"/>
          <w:bCs/>
          <w:kern w:val="0"/>
          <w:szCs w:val="28"/>
        </w:rPr>
        <w:t>2014</w:t>
      </w:r>
      <w:r w:rsidRPr="00655827">
        <w:rPr>
          <w:rFonts w:cs="Times New Roman" w:hint="eastAsia"/>
          <w:bCs/>
          <w:kern w:val="0"/>
          <w:szCs w:val="28"/>
        </w:rPr>
        <w:t>年</w:t>
      </w:r>
      <w:r w:rsidRPr="00655827">
        <w:rPr>
          <w:rFonts w:cs="Times New Roman"/>
          <w:bCs/>
          <w:kern w:val="0"/>
          <w:szCs w:val="28"/>
        </w:rPr>
        <w:t>12</w:t>
      </w:r>
      <w:r w:rsidRPr="00655827">
        <w:rPr>
          <w:rFonts w:cs="Times New Roman" w:hint="eastAsia"/>
          <w:bCs/>
          <w:kern w:val="0"/>
          <w:szCs w:val="28"/>
        </w:rPr>
        <w:t>月起加強課餘託管服務計劃，延長一些課餘託</w:t>
      </w:r>
      <w:r w:rsidRPr="00655827">
        <w:rPr>
          <w:rFonts w:cs="Times New Roman" w:hint="eastAsia"/>
          <w:bCs/>
          <w:kern w:val="0"/>
          <w:szCs w:val="28"/>
        </w:rPr>
        <w:lastRenderedPageBreak/>
        <w:t>管中心於平日晚間、周六日和學校假期的服務時間，並增加減免收費名額。現時共有</w:t>
      </w:r>
      <w:r w:rsidRPr="00655827">
        <w:rPr>
          <w:rFonts w:cs="Times New Roman"/>
          <w:bCs/>
          <w:kern w:val="0"/>
          <w:szCs w:val="28"/>
        </w:rPr>
        <w:t>35</w:t>
      </w:r>
      <w:r w:rsidRPr="00655827">
        <w:rPr>
          <w:rFonts w:cs="Times New Roman" w:hint="eastAsia"/>
          <w:bCs/>
          <w:kern w:val="0"/>
          <w:szCs w:val="28"/>
        </w:rPr>
        <w:t>間課餘託管服務中心提供加強服務及額外</w:t>
      </w:r>
      <w:r w:rsidRPr="00655827">
        <w:rPr>
          <w:rFonts w:cs="Times New Roman"/>
          <w:bCs/>
          <w:kern w:val="0"/>
          <w:szCs w:val="28"/>
        </w:rPr>
        <w:t>468</w:t>
      </w:r>
      <w:r w:rsidRPr="00655827">
        <w:rPr>
          <w:rFonts w:cs="Times New Roman" w:hint="eastAsia"/>
          <w:bCs/>
          <w:kern w:val="0"/>
          <w:szCs w:val="28"/>
        </w:rPr>
        <w:t>個全費津助的名額。</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sidRPr="00655827">
        <w:rPr>
          <w:rFonts w:cs="Times New Roman"/>
          <w:bCs/>
          <w:kern w:val="0"/>
          <w:szCs w:val="28"/>
        </w:rPr>
        <w:t>10.</w:t>
      </w:r>
      <w:r w:rsidRPr="00655827">
        <w:rPr>
          <w:rFonts w:cs="Times New Roman"/>
          <w:bCs/>
          <w:kern w:val="0"/>
          <w:szCs w:val="28"/>
        </w:rPr>
        <w:tab/>
      </w:r>
      <w:r w:rsidRPr="00655827">
        <w:rPr>
          <w:rFonts w:cs="Times New Roman" w:hint="eastAsia"/>
          <w:bCs/>
          <w:kern w:val="0"/>
          <w:szCs w:val="28"/>
        </w:rPr>
        <w:t>為加強支援有需要的家庭，政府於</w:t>
      </w:r>
      <w:r w:rsidRPr="00655827">
        <w:rPr>
          <w:rFonts w:cs="Times New Roman"/>
          <w:bCs/>
          <w:kern w:val="0"/>
          <w:szCs w:val="28"/>
        </w:rPr>
        <w:t>2017</w:t>
      </w:r>
      <w:r w:rsidRPr="00655827">
        <w:rPr>
          <w:rFonts w:cs="Times New Roman" w:hint="eastAsia"/>
          <w:bCs/>
          <w:kern w:val="0"/>
          <w:szCs w:val="28"/>
        </w:rPr>
        <w:t>年</w:t>
      </w:r>
      <w:r w:rsidRPr="00655827">
        <w:rPr>
          <w:rFonts w:cs="Times New Roman"/>
          <w:bCs/>
          <w:kern w:val="0"/>
          <w:szCs w:val="28"/>
        </w:rPr>
        <w:t>10</w:t>
      </w:r>
      <w:r w:rsidRPr="00655827">
        <w:rPr>
          <w:rFonts w:cs="Times New Roman" w:hint="eastAsia"/>
          <w:bCs/>
          <w:kern w:val="0"/>
          <w:szCs w:val="28"/>
        </w:rPr>
        <w:t>月推出一個為期三年的試驗計劃，放寬「課餘託管收費減免計劃」下的家庭入息上限及增加減免名額，預計提供額外的豁免全費名額</w:t>
      </w:r>
      <w:r w:rsidRPr="00655827">
        <w:rPr>
          <w:rFonts w:cs="Times New Roman"/>
          <w:bCs/>
          <w:kern w:val="0"/>
          <w:szCs w:val="28"/>
        </w:rPr>
        <w:t>2 000</w:t>
      </w:r>
      <w:r w:rsidRPr="00655827">
        <w:rPr>
          <w:rFonts w:cs="Times New Roman" w:hint="eastAsia"/>
          <w:bCs/>
          <w:kern w:val="0"/>
          <w:szCs w:val="28"/>
        </w:rPr>
        <w:t>個，可惠及約</w:t>
      </w:r>
      <w:r w:rsidRPr="00655827">
        <w:rPr>
          <w:rFonts w:cs="Times New Roman"/>
          <w:bCs/>
          <w:kern w:val="0"/>
          <w:szCs w:val="28"/>
        </w:rPr>
        <w:t>3 000</w:t>
      </w:r>
      <w:r w:rsidRPr="00655827">
        <w:rPr>
          <w:rFonts w:cs="Times New Roman" w:hint="eastAsia"/>
          <w:bCs/>
          <w:kern w:val="0"/>
          <w:szCs w:val="28"/>
        </w:rPr>
        <w:t>名兒童。現時，參與試驗計劃的課餘託管中心有</w:t>
      </w:r>
      <w:r w:rsidRPr="00655827">
        <w:rPr>
          <w:rFonts w:cs="Times New Roman"/>
          <w:bCs/>
          <w:kern w:val="0"/>
          <w:szCs w:val="28"/>
        </w:rPr>
        <w:t>137</w:t>
      </w:r>
      <w:r w:rsidRPr="00655827">
        <w:rPr>
          <w:rFonts w:cs="Times New Roman" w:hint="eastAsia"/>
          <w:bCs/>
          <w:kern w:val="0"/>
          <w:szCs w:val="28"/>
        </w:rPr>
        <w:t>間。</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bCs/>
          <w:kern w:val="0"/>
          <w:szCs w:val="28"/>
        </w:rPr>
      </w:pPr>
      <w:r w:rsidRPr="00655827">
        <w:rPr>
          <w:rFonts w:cs="Times New Roman"/>
          <w:bCs/>
          <w:kern w:val="0"/>
          <w:szCs w:val="28"/>
        </w:rPr>
        <w:t>1</w:t>
      </w:r>
      <w:r>
        <w:rPr>
          <w:rFonts w:cs="Times New Roman" w:hint="eastAsia"/>
          <w:bCs/>
          <w:kern w:val="0"/>
          <w:szCs w:val="28"/>
        </w:rPr>
        <w:t>1.</w:t>
      </w:r>
      <w:r w:rsidRPr="00655827">
        <w:rPr>
          <w:rFonts w:cs="Times New Roman"/>
          <w:bCs/>
          <w:kern w:val="0"/>
          <w:szCs w:val="28"/>
        </w:rPr>
        <w:tab/>
      </w:r>
      <w:r w:rsidRPr="00655827">
        <w:rPr>
          <w:rFonts w:cs="Times New Roman" w:hint="eastAsia"/>
          <w:bCs/>
          <w:kern w:val="0"/>
          <w:szCs w:val="28"/>
        </w:rPr>
        <w:t>為及早識別及支援有福利需要的學前兒童及其家庭，《行政長官</w:t>
      </w:r>
      <w:r w:rsidRPr="00655827">
        <w:rPr>
          <w:rFonts w:cs="Times New Roman"/>
          <w:bCs/>
          <w:kern w:val="0"/>
          <w:szCs w:val="28"/>
        </w:rPr>
        <w:t>2018</w:t>
      </w:r>
      <w:r w:rsidRPr="00655827">
        <w:rPr>
          <w:rFonts w:cs="Times New Roman" w:hint="eastAsia"/>
          <w:bCs/>
          <w:kern w:val="0"/>
          <w:szCs w:val="28"/>
        </w:rPr>
        <w:t>年施政報告》宣布在</w:t>
      </w:r>
      <w:r w:rsidRPr="00655827">
        <w:rPr>
          <w:rFonts w:cs="Times New Roman"/>
          <w:bCs/>
          <w:kern w:val="0"/>
          <w:szCs w:val="28"/>
        </w:rPr>
        <w:t>2018/19</w:t>
      </w:r>
      <w:r w:rsidRPr="00655827">
        <w:rPr>
          <w:rFonts w:cs="Times New Roman" w:hint="eastAsia"/>
          <w:bCs/>
          <w:kern w:val="0"/>
          <w:szCs w:val="28"/>
        </w:rPr>
        <w:t>學年推出為期三年的先導計劃，分階段為全港</w:t>
      </w:r>
      <w:r w:rsidRPr="00655827">
        <w:rPr>
          <w:rFonts w:cs="Times New Roman"/>
          <w:bCs/>
          <w:kern w:val="0"/>
          <w:szCs w:val="28"/>
        </w:rPr>
        <w:t>700</w:t>
      </w:r>
      <w:r w:rsidRPr="00655827">
        <w:rPr>
          <w:rFonts w:cs="Times New Roman" w:hint="eastAsia"/>
          <w:bCs/>
          <w:kern w:val="0"/>
          <w:szCs w:val="28"/>
        </w:rPr>
        <w:t>多間資助幼兒中心、幼稚園及幼稚園暨幼兒中心，共約</w:t>
      </w:r>
      <w:r w:rsidRPr="00655827">
        <w:rPr>
          <w:rFonts w:cs="Times New Roman"/>
          <w:bCs/>
          <w:kern w:val="0"/>
          <w:szCs w:val="28"/>
        </w:rPr>
        <w:t>15</w:t>
      </w:r>
      <w:r w:rsidRPr="00655827">
        <w:rPr>
          <w:rFonts w:cs="Times New Roman" w:hint="eastAsia"/>
          <w:bCs/>
          <w:kern w:val="0"/>
          <w:szCs w:val="28"/>
        </w:rPr>
        <w:t>萬名學前兒童及其家庭提供社工服務。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s>
        <w:adjustRightInd w:val="0"/>
        <w:snapToGrid w:val="0"/>
        <w:spacing w:line="400" w:lineRule="atLeast"/>
        <w:jc w:val="both"/>
        <w:rPr>
          <w:rFonts w:cs="Times New Roman"/>
          <w:bCs/>
          <w:kern w:val="0"/>
          <w:szCs w:val="28"/>
          <w:u w:val="single"/>
        </w:rPr>
      </w:pPr>
      <w:r w:rsidRPr="00655827">
        <w:rPr>
          <w:rFonts w:cs="Times New Roman" w:hint="eastAsia"/>
          <w:bCs/>
          <w:kern w:val="0"/>
          <w:szCs w:val="28"/>
          <w:u w:val="single"/>
        </w:rPr>
        <w:t>兒童身心全面發展服務</w:t>
      </w:r>
    </w:p>
    <w:p w:rsidR="00EE77A6" w:rsidRPr="00655827" w:rsidRDefault="00EE77A6" w:rsidP="00EE77A6">
      <w:pPr>
        <w:tabs>
          <w:tab w:val="left" w:pos="1440"/>
        </w:tabs>
        <w:adjustRightInd w:val="0"/>
        <w:snapToGrid w:val="0"/>
        <w:spacing w:line="400" w:lineRule="atLeast"/>
        <w:jc w:val="both"/>
        <w:rPr>
          <w:rFonts w:cs="Times New Roman"/>
          <w:bCs/>
          <w:kern w:val="0"/>
          <w:szCs w:val="28"/>
        </w:rPr>
      </w:pPr>
    </w:p>
    <w:p w:rsidR="00EE77A6" w:rsidRPr="00655827" w:rsidRDefault="00EE77A6" w:rsidP="00EE77A6">
      <w:pPr>
        <w:tabs>
          <w:tab w:val="left" w:pos="1440"/>
          <w:tab w:val="left" w:pos="1680"/>
        </w:tabs>
        <w:adjustRightInd w:val="0"/>
        <w:snapToGrid w:val="0"/>
        <w:spacing w:line="400" w:lineRule="atLeast"/>
        <w:jc w:val="both"/>
        <w:rPr>
          <w:rFonts w:cs="Times New Roman"/>
          <w:szCs w:val="28"/>
        </w:rPr>
      </w:pPr>
      <w:r w:rsidRPr="00655827">
        <w:rPr>
          <w:rFonts w:cs="Times New Roman"/>
          <w:bCs/>
          <w:kern w:val="0"/>
          <w:szCs w:val="28"/>
        </w:rPr>
        <w:t>1</w:t>
      </w:r>
      <w:r>
        <w:rPr>
          <w:rFonts w:cs="Times New Roman" w:hint="eastAsia"/>
          <w:bCs/>
          <w:kern w:val="0"/>
          <w:szCs w:val="28"/>
        </w:rPr>
        <w:t>2.</w:t>
      </w:r>
      <w:r w:rsidRPr="00655827">
        <w:rPr>
          <w:rFonts w:cs="Times New Roman"/>
          <w:bCs/>
          <w:kern w:val="0"/>
          <w:szCs w:val="28"/>
        </w:rPr>
        <w:tab/>
      </w:r>
      <w:r w:rsidRPr="00655827">
        <w:rPr>
          <w:rFonts w:cs="Times New Roman" w:hint="eastAsia"/>
          <w:bCs/>
          <w:kern w:val="0"/>
          <w:szCs w:val="28"/>
          <w:lang w:eastAsia="zh-HK"/>
        </w:rPr>
        <w:t>政</w:t>
      </w:r>
      <w:r w:rsidRPr="00655827">
        <w:rPr>
          <w:rFonts w:cs="Times New Roman" w:hint="eastAsia"/>
          <w:bCs/>
          <w:kern w:val="0"/>
          <w:szCs w:val="28"/>
        </w:rPr>
        <w:t>府</w:t>
      </w:r>
      <w:r w:rsidRPr="00655827">
        <w:rPr>
          <w:rFonts w:cs="Times New Roman"/>
          <w:bCs/>
          <w:kern w:val="0"/>
          <w:szCs w:val="28"/>
        </w:rPr>
        <w:t>推</w:t>
      </w:r>
      <w:r w:rsidRPr="00655827">
        <w:rPr>
          <w:rFonts w:cs="Times New Roman" w:hint="eastAsia"/>
          <w:bCs/>
          <w:kern w:val="0"/>
          <w:szCs w:val="28"/>
        </w:rPr>
        <w:t>行</w:t>
      </w:r>
      <w:r w:rsidRPr="00655827">
        <w:rPr>
          <w:rFonts w:cs="Times New Roman"/>
          <w:bCs/>
          <w:kern w:val="0"/>
          <w:szCs w:val="28"/>
        </w:rPr>
        <w:t>兒童身心全面發展服務</w:t>
      </w:r>
      <w:r w:rsidRPr="00655827">
        <w:rPr>
          <w:rFonts w:cs="Times New Roman" w:hint="eastAsia"/>
          <w:bCs/>
          <w:kern w:val="0"/>
          <w:szCs w:val="28"/>
        </w:rPr>
        <w:t>，</w:t>
      </w:r>
      <w:r w:rsidRPr="00655827">
        <w:rPr>
          <w:rFonts w:cs="Times New Roman"/>
          <w:bCs/>
          <w:kern w:val="0"/>
          <w:szCs w:val="28"/>
        </w:rPr>
        <w:t>旨在及早識別及滿足五歲及以下的兒童及其家庭在健康及社會方面的各種需要</w:t>
      </w:r>
      <w:r w:rsidRPr="00655827">
        <w:rPr>
          <w:rFonts w:cs="Times New Roman" w:hint="eastAsia"/>
          <w:bCs/>
          <w:kern w:val="0"/>
          <w:szCs w:val="28"/>
        </w:rPr>
        <w:t>，並提供適切的服務</w:t>
      </w:r>
      <w:r w:rsidRPr="00655827">
        <w:rPr>
          <w:rFonts w:cs="Times New Roman"/>
          <w:bCs/>
          <w:kern w:val="0"/>
          <w:szCs w:val="28"/>
        </w:rPr>
        <w:t>。通過衞生署、醫院管理局（醫管局）、教育局、社署和非政府機構於地區層面與不同界別合作，</w:t>
      </w:r>
      <w:r w:rsidRPr="00655827">
        <w:rPr>
          <w:rFonts w:cs="Times New Roman" w:hint="eastAsia"/>
          <w:bCs/>
          <w:kern w:val="0"/>
          <w:szCs w:val="28"/>
        </w:rPr>
        <w:t>適</w:t>
      </w:r>
      <w:r w:rsidRPr="00655827">
        <w:rPr>
          <w:rFonts w:cs="Times New Roman"/>
          <w:bCs/>
          <w:kern w:val="0"/>
          <w:szCs w:val="28"/>
        </w:rPr>
        <w:t>時為有需要的兒童及家庭提供全面的支援。兒童身心全面發展服務以衞生署</w:t>
      </w:r>
      <w:r w:rsidRPr="00655827">
        <w:rPr>
          <w:rFonts w:cs="Times New Roman" w:hint="eastAsia"/>
          <w:bCs/>
          <w:kern w:val="0"/>
          <w:szCs w:val="28"/>
        </w:rPr>
        <w:t>母嬰</w:t>
      </w:r>
      <w:r w:rsidRPr="00655827">
        <w:rPr>
          <w:rFonts w:cs="Times New Roman"/>
          <w:bCs/>
          <w:kern w:val="0"/>
          <w:szCs w:val="28"/>
        </w:rPr>
        <w:t>健康院和其他服務單位（包括醫管局轄下的醫院、綜合家庭服務中心、綜合服務中心和學前教育機構）為平台，識別高危孕婦、患有產後抑鬱症的母親、有心理社會需要的兒童及其家人，以及有健康、發展及行為問題的學前兒童。有需要的兒童和家庭會</w:t>
      </w:r>
      <w:r w:rsidRPr="00655827">
        <w:rPr>
          <w:rFonts w:cs="Times New Roman" w:hint="eastAsia"/>
          <w:bCs/>
          <w:kern w:val="0"/>
          <w:szCs w:val="28"/>
        </w:rPr>
        <w:t>被</w:t>
      </w:r>
      <w:r w:rsidRPr="00655827">
        <w:rPr>
          <w:rFonts w:cs="Times New Roman"/>
          <w:bCs/>
          <w:kern w:val="0"/>
          <w:szCs w:val="28"/>
        </w:rPr>
        <w:t>轉介</w:t>
      </w:r>
      <w:r w:rsidRPr="00655827">
        <w:rPr>
          <w:rFonts w:cs="Times New Roman" w:hint="eastAsia"/>
          <w:bCs/>
          <w:kern w:val="0"/>
          <w:szCs w:val="28"/>
        </w:rPr>
        <w:t>至</w:t>
      </w:r>
      <w:r w:rsidRPr="00655827">
        <w:rPr>
          <w:rFonts w:cs="Times New Roman"/>
          <w:bCs/>
          <w:kern w:val="0"/>
          <w:szCs w:val="28"/>
        </w:rPr>
        <w:t>合適的服務單位跟進。</w:t>
      </w:r>
    </w:p>
    <w:p w:rsidR="009331AE" w:rsidRDefault="009331AE" w:rsidP="00222D16">
      <w:pPr>
        <w:jc w:val="both"/>
        <w:rPr>
          <w:rFonts w:cs="Times New Roman"/>
          <w:b/>
          <w:szCs w:val="28"/>
        </w:rPr>
        <w:sectPr w:rsidR="009331AE" w:rsidSect="00EE77A6">
          <w:footerReference w:type="default" r:id="rId44"/>
          <w:footerReference w:type="first" r:id="rId45"/>
          <w:pgSz w:w="11906" w:h="16838"/>
          <w:pgMar w:top="1440" w:right="1800" w:bottom="1440" w:left="1800" w:header="720" w:footer="720" w:gutter="0"/>
          <w:pgNumType w:start="1"/>
          <w:cols w:space="425"/>
          <w:titlePg/>
          <w:docGrid w:type="lines" w:linePitch="381"/>
        </w:sectPr>
      </w:pPr>
    </w:p>
    <w:p w:rsidR="00CE0B84" w:rsidRDefault="00CE0B84" w:rsidP="00CE0B84">
      <w:pPr>
        <w:snapToGrid w:val="0"/>
        <w:spacing w:line="400" w:lineRule="atLeast"/>
        <w:jc w:val="right"/>
        <w:rPr>
          <w:rFonts w:cs="Times New Roman"/>
          <w:b/>
          <w:szCs w:val="28"/>
        </w:rPr>
      </w:pPr>
      <w:r w:rsidRPr="00655827">
        <w:rPr>
          <w:rFonts w:cs="Times New Roman"/>
          <w:b/>
          <w:szCs w:val="28"/>
          <w:lang w:eastAsia="zh-HK"/>
        </w:rPr>
        <w:lastRenderedPageBreak/>
        <w:t>附件</w:t>
      </w:r>
      <w:r w:rsidRPr="00655827">
        <w:rPr>
          <w:rFonts w:cs="Times New Roman"/>
          <w:b/>
          <w:szCs w:val="28"/>
        </w:rPr>
        <w:t>10</w:t>
      </w:r>
      <w:r>
        <w:rPr>
          <w:rFonts w:cs="Times New Roman"/>
          <w:b/>
          <w:szCs w:val="28"/>
        </w:rPr>
        <w:t>E</w:t>
      </w:r>
    </w:p>
    <w:p w:rsidR="00CE0B84" w:rsidRDefault="00CE0B84" w:rsidP="00CE0B84">
      <w:pPr>
        <w:snapToGrid w:val="0"/>
        <w:spacing w:line="400" w:lineRule="atLeast"/>
        <w:jc w:val="right"/>
        <w:rPr>
          <w:rFonts w:cs="Times New Roman"/>
          <w:b/>
          <w:szCs w:val="28"/>
        </w:rPr>
      </w:pPr>
    </w:p>
    <w:p w:rsidR="00CE0B84" w:rsidRDefault="00CE0B84" w:rsidP="00CE0B84">
      <w:pPr>
        <w:jc w:val="center"/>
        <w:rPr>
          <w:rFonts w:ascii="標楷體" w:hAnsi="標楷體"/>
          <w:b/>
          <w:bCs/>
          <w:szCs w:val="28"/>
        </w:rPr>
      </w:pPr>
      <w:r w:rsidRPr="00060A81">
        <w:rPr>
          <w:rFonts w:ascii="標楷體" w:hAnsi="標楷體" w:hint="eastAsia"/>
          <w:b/>
          <w:bCs/>
          <w:szCs w:val="28"/>
        </w:rPr>
        <w:t>支援內地新來港人士</w:t>
      </w:r>
      <w:r>
        <w:rPr>
          <w:rFonts w:ascii="標楷體" w:hAnsi="標楷體" w:hint="eastAsia"/>
          <w:b/>
          <w:bCs/>
          <w:szCs w:val="28"/>
          <w:lang w:eastAsia="zh-HK"/>
        </w:rPr>
        <w:t>的</w:t>
      </w:r>
      <w:r w:rsidRPr="00060A81">
        <w:rPr>
          <w:rFonts w:ascii="標楷體" w:hAnsi="標楷體" w:hint="eastAsia"/>
          <w:b/>
          <w:bCs/>
          <w:szCs w:val="28"/>
        </w:rPr>
        <w:t>服務</w:t>
      </w:r>
    </w:p>
    <w:p w:rsidR="00CE0B84" w:rsidRPr="00060A81" w:rsidRDefault="00CE0B84" w:rsidP="00CE0B84">
      <w:pPr>
        <w:snapToGrid w:val="0"/>
        <w:spacing w:line="400" w:lineRule="atLeast"/>
        <w:jc w:val="both"/>
        <w:rPr>
          <w:rFonts w:cs="Times New Roman"/>
          <w:b/>
          <w:szCs w:val="28"/>
        </w:rPr>
      </w:pPr>
    </w:p>
    <w:p w:rsidR="00CE0B84" w:rsidRPr="00060A81" w:rsidRDefault="00CE0B84" w:rsidP="00CE0B84">
      <w:pPr>
        <w:tabs>
          <w:tab w:val="left" w:pos="1440"/>
          <w:tab w:val="left" w:pos="1680"/>
        </w:tabs>
        <w:adjustRightInd w:val="0"/>
        <w:snapToGrid w:val="0"/>
        <w:spacing w:line="400" w:lineRule="atLeast"/>
        <w:jc w:val="both"/>
        <w:rPr>
          <w:rFonts w:cs="Times New Roman"/>
          <w:bCs/>
          <w:kern w:val="0"/>
          <w:szCs w:val="28"/>
        </w:rPr>
      </w:pPr>
      <w:r>
        <w:rPr>
          <w:rFonts w:cs="Times New Roman"/>
          <w:bCs/>
          <w:szCs w:val="28"/>
        </w:rPr>
        <w:t>1.</w:t>
      </w:r>
      <w:r>
        <w:rPr>
          <w:rFonts w:cs="Times New Roman"/>
          <w:bCs/>
          <w:szCs w:val="28"/>
        </w:rPr>
        <w:tab/>
      </w:r>
      <w:r w:rsidRPr="00060A81">
        <w:rPr>
          <w:rFonts w:cs="Times New Roman" w:hint="eastAsia"/>
          <w:bCs/>
          <w:szCs w:val="28"/>
        </w:rPr>
        <w:t>香港國際社會服務社提供「跨境及國際社會服務」，為新來港定居家庭及個人提供服務，以協助處理和解決因分隔本港與國內其他地方／其他國家而出現的問題，服務對象包括內地新來港家庭</w:t>
      </w:r>
      <w:r>
        <w:rPr>
          <w:rFonts w:cs="Times New Roman" w:hint="eastAsia"/>
          <w:bCs/>
          <w:szCs w:val="28"/>
        </w:rPr>
        <w:t>。</w:t>
      </w:r>
      <w:r w:rsidRPr="00060A81">
        <w:rPr>
          <w:rFonts w:cs="Times New Roman" w:hint="eastAsia"/>
          <w:bCs/>
          <w:kern w:val="0"/>
          <w:szCs w:val="28"/>
        </w:rPr>
        <w:t>有關的服務內容包括輔導、緊急援助、小組及活動、義務工作訓練、以及把有需要人士轉介到適當的服務單位跟進等。由</w:t>
      </w:r>
      <w:r w:rsidRPr="00060A81">
        <w:rPr>
          <w:rFonts w:cs="Times New Roman"/>
          <w:bCs/>
          <w:kern w:val="0"/>
          <w:szCs w:val="28"/>
        </w:rPr>
        <w:t>2009</w:t>
      </w:r>
      <w:r w:rsidRPr="00060A81">
        <w:rPr>
          <w:rFonts w:cs="Times New Roman" w:hint="eastAsia"/>
          <w:bCs/>
          <w:kern w:val="0"/>
          <w:szCs w:val="28"/>
        </w:rPr>
        <w:t>年</w:t>
      </w:r>
      <w:r w:rsidRPr="00060A81">
        <w:rPr>
          <w:rFonts w:cs="Times New Roman"/>
          <w:bCs/>
          <w:kern w:val="0"/>
          <w:szCs w:val="28"/>
        </w:rPr>
        <w:t>6</w:t>
      </w:r>
      <w:r w:rsidRPr="00060A81">
        <w:rPr>
          <w:rFonts w:cs="Times New Roman" w:hint="eastAsia"/>
          <w:bCs/>
          <w:kern w:val="0"/>
          <w:szCs w:val="28"/>
        </w:rPr>
        <w:t>月起，社署把社署熱線及服務社營運的新來港人士熱線「抵港一線通」聯繫起來。新來港人士熱線「抵港一線通」以電話支援抵港不足半年的人士，為他們提供資訊、指導、定期電話問候等。自</w:t>
      </w:r>
      <w:r w:rsidRPr="00060A81">
        <w:rPr>
          <w:rFonts w:cs="Times New Roman"/>
          <w:bCs/>
          <w:kern w:val="0"/>
          <w:szCs w:val="28"/>
        </w:rPr>
        <w:t>2010</w:t>
      </w:r>
      <w:r w:rsidRPr="00060A81">
        <w:rPr>
          <w:rFonts w:cs="Times New Roman" w:hint="eastAsia"/>
          <w:bCs/>
          <w:kern w:val="0"/>
          <w:szCs w:val="28"/>
        </w:rPr>
        <w:t>年</w:t>
      </w:r>
      <w:r w:rsidRPr="00060A81">
        <w:rPr>
          <w:rFonts w:cs="Times New Roman"/>
          <w:bCs/>
          <w:kern w:val="0"/>
          <w:szCs w:val="28"/>
        </w:rPr>
        <w:t>7</w:t>
      </w:r>
      <w:r w:rsidRPr="00060A81">
        <w:rPr>
          <w:rFonts w:cs="Times New Roman" w:hint="eastAsia"/>
          <w:bCs/>
          <w:kern w:val="0"/>
          <w:szCs w:val="28"/>
        </w:rPr>
        <w:t>月起，社署為服務社提供額外資源，讓服務社在羅湖管制站（香港特區與內地之間的其中一個出入境管制站）營運服務隊。服務隊所提供的服務，包括提供有關香港社會服務的資料，以及轉介有需要人士到適當的服務單位跟進，以便及早識別和預防家庭問題。</w:t>
      </w:r>
    </w:p>
    <w:p w:rsidR="00CE0B84" w:rsidRPr="00060A81" w:rsidRDefault="00CE0B84" w:rsidP="00CE0B84">
      <w:pPr>
        <w:tabs>
          <w:tab w:val="left" w:pos="1440"/>
        </w:tabs>
        <w:adjustRightInd w:val="0"/>
        <w:snapToGrid w:val="0"/>
        <w:spacing w:line="400" w:lineRule="atLeast"/>
        <w:jc w:val="both"/>
        <w:rPr>
          <w:rFonts w:cs="Times New Roman"/>
          <w:bCs/>
          <w:kern w:val="0"/>
          <w:szCs w:val="28"/>
        </w:rPr>
      </w:pPr>
    </w:p>
    <w:p w:rsidR="00CE0B84" w:rsidRPr="00060A81" w:rsidRDefault="00CE0B84" w:rsidP="00CE0B84">
      <w:pPr>
        <w:tabs>
          <w:tab w:val="left" w:pos="1440"/>
          <w:tab w:val="left" w:pos="1680"/>
        </w:tabs>
        <w:adjustRightInd w:val="0"/>
        <w:snapToGrid w:val="0"/>
        <w:spacing w:line="400" w:lineRule="atLeast"/>
        <w:jc w:val="both"/>
        <w:rPr>
          <w:rFonts w:cs="Times New Roman"/>
          <w:bCs/>
          <w:kern w:val="0"/>
          <w:szCs w:val="28"/>
        </w:rPr>
      </w:pPr>
      <w:r>
        <w:rPr>
          <w:rFonts w:cs="Times New Roman"/>
          <w:bCs/>
          <w:kern w:val="0"/>
          <w:szCs w:val="28"/>
        </w:rPr>
        <w:t>2.</w:t>
      </w:r>
      <w:r>
        <w:rPr>
          <w:rFonts w:cs="Times New Roman"/>
          <w:bCs/>
          <w:kern w:val="0"/>
          <w:szCs w:val="28"/>
        </w:rPr>
        <w:tab/>
      </w:r>
      <w:r w:rsidRPr="00060A81">
        <w:rPr>
          <w:rFonts w:cs="Times New Roman" w:hint="eastAsia"/>
          <w:bCs/>
          <w:kern w:val="0"/>
          <w:szCs w:val="28"/>
        </w:rPr>
        <w:t>民政事務總署為內地新來港人士提供支援服務，協助他們融入社區。自</w:t>
      </w:r>
      <w:r w:rsidRPr="00060A81">
        <w:rPr>
          <w:rFonts w:cs="Times New Roman"/>
          <w:bCs/>
          <w:kern w:val="0"/>
          <w:szCs w:val="28"/>
        </w:rPr>
        <w:t>2011</w:t>
      </w:r>
      <w:r w:rsidRPr="00060A81">
        <w:rPr>
          <w:rFonts w:cs="Times New Roman" w:hint="eastAsia"/>
          <w:bCs/>
          <w:kern w:val="0"/>
          <w:szCs w:val="28"/>
        </w:rPr>
        <w:t>年起，推行「地區為本融入社區計劃」協助新來港人士加深認識他們所居住的社區，以及「期望管理計劃」為在內地正在申請以單程證來港定居人士加強對香港生活環境的了解。在</w:t>
      </w:r>
      <w:r w:rsidRPr="00060A81">
        <w:rPr>
          <w:rFonts w:cs="Times New Roman"/>
          <w:bCs/>
          <w:kern w:val="0"/>
          <w:szCs w:val="28"/>
        </w:rPr>
        <w:t>2012</w:t>
      </w:r>
      <w:r w:rsidRPr="00060A81">
        <w:rPr>
          <w:rFonts w:cs="Times New Roman" w:hint="eastAsia"/>
          <w:bCs/>
          <w:kern w:val="0"/>
          <w:szCs w:val="28"/>
        </w:rPr>
        <w:t>年推出的「大使計劃」主動接觸有服務需要的新來港人士，並在有需要時轉介相關政府部門跟進。此外，民政事務總署定期更新「新來港定居人士服務指南」，為新來港人士提供有關政府服務的資訊。</w:t>
      </w:r>
    </w:p>
    <w:p w:rsidR="00CE0B84" w:rsidRPr="00060A81" w:rsidRDefault="00CE0B84" w:rsidP="00CE0B84">
      <w:pPr>
        <w:tabs>
          <w:tab w:val="left" w:pos="1440"/>
        </w:tabs>
        <w:adjustRightInd w:val="0"/>
        <w:snapToGrid w:val="0"/>
        <w:spacing w:line="400" w:lineRule="atLeast"/>
        <w:jc w:val="both"/>
        <w:rPr>
          <w:rFonts w:cs="Times New Roman"/>
          <w:bCs/>
          <w:kern w:val="0"/>
          <w:szCs w:val="28"/>
        </w:rPr>
      </w:pPr>
    </w:p>
    <w:p w:rsidR="00CE0B84" w:rsidRPr="00060A81" w:rsidRDefault="00CE0B84" w:rsidP="00CE0B84">
      <w:pPr>
        <w:tabs>
          <w:tab w:val="left" w:pos="1440"/>
          <w:tab w:val="left" w:pos="1680"/>
        </w:tabs>
        <w:adjustRightInd w:val="0"/>
        <w:snapToGrid w:val="0"/>
        <w:spacing w:line="400" w:lineRule="atLeast"/>
        <w:jc w:val="both"/>
        <w:rPr>
          <w:rFonts w:cs="Times New Roman"/>
          <w:szCs w:val="28"/>
        </w:rPr>
      </w:pPr>
      <w:r>
        <w:rPr>
          <w:rFonts w:cs="Times New Roman"/>
          <w:bCs/>
          <w:kern w:val="0"/>
          <w:szCs w:val="28"/>
        </w:rPr>
        <w:t>3.</w:t>
      </w:r>
      <w:r>
        <w:rPr>
          <w:rFonts w:cs="Times New Roman"/>
          <w:bCs/>
          <w:kern w:val="0"/>
          <w:szCs w:val="28"/>
        </w:rPr>
        <w:tab/>
      </w:r>
      <w:r w:rsidRPr="00060A81">
        <w:rPr>
          <w:rFonts w:cs="Times New Roman" w:hint="eastAsia"/>
          <w:bCs/>
          <w:kern w:val="0"/>
          <w:szCs w:val="28"/>
        </w:rPr>
        <w:t>此外，政府提供一系列的公共服務，以協助內地新來港定居人士融入本地社會，例如就業服務、職業訓練、福利服務、公共房屋、公共醫療服務及教育支援，以期紓緩新來港定居人士的適應問題，並鼓勵他們自力更生。非政府機構獲香港賽馬會慈善信託基金和公益金等撥款進行輔助活動，包括公眾教育、就業計劃和義工服務。</w:t>
      </w:r>
    </w:p>
    <w:p w:rsidR="00315CF6" w:rsidRDefault="00315CF6" w:rsidP="00222D16">
      <w:pPr>
        <w:jc w:val="both"/>
        <w:rPr>
          <w:rFonts w:cs="Times New Roman"/>
          <w:b/>
          <w:szCs w:val="28"/>
        </w:rPr>
        <w:sectPr w:rsidR="00315CF6" w:rsidSect="00CE0B84">
          <w:footerReference w:type="default" r:id="rId46"/>
          <w:pgSz w:w="11906" w:h="16838"/>
          <w:pgMar w:top="1440" w:right="1800" w:bottom="1440" w:left="1800" w:header="720" w:footer="720" w:gutter="0"/>
          <w:pgNumType w:start="1"/>
          <w:cols w:space="425"/>
          <w:docGrid w:type="lines" w:linePitch="381"/>
        </w:sectPr>
      </w:pPr>
    </w:p>
    <w:p w:rsidR="003A171D" w:rsidRPr="00881246" w:rsidRDefault="003A171D" w:rsidP="003A171D">
      <w:pPr>
        <w:spacing w:line="400" w:lineRule="atLeast"/>
        <w:jc w:val="right"/>
        <w:rPr>
          <w:rFonts w:cs="Times New Roman"/>
          <w:b/>
          <w:szCs w:val="28"/>
        </w:rPr>
      </w:pPr>
      <w:r w:rsidRPr="00881246">
        <w:rPr>
          <w:rFonts w:cs="Times New Roman"/>
          <w:b/>
          <w:szCs w:val="28"/>
          <w:lang w:eastAsia="zh-HK"/>
        </w:rPr>
        <w:lastRenderedPageBreak/>
        <w:t>附件</w:t>
      </w:r>
      <w:r w:rsidRPr="00881246">
        <w:rPr>
          <w:rFonts w:cs="Times New Roman"/>
          <w:b/>
          <w:szCs w:val="28"/>
        </w:rPr>
        <w:t>10</w:t>
      </w:r>
      <w:r>
        <w:rPr>
          <w:rFonts w:cs="Times New Roman"/>
          <w:b/>
          <w:szCs w:val="28"/>
        </w:rPr>
        <w:t>F</w:t>
      </w:r>
    </w:p>
    <w:p w:rsidR="003A171D" w:rsidRPr="00881246" w:rsidRDefault="003A171D" w:rsidP="003A171D">
      <w:pPr>
        <w:spacing w:line="400" w:lineRule="atLeast"/>
        <w:jc w:val="center"/>
        <w:rPr>
          <w:rFonts w:ascii="標楷體" w:hAnsi="標楷體"/>
          <w:b/>
          <w:szCs w:val="28"/>
        </w:rPr>
      </w:pPr>
      <w:r w:rsidRPr="00881246">
        <w:rPr>
          <w:rFonts w:ascii="標楷體" w:hAnsi="標楷體" w:hint="eastAsia"/>
          <w:b/>
          <w:bCs/>
          <w:szCs w:val="28"/>
        </w:rPr>
        <w:t>單程證、雙程證及赴港簽注的優化安排</w:t>
      </w:r>
    </w:p>
    <w:p w:rsidR="003A171D" w:rsidRDefault="003A171D" w:rsidP="003A171D">
      <w:pPr>
        <w:spacing w:line="400" w:lineRule="atLeast"/>
      </w:pPr>
    </w:p>
    <w:p w:rsidR="003A171D" w:rsidRPr="00881246" w:rsidRDefault="003A171D" w:rsidP="003A171D">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w:t>
      </w:r>
      <w:r>
        <w:rPr>
          <w:rFonts w:cs="Times New Roman"/>
          <w:bCs/>
          <w:kern w:val="0"/>
          <w:szCs w:val="28"/>
        </w:rPr>
        <w:tab/>
      </w:r>
      <w:r w:rsidRPr="00881246">
        <w:rPr>
          <w:rFonts w:cs="Times New Roman" w:hint="eastAsia"/>
          <w:bCs/>
          <w:kern w:val="0"/>
          <w:szCs w:val="28"/>
        </w:rPr>
        <w:t>政府一直有向內地當局反映社會各界的訴求，內地當局亦不時就單程證、雙程證及赴港簽注的安排作出調整及優化</w:t>
      </w:r>
      <w:r>
        <w:rPr>
          <w:rFonts w:cs="Times New Roman" w:hint="eastAsia"/>
          <w:bCs/>
          <w:kern w:val="0"/>
          <w:szCs w:val="28"/>
        </w:rPr>
        <w:t>。</w:t>
      </w:r>
      <w:r w:rsidRPr="00881246">
        <w:rPr>
          <w:rFonts w:cs="Times New Roman" w:hint="eastAsia"/>
          <w:bCs/>
          <w:kern w:val="0"/>
          <w:szCs w:val="28"/>
        </w:rPr>
        <w:t>例如，內地當局於</w:t>
      </w:r>
      <w:r w:rsidRPr="00881246">
        <w:rPr>
          <w:rFonts w:cs="Times New Roman"/>
          <w:bCs/>
          <w:kern w:val="0"/>
          <w:szCs w:val="28"/>
        </w:rPr>
        <w:t>2009</w:t>
      </w:r>
      <w:r w:rsidRPr="00881246">
        <w:rPr>
          <w:rFonts w:cs="Times New Roman" w:hint="eastAsia"/>
          <w:bCs/>
          <w:kern w:val="0"/>
          <w:szCs w:val="28"/>
        </w:rPr>
        <w:t>年把分隔配偶申請的輪候時間由原來的五年縮短至四年</w:t>
      </w:r>
      <w:r w:rsidRPr="00881246">
        <w:rPr>
          <w:rFonts w:cs="Times New Roman"/>
          <w:bCs/>
          <w:kern w:val="0"/>
          <w:szCs w:val="28"/>
        </w:rPr>
        <w:t>;</w:t>
      </w:r>
      <w:r w:rsidRPr="00881246">
        <w:rPr>
          <w:rFonts w:cs="Times New Roman" w:hint="eastAsia"/>
          <w:bCs/>
          <w:kern w:val="0"/>
          <w:szCs w:val="28"/>
        </w:rPr>
        <w:t>又於同年</w:t>
      </w:r>
      <w:r w:rsidRPr="00881246">
        <w:rPr>
          <w:rFonts w:cs="Times New Roman"/>
          <w:bCs/>
          <w:kern w:val="0"/>
          <w:szCs w:val="28"/>
        </w:rPr>
        <w:t>12</w:t>
      </w:r>
      <w:r w:rsidRPr="00881246">
        <w:rPr>
          <w:rFonts w:cs="Times New Roman" w:hint="eastAsia"/>
          <w:bCs/>
          <w:kern w:val="0"/>
          <w:szCs w:val="28"/>
        </w:rPr>
        <w:t>月</w:t>
      </w:r>
      <w:r w:rsidRPr="00881246">
        <w:rPr>
          <w:rFonts w:cs="Times New Roman"/>
          <w:bCs/>
          <w:kern w:val="0"/>
          <w:szCs w:val="28"/>
        </w:rPr>
        <w:t>25</w:t>
      </w:r>
      <w:r w:rsidRPr="00881246">
        <w:rPr>
          <w:rFonts w:cs="Times New Roman" w:hint="eastAsia"/>
          <w:bCs/>
          <w:kern w:val="0"/>
          <w:szCs w:val="28"/>
        </w:rPr>
        <w:t>日起為持雙程證的合資格的內地居民簽發“一年多次赴港探親簽注”，讓該類簽注的持有人每次可在港逗留</w:t>
      </w:r>
      <w:r w:rsidRPr="00881246">
        <w:rPr>
          <w:rFonts w:cs="Times New Roman"/>
          <w:bCs/>
          <w:kern w:val="0"/>
          <w:szCs w:val="28"/>
        </w:rPr>
        <w:t>90</w:t>
      </w:r>
      <w:r w:rsidRPr="00881246">
        <w:rPr>
          <w:rFonts w:cs="Times New Roman" w:hint="eastAsia"/>
          <w:bCs/>
          <w:kern w:val="0"/>
          <w:szCs w:val="28"/>
        </w:rPr>
        <w:t>天。經</w:t>
      </w:r>
      <w:r w:rsidRPr="00881246">
        <w:rPr>
          <w:rFonts w:cs="Times New Roman" w:hint="eastAsia"/>
          <w:bCs/>
          <w:kern w:val="0"/>
          <w:szCs w:val="28"/>
          <w:lang w:eastAsia="zh-HK"/>
        </w:rPr>
        <w:t>香</w:t>
      </w:r>
      <w:r w:rsidRPr="00881246">
        <w:rPr>
          <w:rFonts w:cs="Times New Roman" w:hint="eastAsia"/>
          <w:bCs/>
          <w:kern w:val="0"/>
          <w:szCs w:val="28"/>
        </w:rPr>
        <w:t>港特區政府積極反映港人意見及與內地當局協商，中央</w:t>
      </w:r>
      <w:r w:rsidRPr="00881246">
        <w:rPr>
          <w:rFonts w:cs="Times New Roman" w:hint="eastAsia"/>
          <w:bCs/>
          <w:kern w:val="0"/>
          <w:szCs w:val="28"/>
          <w:lang w:eastAsia="zh-HK"/>
        </w:rPr>
        <w:t>人民</w:t>
      </w:r>
      <w:r w:rsidRPr="00881246">
        <w:rPr>
          <w:rFonts w:cs="Times New Roman" w:hint="eastAsia"/>
          <w:bCs/>
          <w:kern w:val="0"/>
          <w:szCs w:val="28"/>
        </w:rPr>
        <w:t>政府同意由</w:t>
      </w:r>
      <w:r w:rsidRPr="00881246">
        <w:rPr>
          <w:rFonts w:cs="Times New Roman"/>
          <w:bCs/>
          <w:kern w:val="0"/>
          <w:szCs w:val="28"/>
        </w:rPr>
        <w:t>2011</w:t>
      </w:r>
      <w:r w:rsidRPr="00881246">
        <w:rPr>
          <w:rFonts w:cs="Times New Roman" w:hint="eastAsia"/>
          <w:bCs/>
          <w:kern w:val="0"/>
          <w:szCs w:val="28"/>
        </w:rPr>
        <w:t>年</w:t>
      </w:r>
      <w:r w:rsidRPr="00881246">
        <w:rPr>
          <w:rFonts w:cs="Times New Roman"/>
          <w:bCs/>
          <w:kern w:val="0"/>
          <w:szCs w:val="28"/>
        </w:rPr>
        <w:t>4</w:t>
      </w:r>
      <w:r w:rsidRPr="00881246">
        <w:rPr>
          <w:rFonts w:cs="Times New Roman" w:hint="eastAsia"/>
          <w:bCs/>
          <w:kern w:val="0"/>
          <w:szCs w:val="28"/>
        </w:rPr>
        <w:t>月</w:t>
      </w:r>
      <w:r w:rsidRPr="00881246">
        <w:rPr>
          <w:rFonts w:cs="Times New Roman"/>
          <w:bCs/>
          <w:kern w:val="0"/>
          <w:szCs w:val="28"/>
        </w:rPr>
        <w:t>1</w:t>
      </w:r>
      <w:r w:rsidRPr="00881246">
        <w:rPr>
          <w:rFonts w:cs="Times New Roman" w:hint="eastAsia"/>
          <w:bCs/>
          <w:kern w:val="0"/>
          <w:szCs w:val="28"/>
        </w:rPr>
        <w:t>日起，香港居民在內地的合資格“超齡子女”</w:t>
      </w:r>
      <w:r>
        <w:rPr>
          <w:rFonts w:cs="Times New Roman"/>
          <w:bCs/>
          <w:kern w:val="0"/>
          <w:szCs w:val="28"/>
        </w:rPr>
        <w:t>‍</w:t>
      </w:r>
      <w:r w:rsidRPr="00881246">
        <w:rPr>
          <w:rFonts w:cs="Times New Roman"/>
          <w:bCs/>
          <w:kern w:val="0"/>
          <w:szCs w:val="28"/>
          <w:vertAlign w:val="superscript"/>
        </w:rPr>
        <w:footnoteReference w:id="9"/>
      </w:r>
      <w:r w:rsidRPr="00881246">
        <w:rPr>
          <w:rFonts w:cs="Times New Roman" w:hint="eastAsia"/>
          <w:bCs/>
          <w:kern w:val="0"/>
          <w:szCs w:val="28"/>
        </w:rPr>
        <w:t>可申請單程證來港，與親生父母團聚。截至</w:t>
      </w:r>
      <w:r w:rsidRPr="00881246">
        <w:rPr>
          <w:rFonts w:cs="Times New Roman"/>
          <w:bCs/>
          <w:kern w:val="0"/>
          <w:szCs w:val="28"/>
        </w:rPr>
        <w:t>2017</w:t>
      </w:r>
      <w:r w:rsidRPr="00881246">
        <w:rPr>
          <w:rFonts w:cs="Times New Roman" w:hint="eastAsia"/>
          <w:bCs/>
          <w:kern w:val="0"/>
          <w:szCs w:val="28"/>
        </w:rPr>
        <w:t>年</w:t>
      </w:r>
      <w:r w:rsidRPr="00881246">
        <w:rPr>
          <w:rFonts w:cs="Times New Roman"/>
          <w:bCs/>
          <w:kern w:val="0"/>
          <w:szCs w:val="28"/>
        </w:rPr>
        <w:t>11</w:t>
      </w:r>
      <w:r w:rsidRPr="00881246">
        <w:rPr>
          <w:rFonts w:cs="Times New Roman" w:hint="eastAsia"/>
          <w:bCs/>
          <w:kern w:val="0"/>
          <w:szCs w:val="28"/>
        </w:rPr>
        <w:t>月底，已有</w:t>
      </w:r>
      <w:r w:rsidRPr="00881246">
        <w:rPr>
          <w:rFonts w:cs="Times New Roman"/>
          <w:bCs/>
          <w:kern w:val="0"/>
          <w:szCs w:val="28"/>
        </w:rPr>
        <w:t>46 711</w:t>
      </w:r>
      <w:r w:rsidRPr="00881246">
        <w:rPr>
          <w:rFonts w:cs="Times New Roman" w:hint="eastAsia"/>
          <w:bCs/>
          <w:kern w:val="0"/>
          <w:szCs w:val="28"/>
        </w:rPr>
        <w:t>名「超齡子女」持「單程證」來港定居，與親生父母團聚。</w:t>
      </w:r>
    </w:p>
    <w:p w:rsidR="003A171D" w:rsidRPr="00881246" w:rsidRDefault="003A171D" w:rsidP="003A171D">
      <w:pPr>
        <w:tabs>
          <w:tab w:val="left" w:pos="1440"/>
        </w:tabs>
        <w:adjustRightInd w:val="0"/>
        <w:snapToGrid w:val="0"/>
        <w:spacing w:line="400" w:lineRule="atLeast"/>
        <w:jc w:val="both"/>
        <w:rPr>
          <w:rFonts w:cs="Times New Roman"/>
          <w:bCs/>
          <w:kern w:val="0"/>
          <w:szCs w:val="28"/>
        </w:rPr>
      </w:pPr>
    </w:p>
    <w:p w:rsidR="003A171D" w:rsidRPr="00881246" w:rsidRDefault="003A171D" w:rsidP="003A171D">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w:t>
      </w:r>
      <w:r>
        <w:rPr>
          <w:rFonts w:cs="Times New Roman"/>
          <w:bCs/>
          <w:kern w:val="0"/>
          <w:szCs w:val="28"/>
        </w:rPr>
        <w:tab/>
      </w:r>
      <w:r w:rsidRPr="00881246">
        <w:rPr>
          <w:rFonts w:cs="Times New Roman" w:hint="eastAsia"/>
          <w:bCs/>
          <w:kern w:val="0"/>
          <w:szCs w:val="28"/>
        </w:rPr>
        <w:t>此外，入境處一直有就個別有特殊家庭困難的個案，向內地出入境管理部門反映，而內地有關部門亦已酌情向部分個案的求助人簽發單程證或“一年多次赴港探親簽注”。</w:t>
      </w:r>
    </w:p>
    <w:p w:rsidR="008B0075" w:rsidRDefault="008B0075" w:rsidP="00222D16">
      <w:pPr>
        <w:jc w:val="both"/>
        <w:rPr>
          <w:rFonts w:cs="Times New Roman"/>
          <w:b/>
          <w:szCs w:val="28"/>
        </w:rPr>
        <w:sectPr w:rsidR="008B0075" w:rsidSect="00A36403">
          <w:footerReference w:type="default" r:id="rId47"/>
          <w:footnotePr>
            <w:numRestart w:val="eachSect"/>
          </w:footnotePr>
          <w:pgSz w:w="11906" w:h="16838"/>
          <w:pgMar w:top="1440" w:right="1800" w:bottom="1440" w:left="1800" w:header="720" w:footer="720" w:gutter="0"/>
          <w:pgNumType w:start="1"/>
          <w:cols w:space="425"/>
          <w:docGrid w:type="lines" w:linePitch="381"/>
        </w:sectPr>
      </w:pPr>
    </w:p>
    <w:p w:rsidR="008B0075" w:rsidRDefault="008B0075" w:rsidP="008B0075">
      <w:pPr>
        <w:snapToGrid w:val="0"/>
        <w:spacing w:line="400" w:lineRule="atLeast"/>
        <w:jc w:val="right"/>
        <w:rPr>
          <w:rFonts w:cs="Times New Roman"/>
          <w:b/>
          <w:szCs w:val="28"/>
        </w:rPr>
      </w:pPr>
      <w:r w:rsidRPr="00655827">
        <w:rPr>
          <w:rFonts w:cs="Times New Roman"/>
          <w:b/>
          <w:szCs w:val="28"/>
          <w:lang w:eastAsia="zh-HK"/>
        </w:rPr>
        <w:lastRenderedPageBreak/>
        <w:t>附件</w:t>
      </w:r>
      <w:r w:rsidRPr="00655827">
        <w:rPr>
          <w:rFonts w:cs="Times New Roman"/>
          <w:b/>
          <w:szCs w:val="28"/>
        </w:rPr>
        <w:t>10</w:t>
      </w:r>
      <w:r>
        <w:rPr>
          <w:rFonts w:cs="Times New Roman"/>
          <w:b/>
          <w:szCs w:val="28"/>
        </w:rPr>
        <w:t>G</w:t>
      </w:r>
    </w:p>
    <w:p w:rsidR="008B0075" w:rsidRDefault="008B0075" w:rsidP="008B0075">
      <w:pPr>
        <w:snapToGrid w:val="0"/>
        <w:spacing w:line="400" w:lineRule="atLeast"/>
        <w:jc w:val="center"/>
        <w:rPr>
          <w:rFonts w:cs="Times New Roman"/>
          <w:b/>
          <w:szCs w:val="28"/>
        </w:rPr>
      </w:pPr>
    </w:p>
    <w:p w:rsidR="008B0075" w:rsidRDefault="008B0075" w:rsidP="008B0075">
      <w:pPr>
        <w:snapToGrid w:val="0"/>
        <w:spacing w:line="400" w:lineRule="atLeast"/>
        <w:jc w:val="center"/>
        <w:rPr>
          <w:rFonts w:cs="Times New Roman"/>
          <w:b/>
          <w:szCs w:val="28"/>
        </w:rPr>
      </w:pPr>
      <w:r w:rsidRPr="00A12D27">
        <w:rPr>
          <w:rFonts w:cs="Times New Roman"/>
          <w:b/>
          <w:szCs w:val="28"/>
        </w:rPr>
        <w:t>預防家庭暴力及為家暴受害人提供</w:t>
      </w:r>
      <w:r>
        <w:rPr>
          <w:rFonts w:cs="Times New Roman" w:hint="eastAsia"/>
          <w:b/>
          <w:szCs w:val="28"/>
          <w:lang w:eastAsia="zh-HK"/>
        </w:rPr>
        <w:t>的</w:t>
      </w:r>
      <w:r w:rsidRPr="00A12D27">
        <w:rPr>
          <w:rFonts w:cs="Times New Roman"/>
          <w:b/>
          <w:szCs w:val="28"/>
        </w:rPr>
        <w:t>支援</w:t>
      </w:r>
    </w:p>
    <w:p w:rsidR="008B0075" w:rsidRPr="00F80BBF" w:rsidRDefault="008B0075" w:rsidP="008B0075">
      <w:pPr>
        <w:snapToGrid w:val="0"/>
        <w:spacing w:line="400" w:lineRule="atLeast"/>
        <w:rPr>
          <w:rFonts w:cs="Times New Roman"/>
          <w:b/>
          <w:szCs w:val="28"/>
        </w:rPr>
      </w:pPr>
    </w:p>
    <w:p w:rsidR="008B0075" w:rsidRPr="00AE5C13" w:rsidRDefault="008B0075" w:rsidP="005948B3">
      <w:pPr>
        <w:tabs>
          <w:tab w:val="left" w:pos="720"/>
          <w:tab w:val="left" w:pos="1440"/>
        </w:tabs>
        <w:adjustRightInd w:val="0"/>
        <w:snapToGrid w:val="0"/>
        <w:spacing w:line="400" w:lineRule="atLeast"/>
        <w:ind w:left="716" w:hanging="716"/>
        <w:jc w:val="both"/>
        <w:rPr>
          <w:rFonts w:cs="Times New Roman"/>
          <w:bCs/>
          <w:kern w:val="0"/>
          <w:szCs w:val="28"/>
        </w:rPr>
      </w:pPr>
      <w:r w:rsidRPr="00AE5C13">
        <w:rPr>
          <w:rFonts w:cs="Times New Roman"/>
          <w:bCs/>
          <w:kern w:val="0"/>
          <w:szCs w:val="28"/>
        </w:rPr>
        <w:t>(a)</w:t>
      </w:r>
      <w:r w:rsidRPr="00AE5C13">
        <w:rPr>
          <w:rFonts w:cs="Times New Roman"/>
          <w:bCs/>
          <w:kern w:val="0"/>
          <w:szCs w:val="28"/>
        </w:rPr>
        <w:tab/>
      </w:r>
      <w:r w:rsidRPr="00AE5C13">
        <w:rPr>
          <w:rFonts w:cs="Times New Roman"/>
          <w:bCs/>
          <w:kern w:val="0"/>
          <w:szCs w:val="28"/>
        </w:rPr>
        <w:t>社署保護家庭及兒童服務課（服務課）專責處理大部份的虐待兒童及虐待配偶／同居情侶個案，提供包括外展、危機介入、個案和小組服務，以及為兒童提供法定保護等綜合服務。服務課亦會與相關政府決策局／部門及非政府機構合作，適當地為受害人安排經濟援助、法律援助、心理評估和治療、房屋援助及兒童照顧等其他支援服務。服務課的數目已擴展至</w:t>
      </w:r>
      <w:r w:rsidRPr="00AE5C13">
        <w:rPr>
          <w:rFonts w:cs="Times New Roman"/>
          <w:bCs/>
          <w:kern w:val="0"/>
          <w:szCs w:val="28"/>
        </w:rPr>
        <w:t>2010</w:t>
      </w:r>
      <w:r w:rsidRPr="00AE5C13">
        <w:rPr>
          <w:rFonts w:cs="Times New Roman"/>
          <w:bCs/>
          <w:kern w:val="0"/>
          <w:szCs w:val="28"/>
        </w:rPr>
        <w:t>年的</w:t>
      </w:r>
      <w:r w:rsidRPr="00AE5C13">
        <w:rPr>
          <w:rFonts w:cs="Times New Roman"/>
          <w:bCs/>
          <w:kern w:val="0"/>
          <w:szCs w:val="28"/>
        </w:rPr>
        <w:t>11</w:t>
      </w:r>
      <w:r w:rsidRPr="00AE5C13">
        <w:rPr>
          <w:rFonts w:cs="Times New Roman"/>
          <w:bCs/>
          <w:kern w:val="0"/>
          <w:szCs w:val="28"/>
        </w:rPr>
        <w:t>隊，而相關的社工數目亦已增加至</w:t>
      </w:r>
      <w:r w:rsidRPr="00AE5C13">
        <w:rPr>
          <w:rFonts w:cs="Times New Roman"/>
          <w:bCs/>
          <w:kern w:val="0"/>
          <w:szCs w:val="28"/>
        </w:rPr>
        <w:t>2018</w:t>
      </w:r>
      <w:r w:rsidRPr="00AE5C13">
        <w:rPr>
          <w:rFonts w:cs="Times New Roman"/>
          <w:bCs/>
          <w:kern w:val="0"/>
          <w:szCs w:val="28"/>
        </w:rPr>
        <w:t>年的</w:t>
      </w:r>
      <w:r w:rsidRPr="00AE5C13">
        <w:rPr>
          <w:rFonts w:cs="Times New Roman"/>
          <w:bCs/>
          <w:kern w:val="0"/>
          <w:szCs w:val="28"/>
        </w:rPr>
        <w:t>170</w:t>
      </w:r>
      <w:r w:rsidRPr="00AE5C13">
        <w:rPr>
          <w:rFonts w:cs="Times New Roman"/>
          <w:bCs/>
          <w:kern w:val="0"/>
          <w:szCs w:val="28"/>
        </w:rPr>
        <w:t>人。服務課的人手將於</w:t>
      </w:r>
      <w:r w:rsidRPr="00AE5C13">
        <w:rPr>
          <w:rFonts w:cs="Times New Roman"/>
          <w:bCs/>
          <w:kern w:val="0"/>
          <w:szCs w:val="28"/>
        </w:rPr>
        <w:t>2019-20</w:t>
      </w:r>
      <w:r w:rsidRPr="00AE5C13">
        <w:rPr>
          <w:rFonts w:cs="Times New Roman"/>
          <w:bCs/>
          <w:kern w:val="0"/>
          <w:szCs w:val="28"/>
        </w:rPr>
        <w:t>年度進一步加強；</w:t>
      </w:r>
    </w:p>
    <w:p w:rsidR="008B0075" w:rsidRPr="00AE5C13" w:rsidRDefault="008B0075" w:rsidP="008B0075">
      <w:pPr>
        <w:tabs>
          <w:tab w:val="left" w:pos="1440"/>
        </w:tabs>
        <w:adjustRightInd w:val="0"/>
        <w:snapToGrid w:val="0"/>
        <w:spacing w:line="400" w:lineRule="atLeast"/>
        <w:jc w:val="both"/>
        <w:rPr>
          <w:rFonts w:cs="Times New Roman"/>
          <w:bCs/>
          <w:kern w:val="0"/>
          <w:szCs w:val="28"/>
        </w:rPr>
      </w:pPr>
    </w:p>
    <w:p w:rsidR="008B0075" w:rsidRPr="00AE5C13" w:rsidRDefault="008B0075" w:rsidP="005948B3">
      <w:pPr>
        <w:tabs>
          <w:tab w:val="left" w:pos="720"/>
        </w:tabs>
        <w:adjustRightInd w:val="0"/>
        <w:snapToGrid w:val="0"/>
        <w:spacing w:line="400" w:lineRule="atLeast"/>
        <w:ind w:left="716" w:hanging="716"/>
        <w:jc w:val="both"/>
        <w:rPr>
          <w:rFonts w:cs="Times New Roman"/>
          <w:bCs/>
          <w:kern w:val="0"/>
          <w:szCs w:val="28"/>
        </w:rPr>
      </w:pPr>
      <w:r w:rsidRPr="00AE5C13">
        <w:rPr>
          <w:rFonts w:cs="Times New Roman"/>
          <w:bCs/>
          <w:kern w:val="0"/>
          <w:szCs w:val="28"/>
        </w:rPr>
        <w:t>(b)</w:t>
      </w:r>
      <w:r w:rsidRPr="00AE5C13">
        <w:rPr>
          <w:rFonts w:cs="Times New Roman"/>
          <w:bCs/>
          <w:kern w:val="0"/>
          <w:szCs w:val="28"/>
        </w:rPr>
        <w:tab/>
      </w:r>
      <w:r w:rsidRPr="00AE5C13">
        <w:rPr>
          <w:rFonts w:cs="Times New Roman"/>
          <w:bCs/>
          <w:kern w:val="0"/>
          <w:szCs w:val="28"/>
        </w:rPr>
        <w:t>自</w:t>
      </w:r>
      <w:r w:rsidRPr="00AE5C13">
        <w:rPr>
          <w:rFonts w:cs="Times New Roman"/>
          <w:bCs/>
          <w:kern w:val="0"/>
          <w:szCs w:val="28"/>
        </w:rPr>
        <w:t>2010</w:t>
      </w:r>
      <w:r w:rsidRPr="00AE5C13">
        <w:rPr>
          <w:rFonts w:cs="Times New Roman"/>
          <w:bCs/>
          <w:kern w:val="0"/>
          <w:szCs w:val="28"/>
        </w:rPr>
        <w:t>年</w:t>
      </w:r>
      <w:r w:rsidRPr="00AE5C13">
        <w:rPr>
          <w:rFonts w:cs="Times New Roman"/>
          <w:bCs/>
          <w:kern w:val="0"/>
          <w:szCs w:val="28"/>
        </w:rPr>
        <w:t>6</w:t>
      </w:r>
      <w:r w:rsidRPr="00AE5C13">
        <w:rPr>
          <w:rFonts w:cs="Times New Roman"/>
          <w:bCs/>
          <w:kern w:val="0"/>
          <w:szCs w:val="28"/>
        </w:rPr>
        <w:t>月起，社署推行一項「家庭暴力受害人支援計劃」。該計劃由政府撥款予非政府機構營運，以加強支援家庭暴力受害人，尤其是那些進行司法程序的人士。透過此計劃，受害人可獲得法律程序的資料及社區支援服務的資訊（例如法律援助服務、房屋及幼兒照顧等），他們亦可獲得情緒支援，並在有需要時獲陪同進行有關的司法程序。我們期望透過此計劃的協助，可以強化受害人的能力，讓他們盡早回復正常生活；</w:t>
      </w:r>
    </w:p>
    <w:p w:rsidR="008B0075" w:rsidRPr="00AE5C13" w:rsidRDefault="008B0075" w:rsidP="008B0075">
      <w:pPr>
        <w:tabs>
          <w:tab w:val="left" w:pos="1440"/>
        </w:tabs>
        <w:adjustRightInd w:val="0"/>
        <w:snapToGrid w:val="0"/>
        <w:spacing w:line="400" w:lineRule="atLeast"/>
        <w:jc w:val="both"/>
        <w:rPr>
          <w:rFonts w:cs="Times New Roman"/>
          <w:bCs/>
          <w:kern w:val="0"/>
          <w:szCs w:val="28"/>
        </w:rPr>
      </w:pPr>
    </w:p>
    <w:p w:rsidR="008B0075" w:rsidRPr="00AE5C13" w:rsidRDefault="008B0075" w:rsidP="005948B3">
      <w:pPr>
        <w:tabs>
          <w:tab w:val="left" w:pos="720"/>
        </w:tabs>
        <w:adjustRightInd w:val="0"/>
        <w:snapToGrid w:val="0"/>
        <w:spacing w:line="400" w:lineRule="atLeast"/>
        <w:ind w:left="716" w:hanging="716"/>
        <w:jc w:val="both"/>
        <w:rPr>
          <w:rFonts w:cs="Times New Roman"/>
          <w:bCs/>
          <w:kern w:val="0"/>
          <w:szCs w:val="28"/>
        </w:rPr>
      </w:pPr>
      <w:r w:rsidRPr="00AE5C13">
        <w:rPr>
          <w:rFonts w:cs="Times New Roman"/>
          <w:bCs/>
          <w:kern w:val="0"/>
          <w:szCs w:val="28"/>
        </w:rPr>
        <w:t>(c)</w:t>
      </w:r>
      <w:r w:rsidRPr="00AE5C13">
        <w:rPr>
          <w:rFonts w:cs="Times New Roman"/>
          <w:bCs/>
          <w:kern w:val="0"/>
          <w:szCs w:val="28"/>
        </w:rPr>
        <w:tab/>
      </w:r>
      <w:r w:rsidRPr="00AE5C13">
        <w:rPr>
          <w:rFonts w:cs="Times New Roman"/>
          <w:bCs/>
          <w:kern w:val="0"/>
          <w:szCs w:val="28"/>
        </w:rPr>
        <w:t>社署於</w:t>
      </w:r>
      <w:r w:rsidRPr="00AE5C13">
        <w:rPr>
          <w:rFonts w:cs="Times New Roman"/>
          <w:bCs/>
          <w:kern w:val="0"/>
          <w:szCs w:val="28"/>
        </w:rPr>
        <w:t>2016-17</w:t>
      </w:r>
      <w:r w:rsidRPr="00AE5C13">
        <w:rPr>
          <w:rFonts w:cs="Times New Roman"/>
          <w:bCs/>
          <w:kern w:val="0"/>
          <w:szCs w:val="28"/>
        </w:rPr>
        <w:t>年度起分階段增加婦女庇護中心和家庭危機支援中心的宿位及相關人手，以及向婦女庇護中心和危機介入及支援中心（即「芷若園」）提供額外人手資源，以加強支援暫居於中心的人士及兒童。現時，五間婦女庇護中心、家庭危機支援中心和芷若園分別提供</w:t>
      </w:r>
      <w:r w:rsidRPr="00AE5C13">
        <w:rPr>
          <w:rFonts w:cs="Times New Roman"/>
          <w:bCs/>
          <w:kern w:val="0"/>
          <w:szCs w:val="28"/>
        </w:rPr>
        <w:t>268</w:t>
      </w:r>
      <w:r w:rsidRPr="00AE5C13">
        <w:rPr>
          <w:rFonts w:cs="Times New Roman"/>
          <w:bCs/>
          <w:kern w:val="0"/>
          <w:szCs w:val="28"/>
        </w:rPr>
        <w:t>個、</w:t>
      </w:r>
      <w:r w:rsidRPr="00AE5C13">
        <w:rPr>
          <w:rFonts w:cs="Times New Roman"/>
          <w:bCs/>
          <w:kern w:val="0"/>
          <w:szCs w:val="28"/>
        </w:rPr>
        <w:t>50</w:t>
      </w:r>
      <w:r w:rsidRPr="00AE5C13">
        <w:rPr>
          <w:rFonts w:cs="Times New Roman"/>
          <w:bCs/>
          <w:kern w:val="0"/>
          <w:szCs w:val="28"/>
        </w:rPr>
        <w:t>個及</w:t>
      </w:r>
      <w:r w:rsidRPr="00AE5C13">
        <w:rPr>
          <w:rFonts w:cs="Times New Roman"/>
          <w:bCs/>
          <w:kern w:val="0"/>
          <w:szCs w:val="28"/>
        </w:rPr>
        <w:t>80</w:t>
      </w:r>
      <w:r w:rsidRPr="00AE5C13">
        <w:rPr>
          <w:rFonts w:cs="Times New Roman"/>
          <w:bCs/>
          <w:kern w:val="0"/>
          <w:szCs w:val="28"/>
        </w:rPr>
        <w:t>個宿位予家庭暴力受害人；以及</w:t>
      </w:r>
    </w:p>
    <w:p w:rsidR="008B0075" w:rsidRPr="00AE5C13" w:rsidRDefault="008B0075" w:rsidP="005948B3">
      <w:pPr>
        <w:tabs>
          <w:tab w:val="left" w:pos="720"/>
        </w:tabs>
        <w:adjustRightInd w:val="0"/>
        <w:snapToGrid w:val="0"/>
        <w:spacing w:line="400" w:lineRule="atLeast"/>
        <w:jc w:val="both"/>
        <w:rPr>
          <w:rFonts w:cs="Times New Roman"/>
          <w:bCs/>
          <w:kern w:val="0"/>
          <w:szCs w:val="28"/>
        </w:rPr>
      </w:pPr>
    </w:p>
    <w:p w:rsidR="008B0075" w:rsidRPr="00F80BBF" w:rsidRDefault="008B0075" w:rsidP="005948B3">
      <w:pPr>
        <w:tabs>
          <w:tab w:val="left" w:pos="720"/>
        </w:tabs>
        <w:adjustRightInd w:val="0"/>
        <w:snapToGrid w:val="0"/>
        <w:spacing w:line="400" w:lineRule="atLeast"/>
        <w:ind w:left="716" w:hanging="716"/>
        <w:jc w:val="both"/>
        <w:rPr>
          <w:rFonts w:cs="Times New Roman"/>
          <w:bCs/>
          <w:kern w:val="0"/>
          <w:szCs w:val="28"/>
        </w:rPr>
      </w:pPr>
      <w:r w:rsidRPr="00AE5C13">
        <w:rPr>
          <w:rFonts w:cs="Times New Roman"/>
          <w:bCs/>
          <w:kern w:val="0"/>
          <w:szCs w:val="28"/>
        </w:rPr>
        <w:t>(d)</w:t>
      </w:r>
      <w:r w:rsidRPr="00AE5C13">
        <w:rPr>
          <w:rFonts w:cs="Times New Roman"/>
          <w:bCs/>
          <w:kern w:val="0"/>
          <w:szCs w:val="28"/>
        </w:rPr>
        <w:tab/>
      </w:r>
      <w:r w:rsidRPr="00AE5C13">
        <w:rPr>
          <w:rFonts w:cs="Times New Roman"/>
          <w:bCs/>
          <w:kern w:val="0"/>
          <w:szCs w:val="28"/>
        </w:rPr>
        <w:t>除支援受害人外，社署亦為家庭暴力的施虐者提供支援服務。社署於</w:t>
      </w:r>
      <w:r w:rsidRPr="00AE5C13">
        <w:rPr>
          <w:rFonts w:cs="Times New Roman"/>
          <w:bCs/>
          <w:kern w:val="0"/>
          <w:szCs w:val="28"/>
        </w:rPr>
        <w:t>2008</w:t>
      </w:r>
      <w:r w:rsidRPr="00AE5C13">
        <w:rPr>
          <w:rFonts w:cs="Times New Roman"/>
          <w:bCs/>
          <w:kern w:val="0"/>
          <w:szCs w:val="28"/>
        </w:rPr>
        <w:t>年推行「施虐者輔導計劃」和「反暴力計劃」外，亦於</w:t>
      </w:r>
      <w:r w:rsidRPr="00AE5C13">
        <w:rPr>
          <w:rFonts w:cs="Times New Roman"/>
          <w:bCs/>
          <w:kern w:val="0"/>
          <w:szCs w:val="28"/>
        </w:rPr>
        <w:t>2013</w:t>
      </w:r>
      <w:r w:rsidRPr="00AE5C13">
        <w:rPr>
          <w:rFonts w:cs="Times New Roman"/>
          <w:bCs/>
          <w:kern w:val="0"/>
          <w:szCs w:val="28"/>
        </w:rPr>
        <w:t>年</w:t>
      </w:r>
      <w:r w:rsidRPr="00AE5C13">
        <w:rPr>
          <w:rFonts w:cs="Times New Roman"/>
          <w:bCs/>
          <w:kern w:val="0"/>
          <w:szCs w:val="28"/>
        </w:rPr>
        <w:t>10</w:t>
      </w:r>
      <w:r w:rsidRPr="00AE5C13">
        <w:rPr>
          <w:rFonts w:cs="Times New Roman"/>
          <w:bCs/>
          <w:kern w:val="0"/>
          <w:szCs w:val="28"/>
        </w:rPr>
        <w:t>月推出了一項新的「停止家暴的學習計劃」，讓那些暫時不願意參與為期較長的「施虐者輔導計劃」、或未有被法庭判令參與「反暴力計劃」的施虐者參加，藉以協助施虐者改變其暴力態度和行為。由</w:t>
      </w:r>
      <w:r w:rsidRPr="00AE5C13">
        <w:rPr>
          <w:rFonts w:cs="Times New Roman"/>
          <w:bCs/>
          <w:kern w:val="0"/>
          <w:szCs w:val="28"/>
        </w:rPr>
        <w:t>2018</w:t>
      </w:r>
      <w:r w:rsidRPr="00AE5C13">
        <w:rPr>
          <w:rFonts w:cs="Times New Roman"/>
          <w:bCs/>
          <w:kern w:val="0"/>
          <w:szCs w:val="28"/>
        </w:rPr>
        <w:t>年</w:t>
      </w:r>
      <w:r w:rsidRPr="00AE5C13">
        <w:rPr>
          <w:rFonts w:cs="Times New Roman"/>
          <w:bCs/>
          <w:kern w:val="0"/>
          <w:szCs w:val="28"/>
        </w:rPr>
        <w:t>10</w:t>
      </w:r>
      <w:r w:rsidRPr="00AE5C13">
        <w:rPr>
          <w:rFonts w:cs="Times New Roman"/>
          <w:bCs/>
          <w:kern w:val="0"/>
          <w:szCs w:val="28"/>
        </w:rPr>
        <w:t>月開始，「停止家</w:t>
      </w:r>
      <w:r w:rsidRPr="00AE5C13">
        <w:rPr>
          <w:rFonts w:cs="Times New Roman"/>
          <w:bCs/>
          <w:kern w:val="0"/>
          <w:szCs w:val="28"/>
        </w:rPr>
        <w:lastRenderedPageBreak/>
        <w:t>暴的學習計劃」的服務對象已擴展至包括支援目睹或面對家庭暴力的兒童及家庭暴力受害人，並易名為「平和關係支援計劃」</w:t>
      </w:r>
      <w:r w:rsidRPr="00A12D27">
        <w:rPr>
          <w:rFonts w:cs="Times New Roman" w:hint="eastAsia"/>
          <w:bCs/>
          <w:kern w:val="0"/>
          <w:szCs w:val="28"/>
        </w:rPr>
        <w:t>。</w:t>
      </w:r>
    </w:p>
    <w:p w:rsidR="007269AD" w:rsidRDefault="007269AD" w:rsidP="00222D16">
      <w:pPr>
        <w:jc w:val="both"/>
        <w:rPr>
          <w:rFonts w:cs="Times New Roman"/>
          <w:b/>
          <w:szCs w:val="28"/>
        </w:rPr>
        <w:sectPr w:rsidR="007269AD" w:rsidSect="008B0075">
          <w:footerReference w:type="default" r:id="rId48"/>
          <w:pgSz w:w="11906" w:h="16838"/>
          <w:pgMar w:top="1440" w:right="1800" w:bottom="1440" w:left="1800" w:header="720" w:footer="720" w:gutter="0"/>
          <w:pgNumType w:start="1"/>
          <w:cols w:space="425"/>
          <w:docGrid w:type="lines" w:linePitch="381"/>
        </w:sectPr>
      </w:pPr>
    </w:p>
    <w:p w:rsidR="007721B9" w:rsidRPr="007721B9" w:rsidRDefault="007721B9" w:rsidP="007721B9">
      <w:pPr>
        <w:jc w:val="right"/>
        <w:rPr>
          <w:rFonts w:eastAsia="Times New Roman" w:cs="Times New Roman"/>
          <w:bCs/>
          <w:kern w:val="0"/>
          <w:szCs w:val="20"/>
        </w:rPr>
      </w:pPr>
      <w:r w:rsidRPr="007721B9">
        <w:rPr>
          <w:rFonts w:cs="Times New Roman"/>
          <w:b/>
          <w:bCs/>
          <w:kern w:val="0"/>
          <w:szCs w:val="28"/>
          <w:lang w:eastAsia="zh-HK"/>
        </w:rPr>
        <w:lastRenderedPageBreak/>
        <w:t>附件</w:t>
      </w:r>
      <w:r w:rsidRPr="007721B9">
        <w:rPr>
          <w:rFonts w:cs="Times New Roman"/>
          <w:b/>
          <w:bCs/>
          <w:kern w:val="0"/>
          <w:szCs w:val="28"/>
        </w:rPr>
        <w:t>10H</w:t>
      </w:r>
    </w:p>
    <w:p w:rsidR="007721B9" w:rsidRPr="007721B9" w:rsidRDefault="007721B9" w:rsidP="007721B9">
      <w:pPr>
        <w:tabs>
          <w:tab w:val="left" w:pos="1440"/>
        </w:tabs>
        <w:adjustRightInd w:val="0"/>
        <w:snapToGrid w:val="0"/>
        <w:spacing w:line="400" w:lineRule="atLeast"/>
        <w:jc w:val="both"/>
        <w:rPr>
          <w:rFonts w:cs="Times New Roman"/>
          <w:bCs/>
          <w:kern w:val="0"/>
          <w:szCs w:val="28"/>
        </w:rPr>
      </w:pPr>
    </w:p>
    <w:p w:rsidR="007721B9" w:rsidRPr="007721B9" w:rsidRDefault="007721B9" w:rsidP="007721B9">
      <w:pPr>
        <w:tabs>
          <w:tab w:val="left" w:pos="1440"/>
        </w:tabs>
        <w:adjustRightInd w:val="0"/>
        <w:snapToGrid w:val="0"/>
        <w:spacing w:line="400" w:lineRule="atLeast"/>
        <w:jc w:val="center"/>
        <w:rPr>
          <w:rFonts w:cs="Times New Roman"/>
          <w:b/>
          <w:bCs/>
          <w:kern w:val="0"/>
          <w:szCs w:val="28"/>
        </w:rPr>
      </w:pPr>
      <w:r w:rsidRPr="007721B9">
        <w:rPr>
          <w:rFonts w:eastAsia="Times New Roman" w:cs="Times New Roman"/>
          <w:b/>
          <w:bCs/>
          <w:kern w:val="0"/>
          <w:szCs w:val="28"/>
        </w:rPr>
        <w:t>20</w:t>
      </w:r>
      <w:r w:rsidRPr="007721B9">
        <w:rPr>
          <w:rFonts w:eastAsia="Times New Roman" w:cs="Times New Roman" w:hint="eastAsia"/>
          <w:b/>
          <w:bCs/>
          <w:kern w:val="0"/>
          <w:szCs w:val="28"/>
        </w:rPr>
        <w:t>14</w:t>
      </w:r>
      <w:r w:rsidRPr="007721B9">
        <w:rPr>
          <w:rFonts w:cs="Times New Roman"/>
          <w:b/>
          <w:bCs/>
          <w:spacing w:val="1"/>
          <w:kern w:val="0"/>
          <w:szCs w:val="28"/>
        </w:rPr>
        <w:t>至</w:t>
      </w:r>
      <w:r w:rsidRPr="007721B9">
        <w:rPr>
          <w:rFonts w:eastAsia="Times New Roman" w:cs="Times New Roman"/>
          <w:b/>
          <w:bCs/>
          <w:kern w:val="0"/>
          <w:szCs w:val="28"/>
        </w:rPr>
        <w:t>20</w:t>
      </w:r>
      <w:r w:rsidRPr="007721B9">
        <w:rPr>
          <w:rFonts w:eastAsia="Times New Roman" w:cs="Times New Roman" w:hint="eastAsia"/>
          <w:b/>
          <w:bCs/>
          <w:kern w:val="0"/>
          <w:szCs w:val="28"/>
        </w:rPr>
        <w:t>18</w:t>
      </w:r>
      <w:r w:rsidRPr="007721B9">
        <w:rPr>
          <w:rFonts w:cs="Times New Roman"/>
          <w:b/>
          <w:bCs/>
          <w:kern w:val="0"/>
          <w:szCs w:val="28"/>
        </w:rPr>
        <w:t>年虐待兒童個案種類及數目</w:t>
      </w:r>
    </w:p>
    <w:p w:rsidR="007721B9" w:rsidRPr="007721B9" w:rsidRDefault="007721B9" w:rsidP="007721B9">
      <w:pPr>
        <w:tabs>
          <w:tab w:val="left" w:pos="1440"/>
        </w:tabs>
        <w:adjustRightInd w:val="0"/>
        <w:snapToGrid w:val="0"/>
        <w:spacing w:line="400" w:lineRule="atLeast"/>
        <w:jc w:val="both"/>
        <w:rPr>
          <w:rFonts w:cs="Times New Roman"/>
          <w:bCs/>
          <w:kern w:val="0"/>
          <w:szCs w:val="28"/>
        </w:rPr>
      </w:pPr>
    </w:p>
    <w:tbl>
      <w:tblPr>
        <w:tblW w:w="8102" w:type="dxa"/>
        <w:tblInd w:w="114" w:type="dxa"/>
        <w:tblLayout w:type="fixed"/>
        <w:tblCellMar>
          <w:left w:w="0" w:type="dxa"/>
          <w:right w:w="0" w:type="dxa"/>
        </w:tblCellMar>
        <w:tblLook w:val="01E0" w:firstRow="1" w:lastRow="1" w:firstColumn="1" w:lastColumn="1" w:noHBand="0" w:noVBand="0"/>
      </w:tblPr>
      <w:tblGrid>
        <w:gridCol w:w="1877"/>
        <w:gridCol w:w="1245"/>
        <w:gridCol w:w="1245"/>
        <w:gridCol w:w="1245"/>
        <w:gridCol w:w="1245"/>
        <w:gridCol w:w="1245"/>
      </w:tblGrid>
      <w:tr w:rsidR="007721B9" w:rsidRPr="007721B9" w:rsidTr="00E22C88">
        <w:trPr>
          <w:trHeight w:hRule="exact" w:val="844"/>
        </w:trPr>
        <w:tc>
          <w:tcPr>
            <w:tcW w:w="1877" w:type="dxa"/>
            <w:tcBorders>
              <w:top w:val="single" w:sz="5" w:space="0" w:color="000000"/>
              <w:left w:val="single" w:sz="5" w:space="0" w:color="000000"/>
              <w:bottom w:val="single" w:sz="5" w:space="0" w:color="000000"/>
              <w:right w:val="single" w:sz="5" w:space="0" w:color="000000"/>
            </w:tcBorders>
            <w:shd w:val="clear" w:color="auto" w:fill="auto"/>
          </w:tcPr>
          <w:p w:rsidR="007721B9" w:rsidRPr="007721B9" w:rsidRDefault="007721B9" w:rsidP="005C3CDA">
            <w:pPr>
              <w:tabs>
                <w:tab w:val="left" w:pos="1440"/>
              </w:tabs>
              <w:overflowPunct w:val="0"/>
              <w:spacing w:line="356" w:lineRule="exact"/>
              <w:ind w:left="330"/>
              <w:rPr>
                <w:rFonts w:cs="Times New Roman"/>
                <w:b/>
                <w:kern w:val="0"/>
                <w:szCs w:val="28"/>
                <w:lang w:eastAsia="en-US"/>
              </w:rPr>
            </w:pPr>
            <w:r w:rsidRPr="007721B9">
              <w:rPr>
                <w:rFonts w:cs="Times New Roman"/>
                <w:b/>
                <w:kern w:val="0"/>
                <w:szCs w:val="28"/>
                <w:lang w:eastAsia="en-US"/>
              </w:rPr>
              <w:t>虐待形式</w:t>
            </w:r>
          </w:p>
        </w:tc>
        <w:tc>
          <w:tcPr>
            <w:tcW w:w="1245" w:type="dxa"/>
            <w:tcBorders>
              <w:top w:val="single" w:sz="5" w:space="0" w:color="000000"/>
              <w:left w:val="single" w:sz="5" w:space="0" w:color="000000"/>
              <w:bottom w:val="single" w:sz="5" w:space="0" w:color="000000"/>
              <w:right w:val="single" w:sz="5" w:space="0" w:color="000000"/>
            </w:tcBorders>
            <w:shd w:val="clear" w:color="auto" w:fill="auto"/>
          </w:tcPr>
          <w:p w:rsidR="007721B9" w:rsidRPr="007721B9" w:rsidRDefault="007721B9" w:rsidP="007721B9">
            <w:pPr>
              <w:tabs>
                <w:tab w:val="left" w:pos="1440"/>
              </w:tabs>
              <w:overflowPunct w:val="0"/>
              <w:spacing w:line="361" w:lineRule="exact"/>
              <w:jc w:val="center"/>
              <w:rPr>
                <w:rFonts w:cs="Times New Roman"/>
                <w:kern w:val="0"/>
                <w:szCs w:val="28"/>
                <w:lang w:eastAsia="en-US"/>
              </w:rPr>
            </w:pPr>
            <w:r w:rsidRPr="007721B9">
              <w:rPr>
                <w:rFonts w:eastAsia="Times New Roman" w:cs="Times New Roman"/>
                <w:b/>
                <w:bCs/>
                <w:kern w:val="0"/>
                <w:szCs w:val="28"/>
                <w:lang w:eastAsia="en-US"/>
              </w:rPr>
              <w:t>20</w:t>
            </w:r>
            <w:r w:rsidRPr="007721B9">
              <w:rPr>
                <w:rFonts w:eastAsia="新細明體" w:cs="Times New Roman"/>
                <w:b/>
                <w:bCs/>
                <w:kern w:val="0"/>
                <w:szCs w:val="28"/>
                <w:lang w:eastAsia="zh-HK"/>
              </w:rPr>
              <w:t>14</w:t>
            </w:r>
            <w:r w:rsidRPr="007721B9">
              <w:rPr>
                <w:rFonts w:cs="Times New Roman"/>
                <w:kern w:val="0"/>
                <w:szCs w:val="28"/>
                <w:lang w:eastAsia="en-US"/>
              </w:rPr>
              <w:t>年</w:t>
            </w:r>
          </w:p>
        </w:tc>
        <w:tc>
          <w:tcPr>
            <w:tcW w:w="1245" w:type="dxa"/>
            <w:tcBorders>
              <w:top w:val="single" w:sz="5" w:space="0" w:color="000000"/>
              <w:left w:val="single" w:sz="5" w:space="0" w:color="000000"/>
              <w:bottom w:val="single" w:sz="5" w:space="0" w:color="000000"/>
              <w:right w:val="single" w:sz="5" w:space="0" w:color="000000"/>
            </w:tcBorders>
            <w:shd w:val="clear" w:color="auto" w:fill="auto"/>
          </w:tcPr>
          <w:p w:rsidR="007721B9" w:rsidRPr="007721B9" w:rsidRDefault="007721B9" w:rsidP="007721B9">
            <w:pPr>
              <w:tabs>
                <w:tab w:val="left" w:pos="1440"/>
              </w:tabs>
              <w:overflowPunct w:val="0"/>
              <w:spacing w:line="361" w:lineRule="exact"/>
              <w:jc w:val="center"/>
              <w:rPr>
                <w:rFonts w:cs="Times New Roman"/>
                <w:kern w:val="0"/>
                <w:szCs w:val="28"/>
                <w:lang w:eastAsia="en-US"/>
              </w:rPr>
            </w:pPr>
            <w:r w:rsidRPr="007721B9">
              <w:rPr>
                <w:rFonts w:eastAsia="Times New Roman" w:cs="Times New Roman"/>
                <w:b/>
                <w:bCs/>
                <w:kern w:val="0"/>
                <w:szCs w:val="28"/>
                <w:lang w:eastAsia="en-US"/>
              </w:rPr>
              <w:t>20</w:t>
            </w:r>
            <w:r w:rsidRPr="007721B9">
              <w:rPr>
                <w:rFonts w:eastAsia="新細明體" w:cs="Times New Roman"/>
                <w:b/>
                <w:bCs/>
                <w:kern w:val="0"/>
                <w:szCs w:val="28"/>
                <w:lang w:eastAsia="zh-HK"/>
              </w:rPr>
              <w:t>15</w:t>
            </w:r>
            <w:r w:rsidRPr="007721B9">
              <w:rPr>
                <w:rFonts w:cs="Times New Roman"/>
                <w:kern w:val="0"/>
                <w:szCs w:val="28"/>
                <w:lang w:eastAsia="en-US"/>
              </w:rPr>
              <w:t>年</w:t>
            </w:r>
          </w:p>
        </w:tc>
        <w:tc>
          <w:tcPr>
            <w:tcW w:w="1245" w:type="dxa"/>
            <w:tcBorders>
              <w:top w:val="single" w:sz="5" w:space="0" w:color="000000"/>
              <w:left w:val="single" w:sz="5" w:space="0" w:color="000000"/>
              <w:bottom w:val="single" w:sz="5" w:space="0" w:color="000000"/>
              <w:right w:val="single" w:sz="5" w:space="0" w:color="000000"/>
            </w:tcBorders>
            <w:shd w:val="clear" w:color="auto" w:fill="auto"/>
          </w:tcPr>
          <w:p w:rsidR="007721B9" w:rsidRPr="007721B9" w:rsidRDefault="007721B9" w:rsidP="007721B9">
            <w:pPr>
              <w:tabs>
                <w:tab w:val="left" w:pos="1440"/>
              </w:tabs>
              <w:overflowPunct w:val="0"/>
              <w:spacing w:line="361" w:lineRule="exact"/>
              <w:jc w:val="center"/>
              <w:rPr>
                <w:rFonts w:cs="Times New Roman"/>
                <w:kern w:val="0"/>
                <w:szCs w:val="28"/>
                <w:lang w:eastAsia="en-US"/>
              </w:rPr>
            </w:pPr>
            <w:r w:rsidRPr="007721B9">
              <w:rPr>
                <w:rFonts w:eastAsia="Times New Roman" w:cs="Times New Roman"/>
                <w:b/>
                <w:bCs/>
                <w:kern w:val="0"/>
                <w:szCs w:val="28"/>
                <w:lang w:eastAsia="en-US"/>
              </w:rPr>
              <w:t>20</w:t>
            </w:r>
            <w:r w:rsidRPr="007721B9">
              <w:rPr>
                <w:rFonts w:eastAsia="新細明體" w:cs="Times New Roman"/>
                <w:b/>
                <w:bCs/>
                <w:kern w:val="0"/>
                <w:szCs w:val="28"/>
                <w:lang w:eastAsia="zh-HK"/>
              </w:rPr>
              <w:t>16</w:t>
            </w:r>
            <w:r w:rsidRPr="007721B9">
              <w:rPr>
                <w:rFonts w:cs="Times New Roman"/>
                <w:kern w:val="0"/>
                <w:szCs w:val="28"/>
                <w:lang w:eastAsia="en-US"/>
              </w:rPr>
              <w:t>年</w:t>
            </w:r>
          </w:p>
        </w:tc>
        <w:tc>
          <w:tcPr>
            <w:tcW w:w="1245" w:type="dxa"/>
            <w:tcBorders>
              <w:top w:val="single" w:sz="5" w:space="0" w:color="000000"/>
              <w:left w:val="single" w:sz="5" w:space="0" w:color="000000"/>
              <w:bottom w:val="single" w:sz="5" w:space="0" w:color="000000"/>
              <w:right w:val="single" w:sz="5" w:space="0" w:color="000000"/>
            </w:tcBorders>
            <w:shd w:val="clear" w:color="auto" w:fill="auto"/>
          </w:tcPr>
          <w:p w:rsidR="007721B9" w:rsidRPr="007721B9" w:rsidRDefault="007721B9" w:rsidP="007721B9">
            <w:pPr>
              <w:tabs>
                <w:tab w:val="left" w:pos="1440"/>
              </w:tabs>
              <w:overflowPunct w:val="0"/>
              <w:spacing w:line="361" w:lineRule="exact"/>
              <w:jc w:val="center"/>
              <w:rPr>
                <w:rFonts w:cs="Times New Roman"/>
                <w:kern w:val="0"/>
                <w:szCs w:val="28"/>
                <w:lang w:eastAsia="en-US"/>
              </w:rPr>
            </w:pPr>
            <w:r w:rsidRPr="007721B9">
              <w:rPr>
                <w:rFonts w:eastAsia="Times New Roman" w:cs="Times New Roman"/>
                <w:b/>
                <w:bCs/>
                <w:kern w:val="0"/>
                <w:szCs w:val="28"/>
                <w:lang w:eastAsia="en-US"/>
              </w:rPr>
              <w:t>20</w:t>
            </w:r>
            <w:r w:rsidRPr="007721B9">
              <w:rPr>
                <w:rFonts w:eastAsia="新細明體" w:cs="Times New Roman"/>
                <w:b/>
                <w:bCs/>
                <w:kern w:val="0"/>
                <w:szCs w:val="28"/>
                <w:lang w:eastAsia="zh-HK"/>
              </w:rPr>
              <w:t>17</w:t>
            </w:r>
            <w:r w:rsidRPr="007721B9">
              <w:rPr>
                <w:rFonts w:cs="Times New Roman"/>
                <w:kern w:val="0"/>
                <w:szCs w:val="28"/>
                <w:lang w:eastAsia="en-US"/>
              </w:rPr>
              <w:t>年</w:t>
            </w:r>
          </w:p>
        </w:tc>
        <w:tc>
          <w:tcPr>
            <w:tcW w:w="1245" w:type="dxa"/>
            <w:tcBorders>
              <w:top w:val="single" w:sz="5" w:space="0" w:color="000000"/>
              <w:left w:val="single" w:sz="5" w:space="0" w:color="000000"/>
              <w:bottom w:val="single" w:sz="5" w:space="0" w:color="000000"/>
              <w:right w:val="single" w:sz="5" w:space="0" w:color="000000"/>
            </w:tcBorders>
            <w:shd w:val="clear" w:color="auto" w:fill="auto"/>
          </w:tcPr>
          <w:p w:rsidR="007721B9" w:rsidRPr="007721B9" w:rsidRDefault="007721B9" w:rsidP="007721B9">
            <w:pPr>
              <w:tabs>
                <w:tab w:val="left" w:pos="1440"/>
              </w:tabs>
              <w:overflowPunct w:val="0"/>
              <w:spacing w:line="361" w:lineRule="exact"/>
              <w:jc w:val="center"/>
              <w:rPr>
                <w:rFonts w:cs="Times New Roman"/>
                <w:kern w:val="0"/>
                <w:szCs w:val="28"/>
                <w:lang w:eastAsia="zh-HK"/>
              </w:rPr>
            </w:pPr>
            <w:r w:rsidRPr="007721B9">
              <w:rPr>
                <w:rFonts w:eastAsia="Times New Roman" w:cs="Times New Roman"/>
                <w:b/>
                <w:bCs/>
                <w:kern w:val="0"/>
                <w:szCs w:val="28"/>
                <w:lang w:eastAsia="en-US"/>
              </w:rPr>
              <w:t>20</w:t>
            </w:r>
            <w:r w:rsidRPr="007721B9">
              <w:rPr>
                <w:rFonts w:eastAsia="新細明體" w:cs="Times New Roman"/>
                <w:b/>
                <w:bCs/>
                <w:kern w:val="0"/>
                <w:szCs w:val="28"/>
                <w:lang w:eastAsia="zh-HK"/>
              </w:rPr>
              <w:t>18</w:t>
            </w:r>
            <w:r w:rsidRPr="007721B9">
              <w:rPr>
                <w:rFonts w:cs="Times New Roman"/>
                <w:kern w:val="0"/>
                <w:szCs w:val="28"/>
                <w:lang w:eastAsia="en-US"/>
              </w:rPr>
              <w:t>年</w:t>
            </w:r>
          </w:p>
        </w:tc>
      </w:tr>
      <w:tr w:rsidR="007721B9" w:rsidRPr="007721B9" w:rsidTr="00E22C88">
        <w:trPr>
          <w:trHeight w:hRule="exact" w:val="410"/>
        </w:trPr>
        <w:tc>
          <w:tcPr>
            <w:tcW w:w="18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5C3CDA">
            <w:pPr>
              <w:tabs>
                <w:tab w:val="left" w:pos="1440"/>
              </w:tabs>
              <w:overflowPunct w:val="0"/>
              <w:spacing w:line="0" w:lineRule="atLeast"/>
              <w:ind w:left="330"/>
              <w:rPr>
                <w:rFonts w:cs="Times New Roman"/>
                <w:kern w:val="0"/>
                <w:szCs w:val="28"/>
                <w:lang w:eastAsia="en-US"/>
              </w:rPr>
            </w:pPr>
            <w:r w:rsidRPr="007721B9">
              <w:rPr>
                <w:rFonts w:cs="Times New Roman"/>
                <w:kern w:val="0"/>
                <w:szCs w:val="28"/>
                <w:lang w:eastAsia="en-US"/>
              </w:rPr>
              <w:t>身體虐待</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Times New Roman" w:cs="Times New Roman"/>
                <w:kern w:val="0"/>
                <w:szCs w:val="28"/>
                <w:lang w:eastAsia="en-US"/>
              </w:rPr>
            </w:pPr>
            <w:r w:rsidRPr="007721B9">
              <w:rPr>
                <w:rFonts w:eastAsia="Times New Roman" w:cs="Times New Roman"/>
                <w:kern w:val="0"/>
                <w:szCs w:val="28"/>
                <w:lang w:eastAsia="en-US"/>
              </w:rPr>
              <w:t>413</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424</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378</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374</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493</w:t>
            </w:r>
          </w:p>
        </w:tc>
      </w:tr>
      <w:tr w:rsidR="007721B9" w:rsidRPr="007721B9" w:rsidTr="00E22C88">
        <w:trPr>
          <w:trHeight w:hRule="exact" w:val="410"/>
        </w:trPr>
        <w:tc>
          <w:tcPr>
            <w:tcW w:w="18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5C3CDA">
            <w:pPr>
              <w:tabs>
                <w:tab w:val="left" w:pos="1440"/>
              </w:tabs>
              <w:overflowPunct w:val="0"/>
              <w:spacing w:line="0" w:lineRule="atLeast"/>
              <w:ind w:left="330"/>
              <w:rPr>
                <w:rFonts w:cs="Times New Roman"/>
                <w:kern w:val="0"/>
                <w:szCs w:val="28"/>
                <w:lang w:eastAsia="en-US"/>
              </w:rPr>
            </w:pPr>
            <w:r w:rsidRPr="007721B9">
              <w:rPr>
                <w:rFonts w:cs="Times New Roman"/>
                <w:kern w:val="0"/>
                <w:szCs w:val="28"/>
                <w:lang w:eastAsia="en-US"/>
              </w:rPr>
              <w:t>疏忽照顧</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122</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139</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182</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229</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237</w:t>
            </w:r>
          </w:p>
        </w:tc>
      </w:tr>
      <w:tr w:rsidR="007721B9" w:rsidRPr="007721B9" w:rsidTr="00E22C88">
        <w:trPr>
          <w:trHeight w:hRule="exact" w:val="409"/>
        </w:trPr>
        <w:tc>
          <w:tcPr>
            <w:tcW w:w="18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5C3CDA">
            <w:pPr>
              <w:tabs>
                <w:tab w:val="left" w:pos="1440"/>
              </w:tabs>
              <w:overflowPunct w:val="0"/>
              <w:spacing w:line="0" w:lineRule="atLeast"/>
              <w:ind w:left="330"/>
              <w:rPr>
                <w:rFonts w:cs="Times New Roman"/>
                <w:kern w:val="0"/>
                <w:szCs w:val="28"/>
                <w:lang w:eastAsia="en-US"/>
              </w:rPr>
            </w:pPr>
            <w:r w:rsidRPr="007721B9">
              <w:rPr>
                <w:rFonts w:cs="Times New Roman"/>
                <w:kern w:val="0"/>
                <w:szCs w:val="28"/>
                <w:lang w:eastAsia="en-US"/>
              </w:rPr>
              <w:t>性侵犯</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285</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273</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294</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315</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297</w:t>
            </w:r>
          </w:p>
        </w:tc>
      </w:tr>
      <w:tr w:rsidR="007721B9" w:rsidRPr="007721B9" w:rsidTr="00E22C88">
        <w:trPr>
          <w:trHeight w:hRule="exact" w:val="410"/>
        </w:trPr>
        <w:tc>
          <w:tcPr>
            <w:tcW w:w="18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5C3CDA">
            <w:pPr>
              <w:tabs>
                <w:tab w:val="left" w:pos="1440"/>
              </w:tabs>
              <w:overflowPunct w:val="0"/>
              <w:spacing w:line="0" w:lineRule="atLeast"/>
              <w:ind w:left="330"/>
              <w:rPr>
                <w:rFonts w:cs="Times New Roman"/>
                <w:kern w:val="0"/>
                <w:szCs w:val="28"/>
                <w:lang w:eastAsia="en-US"/>
              </w:rPr>
            </w:pPr>
            <w:r w:rsidRPr="007721B9">
              <w:rPr>
                <w:rFonts w:cs="Times New Roman"/>
                <w:kern w:val="0"/>
                <w:szCs w:val="28"/>
                <w:lang w:eastAsia="en-US"/>
              </w:rPr>
              <w:t>精神虐待</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6</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7</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10</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5</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11</w:t>
            </w:r>
          </w:p>
        </w:tc>
      </w:tr>
      <w:tr w:rsidR="007721B9" w:rsidRPr="007721B9" w:rsidTr="00E22C88">
        <w:trPr>
          <w:trHeight w:hRule="exact" w:val="410"/>
        </w:trPr>
        <w:tc>
          <w:tcPr>
            <w:tcW w:w="18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5C3CDA">
            <w:pPr>
              <w:tabs>
                <w:tab w:val="left" w:pos="1440"/>
              </w:tabs>
              <w:overflowPunct w:val="0"/>
              <w:spacing w:line="0" w:lineRule="atLeast"/>
              <w:ind w:left="330"/>
              <w:rPr>
                <w:rFonts w:cs="Times New Roman"/>
                <w:kern w:val="0"/>
                <w:szCs w:val="28"/>
                <w:lang w:eastAsia="en-US"/>
              </w:rPr>
            </w:pPr>
            <w:r w:rsidRPr="007721B9">
              <w:rPr>
                <w:rFonts w:cs="Times New Roman"/>
                <w:kern w:val="0"/>
                <w:szCs w:val="28"/>
                <w:lang w:eastAsia="en-US"/>
              </w:rPr>
              <w:t>多種虐待</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30</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31</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28</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24</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kern w:val="0"/>
                <w:szCs w:val="28"/>
                <w:lang w:eastAsia="zh-HK"/>
              </w:rPr>
              <w:t>26</w:t>
            </w:r>
          </w:p>
        </w:tc>
      </w:tr>
      <w:tr w:rsidR="007721B9" w:rsidRPr="007721B9" w:rsidTr="00E22C88">
        <w:trPr>
          <w:trHeight w:hRule="exact" w:val="410"/>
        </w:trPr>
        <w:tc>
          <w:tcPr>
            <w:tcW w:w="18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5C3CDA">
            <w:pPr>
              <w:tabs>
                <w:tab w:val="left" w:pos="1440"/>
              </w:tabs>
              <w:overflowPunct w:val="0"/>
              <w:spacing w:line="0" w:lineRule="atLeast"/>
              <w:ind w:left="330"/>
              <w:rPr>
                <w:rFonts w:cs="Times New Roman"/>
                <w:b/>
                <w:kern w:val="0"/>
                <w:szCs w:val="28"/>
                <w:lang w:eastAsia="en-US"/>
              </w:rPr>
            </w:pPr>
            <w:r w:rsidRPr="007721B9">
              <w:rPr>
                <w:rFonts w:cs="Times New Roman"/>
                <w:b/>
                <w:spacing w:val="1"/>
                <w:kern w:val="0"/>
                <w:szCs w:val="28"/>
                <w:lang w:eastAsia="en-US"/>
              </w:rPr>
              <w:t>合計</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b/>
                <w:bCs/>
                <w:kern w:val="0"/>
                <w:szCs w:val="28"/>
                <w:lang w:eastAsia="zh-HK"/>
              </w:rPr>
              <w:t>856</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b/>
                <w:bCs/>
                <w:kern w:val="0"/>
                <w:szCs w:val="28"/>
                <w:lang w:eastAsia="zh-HK"/>
              </w:rPr>
              <w:t>874</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b/>
                <w:bCs/>
                <w:kern w:val="0"/>
                <w:szCs w:val="28"/>
                <w:lang w:eastAsia="zh-HK"/>
              </w:rPr>
              <w:t>892</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kern w:val="0"/>
                <w:szCs w:val="28"/>
                <w:lang w:eastAsia="zh-HK"/>
              </w:rPr>
            </w:pPr>
            <w:r w:rsidRPr="007721B9">
              <w:rPr>
                <w:rFonts w:eastAsia="新細明體" w:cs="Times New Roman"/>
                <w:b/>
                <w:bCs/>
                <w:kern w:val="0"/>
                <w:szCs w:val="28"/>
                <w:lang w:eastAsia="zh-HK"/>
              </w:rPr>
              <w:t>947</w:t>
            </w:r>
          </w:p>
        </w:tc>
        <w:tc>
          <w:tcPr>
            <w:tcW w:w="1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721B9" w:rsidRPr="007721B9" w:rsidRDefault="007721B9" w:rsidP="007721B9">
            <w:pPr>
              <w:tabs>
                <w:tab w:val="left" w:pos="1440"/>
              </w:tabs>
              <w:overflowPunct w:val="0"/>
              <w:spacing w:line="0" w:lineRule="atLeast"/>
              <w:ind w:right="-1"/>
              <w:jc w:val="center"/>
              <w:rPr>
                <w:rFonts w:eastAsia="新細明體" w:cs="Times New Roman"/>
                <w:b/>
                <w:bCs/>
                <w:kern w:val="0"/>
                <w:szCs w:val="28"/>
                <w:lang w:eastAsia="zh-HK"/>
              </w:rPr>
            </w:pPr>
            <w:r w:rsidRPr="007721B9">
              <w:rPr>
                <w:rFonts w:eastAsia="新細明體" w:cs="Times New Roman"/>
                <w:b/>
                <w:bCs/>
                <w:kern w:val="0"/>
                <w:szCs w:val="28"/>
                <w:lang w:eastAsia="zh-HK"/>
              </w:rPr>
              <w:t>1 064</w:t>
            </w:r>
          </w:p>
        </w:tc>
      </w:tr>
    </w:tbl>
    <w:p w:rsidR="007721B9" w:rsidRPr="007721B9" w:rsidRDefault="007721B9" w:rsidP="007721B9">
      <w:pPr>
        <w:tabs>
          <w:tab w:val="left" w:pos="1440"/>
        </w:tabs>
        <w:adjustRightInd w:val="0"/>
        <w:snapToGrid w:val="0"/>
        <w:spacing w:line="400" w:lineRule="atLeast"/>
        <w:jc w:val="both"/>
        <w:rPr>
          <w:rFonts w:cs="Times New Roman"/>
          <w:bCs/>
          <w:kern w:val="0"/>
          <w:szCs w:val="28"/>
        </w:rPr>
      </w:pPr>
    </w:p>
    <w:p w:rsidR="007721B9" w:rsidRDefault="007721B9" w:rsidP="00222D16">
      <w:pPr>
        <w:jc w:val="both"/>
        <w:rPr>
          <w:rFonts w:cs="Times New Roman"/>
          <w:b/>
          <w:szCs w:val="28"/>
        </w:rPr>
        <w:sectPr w:rsidR="007721B9" w:rsidSect="007721B9">
          <w:footerReference w:type="default" r:id="rId49"/>
          <w:pgSz w:w="11906" w:h="16838"/>
          <w:pgMar w:top="1440" w:right="1800" w:bottom="1440" w:left="1800" w:header="720" w:footer="720" w:gutter="0"/>
          <w:pgNumType w:start="1"/>
          <w:cols w:space="425"/>
          <w:docGrid w:type="lines" w:linePitch="381"/>
        </w:sectPr>
      </w:pPr>
    </w:p>
    <w:p w:rsidR="00BC2CCC" w:rsidRDefault="00BC2CCC" w:rsidP="00BC2CCC">
      <w:pPr>
        <w:snapToGrid w:val="0"/>
        <w:spacing w:line="400" w:lineRule="atLeast"/>
        <w:jc w:val="right"/>
        <w:rPr>
          <w:rFonts w:cs="Times New Roman"/>
          <w:b/>
          <w:szCs w:val="28"/>
        </w:rPr>
      </w:pPr>
      <w:r w:rsidRPr="00655827">
        <w:rPr>
          <w:rFonts w:cs="Times New Roman"/>
          <w:b/>
          <w:szCs w:val="28"/>
          <w:lang w:eastAsia="zh-HK"/>
        </w:rPr>
        <w:lastRenderedPageBreak/>
        <w:t>附件</w:t>
      </w:r>
      <w:r w:rsidRPr="00655827">
        <w:rPr>
          <w:rFonts w:cs="Times New Roman"/>
          <w:b/>
          <w:szCs w:val="28"/>
        </w:rPr>
        <w:t>10</w:t>
      </w:r>
      <w:r>
        <w:rPr>
          <w:rFonts w:cs="Times New Roman"/>
          <w:b/>
          <w:szCs w:val="28"/>
        </w:rPr>
        <w:t>I</w:t>
      </w:r>
    </w:p>
    <w:p w:rsidR="00BC2CCC" w:rsidRDefault="00BC2CCC" w:rsidP="00BC2CCC">
      <w:pPr>
        <w:snapToGrid w:val="0"/>
        <w:spacing w:line="400" w:lineRule="atLeast"/>
        <w:jc w:val="right"/>
        <w:rPr>
          <w:rFonts w:cs="Times New Roman"/>
          <w:b/>
          <w:szCs w:val="28"/>
        </w:rPr>
      </w:pPr>
    </w:p>
    <w:p w:rsidR="00BC2CCC" w:rsidRPr="00956168" w:rsidRDefault="00BC2CCC" w:rsidP="00BC2CCC">
      <w:pPr>
        <w:tabs>
          <w:tab w:val="left" w:pos="1440"/>
        </w:tabs>
        <w:adjustRightInd w:val="0"/>
        <w:snapToGrid w:val="0"/>
        <w:spacing w:line="400" w:lineRule="atLeast"/>
        <w:jc w:val="center"/>
        <w:rPr>
          <w:rFonts w:cs="Times New Roman"/>
          <w:bCs/>
          <w:kern w:val="0"/>
          <w:szCs w:val="28"/>
        </w:rPr>
      </w:pPr>
      <w:r w:rsidRPr="00956168">
        <w:rPr>
          <w:rFonts w:hint="eastAsia"/>
          <w:b/>
          <w:szCs w:val="28"/>
        </w:rPr>
        <w:t>照顧及支援長者</w:t>
      </w:r>
    </w:p>
    <w:p w:rsidR="00BC2CCC" w:rsidRDefault="00BC2CCC" w:rsidP="00BC2CCC">
      <w:pPr>
        <w:tabs>
          <w:tab w:val="left" w:pos="1440"/>
        </w:tabs>
        <w:adjustRightInd w:val="0"/>
        <w:snapToGrid w:val="0"/>
        <w:spacing w:line="400" w:lineRule="atLeast"/>
        <w:jc w:val="both"/>
        <w:rPr>
          <w:rFonts w:cs="Times New Roman"/>
          <w:bCs/>
          <w:kern w:val="0"/>
          <w:szCs w:val="28"/>
          <w:u w:val="single"/>
        </w:rPr>
      </w:pPr>
    </w:p>
    <w:p w:rsidR="00BC2CCC" w:rsidRPr="00956168" w:rsidRDefault="00BC2CCC" w:rsidP="00BC2CCC">
      <w:pPr>
        <w:tabs>
          <w:tab w:val="left" w:pos="1440"/>
        </w:tabs>
        <w:adjustRightInd w:val="0"/>
        <w:snapToGrid w:val="0"/>
        <w:spacing w:line="400" w:lineRule="atLeast"/>
        <w:jc w:val="both"/>
        <w:rPr>
          <w:rFonts w:cs="Times New Roman"/>
          <w:bCs/>
          <w:kern w:val="0"/>
          <w:szCs w:val="28"/>
          <w:u w:val="single"/>
        </w:rPr>
      </w:pPr>
      <w:r w:rsidRPr="00956168">
        <w:rPr>
          <w:rFonts w:cs="Times New Roman" w:hint="eastAsia"/>
          <w:bCs/>
          <w:kern w:val="0"/>
          <w:szCs w:val="28"/>
          <w:u w:val="single"/>
        </w:rPr>
        <w:t>為居於社區的長者提供的服務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i/>
          <w:kern w:val="0"/>
          <w:szCs w:val="28"/>
        </w:rPr>
      </w:pPr>
      <w:r w:rsidRPr="00956168">
        <w:rPr>
          <w:rFonts w:cs="Times New Roman" w:hint="eastAsia"/>
          <w:bCs/>
          <w:i/>
          <w:kern w:val="0"/>
          <w:szCs w:val="28"/>
        </w:rPr>
        <w:t>長者社區支援及照顧服務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w:t>
      </w:r>
      <w:r w:rsidRPr="00956168">
        <w:rPr>
          <w:rFonts w:cs="Times New Roman"/>
          <w:bCs/>
          <w:kern w:val="0"/>
          <w:szCs w:val="28"/>
        </w:rPr>
        <w:tab/>
      </w:r>
      <w:r w:rsidRPr="00956168">
        <w:rPr>
          <w:rFonts w:cs="Times New Roman" w:hint="eastAsia"/>
          <w:bCs/>
          <w:kern w:val="0"/>
          <w:szCs w:val="28"/>
        </w:rPr>
        <w:t>政府的安老政策是「居家安老為本，院舍照顧為後援」。政府一直透過不同的社區支援及照顧服務，協助長者居家安老。在社區支援服務方面，截至</w:t>
      </w:r>
      <w:r w:rsidRPr="00956168">
        <w:rPr>
          <w:rFonts w:cs="Times New Roman"/>
          <w:bCs/>
          <w:kern w:val="0"/>
          <w:szCs w:val="28"/>
        </w:rPr>
        <w:t>2018</w:t>
      </w:r>
      <w:r w:rsidRPr="00956168">
        <w:rPr>
          <w:rFonts w:cs="Times New Roman" w:hint="eastAsia"/>
          <w:bCs/>
          <w:kern w:val="0"/>
          <w:szCs w:val="28"/>
        </w:rPr>
        <w:t>年</w:t>
      </w:r>
      <w:r w:rsidRPr="00956168">
        <w:rPr>
          <w:rFonts w:cs="Times New Roman"/>
          <w:bCs/>
          <w:kern w:val="0"/>
          <w:szCs w:val="28"/>
        </w:rPr>
        <w:t>12</w:t>
      </w:r>
      <w:r w:rsidRPr="00956168">
        <w:rPr>
          <w:rFonts w:cs="Times New Roman" w:hint="eastAsia"/>
          <w:bCs/>
          <w:kern w:val="0"/>
          <w:szCs w:val="28"/>
        </w:rPr>
        <w:t>月底，全港共有</w:t>
      </w:r>
      <w:r w:rsidRPr="00956168">
        <w:rPr>
          <w:rFonts w:cs="Times New Roman"/>
          <w:bCs/>
          <w:kern w:val="0"/>
          <w:szCs w:val="28"/>
        </w:rPr>
        <w:t>210</w:t>
      </w:r>
      <w:r w:rsidRPr="00956168">
        <w:rPr>
          <w:rFonts w:cs="Times New Roman" w:hint="eastAsia"/>
          <w:bCs/>
          <w:kern w:val="0"/>
          <w:szCs w:val="28"/>
        </w:rPr>
        <w:t>間津助長者中心，在地區層面為長者及護老者提供支援服務，例如安排社交康樂活動、提供資訊、輔導及轉介、協助處理長期護理服務申請、情緒支援、膳食服務以及護老者培訓等。各長者中心亦為隱蔽及需要照顧的長者提供外展服務，鼓勵及協助他們建立社交生活，並在有需時為他們提供轉介及支援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w:t>
      </w:r>
      <w:r w:rsidRPr="00956168">
        <w:rPr>
          <w:rFonts w:cs="Times New Roman"/>
          <w:bCs/>
          <w:kern w:val="0"/>
          <w:szCs w:val="28"/>
        </w:rPr>
        <w:tab/>
      </w:r>
      <w:r w:rsidRPr="00956168">
        <w:rPr>
          <w:rFonts w:cs="Times New Roman" w:hint="eastAsia"/>
          <w:bCs/>
          <w:kern w:val="0"/>
          <w:szCs w:val="28"/>
        </w:rPr>
        <w:t>政府亦為有長期護理需要的長者提供一系列以中心為本和家居為本的資助社區照顧服務，包括綜合家居照顧服務（普通個案），以及為經安老服務評估機制確定為中度或嚴重程度缺損的體弱長者，提供的綜合家居照顧服務（體弱個案）和改善家居及社區照顧服務。綜合家居照顧服務和改善家居及社區照顧服務提供的支援服務包括個人照顧、護理服務、送飯、復康運動和護送等。截至</w:t>
      </w:r>
      <w:r w:rsidRPr="00956168">
        <w:rPr>
          <w:rFonts w:cs="Times New Roman"/>
          <w:bCs/>
          <w:kern w:val="0"/>
          <w:szCs w:val="28"/>
        </w:rPr>
        <w:t>2018</w:t>
      </w:r>
      <w:r w:rsidRPr="00956168">
        <w:rPr>
          <w:rFonts w:cs="Times New Roman" w:hint="eastAsia"/>
          <w:bCs/>
          <w:kern w:val="0"/>
          <w:szCs w:val="28"/>
        </w:rPr>
        <w:t>年</w:t>
      </w:r>
      <w:r w:rsidRPr="00956168">
        <w:rPr>
          <w:rFonts w:cs="Times New Roman"/>
          <w:bCs/>
          <w:kern w:val="0"/>
          <w:szCs w:val="28"/>
        </w:rPr>
        <w:t>12</w:t>
      </w:r>
      <w:r w:rsidRPr="00956168">
        <w:rPr>
          <w:rFonts w:cs="Times New Roman" w:hint="eastAsia"/>
          <w:bCs/>
          <w:kern w:val="0"/>
          <w:szCs w:val="28"/>
        </w:rPr>
        <w:t>月底，全港共有</w:t>
      </w:r>
      <w:r w:rsidRPr="00956168">
        <w:rPr>
          <w:rFonts w:cs="Times New Roman"/>
          <w:bCs/>
          <w:kern w:val="0"/>
          <w:szCs w:val="28"/>
        </w:rPr>
        <w:t>76</w:t>
      </w:r>
      <w:r w:rsidRPr="00956168">
        <w:rPr>
          <w:rFonts w:cs="Times New Roman" w:hint="eastAsia"/>
          <w:bCs/>
          <w:kern w:val="0"/>
          <w:szCs w:val="28"/>
        </w:rPr>
        <w:t>間長者日間護理中心／單位及</w:t>
      </w:r>
      <w:r w:rsidRPr="00956168">
        <w:rPr>
          <w:rFonts w:cs="Times New Roman"/>
          <w:bCs/>
          <w:kern w:val="0"/>
          <w:szCs w:val="28"/>
        </w:rPr>
        <w:t>94</w:t>
      </w:r>
      <w:r w:rsidRPr="00956168">
        <w:rPr>
          <w:rFonts w:cs="Times New Roman" w:hint="eastAsia"/>
          <w:bCs/>
          <w:kern w:val="0"/>
          <w:szCs w:val="28"/>
        </w:rPr>
        <w:t>支家居照顧服務隊，為有需要的長者提供服務。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3.</w:t>
      </w:r>
      <w:r w:rsidRPr="00956168">
        <w:rPr>
          <w:rFonts w:cs="Times New Roman"/>
          <w:bCs/>
          <w:kern w:val="0"/>
          <w:szCs w:val="28"/>
        </w:rPr>
        <w:tab/>
      </w:r>
      <w:r w:rsidRPr="00956168">
        <w:rPr>
          <w:rFonts w:cs="Times New Roman" w:hint="eastAsia"/>
          <w:bCs/>
          <w:kern w:val="0"/>
          <w:szCs w:val="28"/>
        </w:rPr>
        <w:t>政府正推行多個試驗計劃，以滿足居於社區的長者的不同需要，並為他們提供選擇。近年推出的試驗計劃包括：</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992DFC" w:rsidP="00992DFC">
      <w:pPr>
        <w:tabs>
          <w:tab w:val="left" w:pos="720"/>
          <w:tab w:val="left" w:pos="1440"/>
        </w:tabs>
        <w:adjustRightInd w:val="0"/>
        <w:snapToGrid w:val="0"/>
        <w:spacing w:line="400" w:lineRule="atLeast"/>
        <w:ind w:left="1440"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(a)</w:t>
      </w:r>
      <w:r w:rsidR="00BC2CCC" w:rsidRPr="00956168">
        <w:rPr>
          <w:rFonts w:cs="Times New Roman"/>
          <w:bCs/>
          <w:kern w:val="0"/>
          <w:szCs w:val="28"/>
        </w:rPr>
        <w:tab/>
      </w:r>
      <w:r w:rsidR="00BC2CCC" w:rsidRPr="00956168">
        <w:rPr>
          <w:rFonts w:cs="Times New Roman" w:hint="eastAsia"/>
          <w:b/>
          <w:bCs/>
          <w:kern w:val="0"/>
          <w:szCs w:val="28"/>
        </w:rPr>
        <w:t>「長者社區照顧服務券試驗計劃」</w:t>
      </w:r>
      <w:r w:rsidR="00BC2CCC" w:rsidRPr="00956168">
        <w:rPr>
          <w:rFonts w:cs="Times New Roman" w:hint="eastAsia"/>
          <w:bCs/>
          <w:kern w:val="0"/>
          <w:szCs w:val="28"/>
        </w:rPr>
        <w:t>：政府於</w:t>
      </w:r>
      <w:r w:rsidR="00BC2CCC" w:rsidRPr="00956168">
        <w:rPr>
          <w:rFonts w:cs="Times New Roman"/>
          <w:bCs/>
          <w:kern w:val="0"/>
          <w:szCs w:val="28"/>
        </w:rPr>
        <w:t>2013</w:t>
      </w:r>
      <w:r w:rsidR="00BC2CCC" w:rsidRPr="00956168">
        <w:rPr>
          <w:rFonts w:cs="Times New Roman" w:hint="eastAsia"/>
          <w:bCs/>
          <w:kern w:val="0"/>
          <w:szCs w:val="28"/>
        </w:rPr>
        <w:t>年</w:t>
      </w:r>
      <w:r w:rsidR="00BC2CCC" w:rsidRPr="00956168">
        <w:rPr>
          <w:rFonts w:cs="Times New Roman"/>
          <w:bCs/>
          <w:kern w:val="0"/>
          <w:szCs w:val="28"/>
        </w:rPr>
        <w:t>9</w:t>
      </w:r>
      <w:r w:rsidR="00BC2CCC" w:rsidRPr="00956168">
        <w:rPr>
          <w:rFonts w:cs="Times New Roman" w:hint="eastAsia"/>
          <w:bCs/>
          <w:kern w:val="0"/>
          <w:szCs w:val="28"/>
        </w:rPr>
        <w:t>月推出試驗計劃，採用「錢跟人走」的資助模式，讓合資格長者因應個人需要，使用社區照顧服務券（社區券）選擇合適的社區照顧服務。更具彈性的第二階段試驗計劃於</w:t>
      </w:r>
      <w:r w:rsidR="00BC2CCC" w:rsidRPr="00956168">
        <w:rPr>
          <w:rFonts w:cs="Times New Roman"/>
          <w:bCs/>
          <w:kern w:val="0"/>
          <w:szCs w:val="28"/>
        </w:rPr>
        <w:t>2016</w:t>
      </w:r>
      <w:r w:rsidR="00BC2CCC" w:rsidRPr="00956168">
        <w:rPr>
          <w:rFonts w:cs="Times New Roman" w:hint="eastAsia"/>
          <w:bCs/>
          <w:kern w:val="0"/>
          <w:szCs w:val="28"/>
        </w:rPr>
        <w:t>年</w:t>
      </w:r>
      <w:r w:rsidR="00BC2CCC" w:rsidRPr="00956168">
        <w:rPr>
          <w:rFonts w:cs="Times New Roman"/>
          <w:bCs/>
          <w:kern w:val="0"/>
          <w:szCs w:val="28"/>
        </w:rPr>
        <w:t>10</w:t>
      </w:r>
      <w:r w:rsidR="00BC2CCC" w:rsidRPr="00956168">
        <w:rPr>
          <w:rFonts w:cs="Times New Roman" w:hint="eastAsia"/>
          <w:bCs/>
          <w:kern w:val="0"/>
          <w:szCs w:val="28"/>
        </w:rPr>
        <w:t>月開展，至</w:t>
      </w:r>
      <w:r w:rsidR="00BC2CCC" w:rsidRPr="00956168">
        <w:rPr>
          <w:rFonts w:cs="Times New Roman"/>
          <w:bCs/>
          <w:kern w:val="0"/>
          <w:szCs w:val="28"/>
        </w:rPr>
        <w:t>2019-20</w:t>
      </w:r>
      <w:r w:rsidR="00BC2CCC" w:rsidRPr="00956168">
        <w:rPr>
          <w:rFonts w:cs="Times New Roman" w:hint="eastAsia"/>
          <w:bCs/>
          <w:kern w:val="0"/>
          <w:szCs w:val="28"/>
        </w:rPr>
        <w:t>年度將合共提供總數</w:t>
      </w:r>
      <w:r w:rsidR="00BC2CCC" w:rsidRPr="00956168">
        <w:rPr>
          <w:rFonts w:cs="Times New Roman"/>
          <w:bCs/>
          <w:kern w:val="0"/>
          <w:szCs w:val="28"/>
        </w:rPr>
        <w:t>7</w:t>
      </w:r>
      <w:r w:rsidR="00BC2CCC">
        <w:rPr>
          <w:rFonts w:cs="Times New Roman"/>
          <w:bCs/>
          <w:kern w:val="0"/>
          <w:szCs w:val="28"/>
        </w:rPr>
        <w:t> </w:t>
      </w:r>
      <w:r w:rsidR="00BC2CCC" w:rsidRPr="00956168">
        <w:rPr>
          <w:rFonts w:cs="Times New Roman"/>
          <w:bCs/>
          <w:kern w:val="0"/>
          <w:szCs w:val="28"/>
        </w:rPr>
        <w:t>000</w:t>
      </w:r>
      <w:r w:rsidR="00BC2CCC" w:rsidRPr="00956168">
        <w:rPr>
          <w:rFonts w:cs="Times New Roman" w:hint="eastAsia"/>
          <w:bCs/>
          <w:kern w:val="0"/>
          <w:szCs w:val="28"/>
        </w:rPr>
        <w:lastRenderedPageBreak/>
        <w:t>張社區券，以支援身體機能有中度或嚴重程度缺損的長者居家安老。</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992DFC" w:rsidP="00992DFC">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(b)</w:t>
      </w:r>
      <w:r w:rsidR="00BC2CCC" w:rsidRPr="00956168">
        <w:rPr>
          <w:rFonts w:cs="Times New Roman"/>
          <w:bCs/>
          <w:kern w:val="0"/>
          <w:szCs w:val="28"/>
        </w:rPr>
        <w:tab/>
      </w:r>
      <w:r w:rsidR="00BC2CCC" w:rsidRPr="00956168">
        <w:rPr>
          <w:rFonts w:cs="Times New Roman" w:hint="eastAsia"/>
          <w:b/>
          <w:bCs/>
          <w:kern w:val="0"/>
          <w:szCs w:val="28"/>
        </w:rPr>
        <w:t>「支援身體機能有輕度缺損的長者」試驗計劃</w:t>
      </w:r>
      <w:r w:rsidR="00BC2CCC" w:rsidRPr="00956168">
        <w:rPr>
          <w:rFonts w:cs="Times New Roman" w:hint="eastAsia"/>
          <w:bCs/>
          <w:kern w:val="0"/>
          <w:szCs w:val="28"/>
        </w:rPr>
        <w:t>：試驗計劃</w:t>
      </w:r>
      <w:r w:rsidR="00BC2CCC" w:rsidRPr="00BC2CCC">
        <w:rPr>
          <w:rFonts w:cs="Times New Roman" w:hint="eastAsia"/>
          <w:bCs/>
          <w:spacing w:val="-2"/>
          <w:kern w:val="0"/>
          <w:szCs w:val="28"/>
        </w:rPr>
        <w:t>於</w:t>
      </w:r>
      <w:r w:rsidR="00BC2CCC" w:rsidRPr="00BC2CCC">
        <w:rPr>
          <w:rFonts w:cs="Times New Roman"/>
          <w:bCs/>
          <w:spacing w:val="-2"/>
          <w:kern w:val="0"/>
          <w:szCs w:val="28"/>
        </w:rPr>
        <w:t>2017</w:t>
      </w:r>
      <w:r w:rsidR="00BC2CCC" w:rsidRPr="00BC2CCC">
        <w:rPr>
          <w:rFonts w:cs="Times New Roman" w:hint="eastAsia"/>
          <w:bCs/>
          <w:spacing w:val="-2"/>
          <w:kern w:val="0"/>
          <w:szCs w:val="28"/>
        </w:rPr>
        <w:t>年</w:t>
      </w:r>
      <w:r w:rsidR="00BC2CCC" w:rsidRPr="00BC2CCC">
        <w:rPr>
          <w:rFonts w:cs="Times New Roman"/>
          <w:bCs/>
          <w:spacing w:val="-2"/>
          <w:kern w:val="0"/>
          <w:szCs w:val="28"/>
        </w:rPr>
        <w:t>12</w:t>
      </w:r>
      <w:r w:rsidR="00BC2CCC" w:rsidRPr="00BC2CCC">
        <w:rPr>
          <w:rFonts w:cs="Times New Roman" w:hint="eastAsia"/>
          <w:bCs/>
          <w:spacing w:val="-2"/>
          <w:kern w:val="0"/>
          <w:szCs w:val="28"/>
        </w:rPr>
        <w:t>月推出，為全港各區輪候綜合家居照顧服務（普通個案）的長者進行進一步評估，為身體機能有輕度缺損的長者提供額外的服務名額。預計試驗計劃在三年內可提供約</w:t>
      </w:r>
      <w:r w:rsidR="00BC2CCC" w:rsidRPr="00BC2CCC">
        <w:rPr>
          <w:rFonts w:cs="Times New Roman"/>
          <w:bCs/>
          <w:spacing w:val="-2"/>
          <w:kern w:val="0"/>
          <w:szCs w:val="28"/>
        </w:rPr>
        <w:t>4 000</w:t>
      </w:r>
      <w:r w:rsidR="00BC2CCC" w:rsidRPr="00BC2CCC">
        <w:rPr>
          <w:rFonts w:cs="Times New Roman" w:hint="eastAsia"/>
          <w:bCs/>
          <w:spacing w:val="-2"/>
          <w:kern w:val="0"/>
          <w:szCs w:val="28"/>
        </w:rPr>
        <w:t>個服務名額。</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BC2CCC" w:rsidRDefault="00992DFC" w:rsidP="00992DFC">
      <w:pPr>
        <w:tabs>
          <w:tab w:val="left" w:pos="720"/>
          <w:tab w:val="left" w:pos="1440"/>
        </w:tabs>
        <w:adjustRightInd w:val="0"/>
        <w:snapToGrid w:val="0"/>
        <w:spacing w:line="400" w:lineRule="atLeast"/>
        <w:ind w:left="1436" w:hanging="1436"/>
        <w:jc w:val="both"/>
        <w:rPr>
          <w:rFonts w:cs="Times New Roman"/>
          <w:bCs/>
          <w:spacing w:val="-2"/>
          <w:kern w:val="0"/>
          <w:szCs w:val="28"/>
        </w:rPr>
      </w:pPr>
      <w:r>
        <w:rPr>
          <w:rFonts w:cs="Times New Roman"/>
          <w:bCs/>
          <w:kern w:val="0"/>
          <w:szCs w:val="28"/>
        </w:rPr>
        <w:tab/>
      </w:r>
      <w:r w:rsidR="00BC2CCC" w:rsidRPr="00956168">
        <w:rPr>
          <w:rFonts w:cs="Times New Roman"/>
          <w:bCs/>
          <w:kern w:val="0"/>
          <w:szCs w:val="28"/>
        </w:rPr>
        <w:t>(c)</w:t>
      </w:r>
      <w:r w:rsidR="00BC2CCC" w:rsidRPr="00956168">
        <w:rPr>
          <w:rFonts w:cs="Times New Roman"/>
          <w:bCs/>
          <w:kern w:val="0"/>
          <w:szCs w:val="28"/>
        </w:rPr>
        <w:tab/>
      </w:r>
      <w:r w:rsidR="00BC2CCC" w:rsidRPr="00956168">
        <w:rPr>
          <w:rFonts w:cs="Times New Roman" w:hint="eastAsia"/>
          <w:b/>
          <w:bCs/>
          <w:kern w:val="0"/>
          <w:szCs w:val="28"/>
        </w:rPr>
        <w:t>「支援在公立醫院接受治療後離院的長者」試驗計劃</w:t>
      </w:r>
      <w:r w:rsidR="00BC2CCC" w:rsidRPr="00956168">
        <w:rPr>
          <w:rFonts w:cs="Times New Roman" w:hint="eastAsia"/>
          <w:bCs/>
          <w:kern w:val="0"/>
          <w:szCs w:val="28"/>
        </w:rPr>
        <w:t>：</w:t>
      </w:r>
      <w:r w:rsidR="00BC2CCC" w:rsidRPr="00BC2CCC">
        <w:rPr>
          <w:rFonts w:cs="Times New Roman" w:hint="eastAsia"/>
          <w:bCs/>
          <w:spacing w:val="-2"/>
          <w:kern w:val="0"/>
          <w:szCs w:val="28"/>
        </w:rPr>
        <w:t>試驗計劃於</w:t>
      </w:r>
      <w:r w:rsidR="00BC2CCC" w:rsidRPr="00BC2CCC">
        <w:rPr>
          <w:rFonts w:cs="Times New Roman"/>
          <w:bCs/>
          <w:spacing w:val="-2"/>
          <w:kern w:val="0"/>
          <w:szCs w:val="28"/>
        </w:rPr>
        <w:t>2018</w:t>
      </w:r>
      <w:r w:rsidR="00BC2CCC" w:rsidRPr="00BC2CCC">
        <w:rPr>
          <w:rFonts w:cs="Times New Roman" w:hint="eastAsia"/>
          <w:bCs/>
          <w:spacing w:val="-2"/>
          <w:kern w:val="0"/>
          <w:szCs w:val="28"/>
        </w:rPr>
        <w:t>年</w:t>
      </w:r>
      <w:r w:rsidR="00BC2CCC" w:rsidRPr="00BC2CCC">
        <w:rPr>
          <w:rFonts w:cs="Times New Roman"/>
          <w:bCs/>
          <w:spacing w:val="-2"/>
          <w:kern w:val="0"/>
          <w:szCs w:val="28"/>
        </w:rPr>
        <w:t>2</w:t>
      </w:r>
      <w:r w:rsidR="00BC2CCC" w:rsidRPr="00BC2CCC">
        <w:rPr>
          <w:rFonts w:cs="Times New Roman" w:hint="eastAsia"/>
          <w:bCs/>
          <w:spacing w:val="-2"/>
          <w:kern w:val="0"/>
          <w:szCs w:val="28"/>
        </w:rPr>
        <w:t>月推出，透過「醫社合作」的模式，為剛離開公立醫院並需要過渡期護理及支援的長者，提供過渡期院舍住宿照顧及／或社區照顧及支援服務，旨在讓他們在過渡期接受所需的服務後可繼續在熟悉的社區居家安老，避免他們過早長期入住安老院舍。預計試驗計劃在三年內可合共為最少</w:t>
      </w:r>
      <w:r w:rsidR="00BC2CCC" w:rsidRPr="00BC2CCC">
        <w:rPr>
          <w:rFonts w:cs="Times New Roman"/>
          <w:bCs/>
          <w:spacing w:val="-2"/>
          <w:kern w:val="0"/>
          <w:szCs w:val="28"/>
        </w:rPr>
        <w:t>3 200</w:t>
      </w:r>
      <w:r w:rsidR="00BC2CCC" w:rsidRPr="00BC2CCC">
        <w:rPr>
          <w:rFonts w:cs="Times New Roman" w:hint="eastAsia"/>
          <w:bCs/>
          <w:spacing w:val="-2"/>
          <w:kern w:val="0"/>
          <w:szCs w:val="28"/>
        </w:rPr>
        <w:t>名長者提供支援。</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4.</w:t>
      </w:r>
      <w:r w:rsidRPr="00956168">
        <w:rPr>
          <w:rFonts w:cs="Times New Roman"/>
          <w:bCs/>
          <w:kern w:val="0"/>
          <w:szCs w:val="28"/>
        </w:rPr>
        <w:tab/>
      </w:r>
      <w:r w:rsidRPr="00956168">
        <w:rPr>
          <w:rFonts w:cs="Times New Roman" w:hint="eastAsia"/>
          <w:bCs/>
          <w:kern w:val="0"/>
          <w:szCs w:val="28"/>
          <w:lang w:eastAsia="zh-HK"/>
        </w:rPr>
        <w:t>健康護理服務方面</w:t>
      </w:r>
      <w:r w:rsidRPr="00956168">
        <w:rPr>
          <w:rFonts w:cs="Times New Roman" w:hint="eastAsia"/>
          <w:bCs/>
          <w:kern w:val="0"/>
          <w:szCs w:val="28"/>
        </w:rPr>
        <w:t>，</w:t>
      </w:r>
      <w:r w:rsidRPr="00956168">
        <w:rPr>
          <w:rFonts w:cs="Times New Roman"/>
          <w:bCs/>
          <w:kern w:val="0"/>
          <w:szCs w:val="28"/>
        </w:rPr>
        <w:t>醫管局的社區老人評估小組前往安老院舍為院友提供評估和治療服務，並為安老院舍職員提供培訓，協助他們為長者提供更適切的照顧</w:t>
      </w:r>
      <w:r w:rsidRPr="00956168">
        <w:rPr>
          <w:rFonts w:cs="Times New Roman" w:hint="eastAsia"/>
          <w:bCs/>
          <w:kern w:val="0"/>
          <w:szCs w:val="28"/>
        </w:rPr>
        <w:t>。</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keepNext/>
        <w:tabs>
          <w:tab w:val="left" w:pos="1440"/>
        </w:tabs>
        <w:adjustRightInd w:val="0"/>
        <w:snapToGrid w:val="0"/>
        <w:spacing w:line="400" w:lineRule="atLeast"/>
        <w:jc w:val="both"/>
        <w:rPr>
          <w:rFonts w:cs="Times New Roman"/>
          <w:bCs/>
          <w:i/>
          <w:kern w:val="0"/>
          <w:szCs w:val="28"/>
        </w:rPr>
      </w:pPr>
      <w:r w:rsidRPr="00956168">
        <w:rPr>
          <w:rFonts w:cs="Times New Roman" w:hint="eastAsia"/>
          <w:bCs/>
          <w:i/>
          <w:kern w:val="0"/>
          <w:szCs w:val="28"/>
        </w:rPr>
        <w:t>「積極樂頤年」</w:t>
      </w:r>
    </w:p>
    <w:p w:rsidR="00BC2CCC" w:rsidRPr="00956168" w:rsidRDefault="00BC2CCC" w:rsidP="00BC2CCC">
      <w:pPr>
        <w:keepNext/>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5.</w:t>
      </w:r>
      <w:r w:rsidRPr="00956168">
        <w:rPr>
          <w:rFonts w:cs="Times New Roman"/>
          <w:bCs/>
          <w:kern w:val="0"/>
          <w:szCs w:val="28"/>
        </w:rPr>
        <w:tab/>
      </w:r>
      <w:r w:rsidRPr="00956168">
        <w:rPr>
          <w:rFonts w:cs="Times New Roman" w:hint="eastAsia"/>
          <w:bCs/>
          <w:kern w:val="0"/>
          <w:szCs w:val="28"/>
          <w:lang w:eastAsia="zh-HK"/>
        </w:rPr>
        <w:t>正如</w:t>
      </w:r>
      <w:r w:rsidRPr="00956168">
        <w:rPr>
          <w:rFonts w:cs="Times New Roman" w:hint="eastAsia"/>
          <w:bCs/>
          <w:kern w:val="0"/>
          <w:szCs w:val="28"/>
        </w:rPr>
        <w:t>在上一次報告第</w:t>
      </w:r>
      <w:r w:rsidRPr="00956168">
        <w:rPr>
          <w:rFonts w:cs="Times New Roman"/>
          <w:bCs/>
          <w:kern w:val="0"/>
          <w:szCs w:val="28"/>
        </w:rPr>
        <w:t>10.101</w:t>
      </w:r>
      <w:r w:rsidRPr="00956168">
        <w:rPr>
          <w:rFonts w:cs="Times New Roman" w:hint="eastAsia"/>
          <w:bCs/>
          <w:kern w:val="0"/>
          <w:szCs w:val="28"/>
        </w:rPr>
        <w:t>段中所述，政府一直推廣積極樂頤年，鼓勵長者終身學習、積極參與社區活動及繼續保持健康生活，活出豐盛人生。主要措施包括：</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992DFC" w:rsidP="00992DFC">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(a)</w:t>
      </w:r>
      <w:r w:rsidR="00BC2CCC" w:rsidRPr="00956168">
        <w:rPr>
          <w:rFonts w:cs="Times New Roman"/>
          <w:bCs/>
          <w:kern w:val="0"/>
          <w:szCs w:val="28"/>
        </w:rPr>
        <w:tab/>
      </w:r>
      <w:r w:rsidR="00BC2CCC" w:rsidRPr="00956168">
        <w:rPr>
          <w:rFonts w:cs="Times New Roman" w:hint="eastAsia"/>
          <w:b/>
          <w:bCs/>
          <w:kern w:val="0"/>
          <w:szCs w:val="28"/>
        </w:rPr>
        <w:t>「長者學苑計劃」</w:t>
      </w:r>
      <w:r w:rsidR="00BC2CCC" w:rsidRPr="00956168">
        <w:rPr>
          <w:rFonts w:cs="Times New Roman" w:hint="eastAsia"/>
          <w:bCs/>
          <w:kern w:val="0"/>
          <w:szCs w:val="28"/>
        </w:rPr>
        <w:t>：「長者學苑計劃」在</w:t>
      </w:r>
      <w:r w:rsidR="00BC2CCC" w:rsidRPr="00956168">
        <w:rPr>
          <w:rFonts w:cs="Times New Roman"/>
          <w:bCs/>
          <w:kern w:val="0"/>
          <w:szCs w:val="28"/>
        </w:rPr>
        <w:t>2007</w:t>
      </w:r>
      <w:r w:rsidR="00BC2CCC" w:rsidRPr="00956168">
        <w:rPr>
          <w:rFonts w:cs="Times New Roman" w:hint="eastAsia"/>
          <w:bCs/>
          <w:kern w:val="0"/>
          <w:szCs w:val="28"/>
        </w:rPr>
        <w:t>年初推出，鼓勵辦學團體和提供長者服務的機構合作，在中、小學及專上院校成立長者學苑，讓長者終身學習。政府共撥款</w:t>
      </w:r>
      <w:r w:rsidR="00BC2CCC" w:rsidRPr="00956168">
        <w:rPr>
          <w:rFonts w:cs="Times New Roman"/>
          <w:bCs/>
          <w:kern w:val="0"/>
          <w:szCs w:val="28"/>
        </w:rPr>
        <w:t>6,000</w:t>
      </w:r>
      <w:r w:rsidR="00BC2CCC" w:rsidRPr="00956168">
        <w:rPr>
          <w:rFonts w:cs="Times New Roman" w:hint="eastAsia"/>
          <w:bCs/>
          <w:kern w:val="0"/>
          <w:szCs w:val="28"/>
        </w:rPr>
        <w:t>萬元予長者學苑發展基金，以確保計劃得以持續發展。目前，共設立了約</w:t>
      </w:r>
      <w:r w:rsidR="00BC2CCC" w:rsidRPr="00956168">
        <w:rPr>
          <w:rFonts w:cs="Times New Roman"/>
          <w:bCs/>
          <w:kern w:val="0"/>
          <w:szCs w:val="28"/>
        </w:rPr>
        <w:t>140</w:t>
      </w:r>
      <w:r w:rsidR="00BC2CCC" w:rsidRPr="00956168">
        <w:rPr>
          <w:rFonts w:cs="Times New Roman" w:hint="eastAsia"/>
          <w:bCs/>
          <w:kern w:val="0"/>
          <w:szCs w:val="28"/>
        </w:rPr>
        <w:t>間長者學苑，每年提供超過一萬個學習名額。</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992DFC" w:rsidP="00992DFC">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lastRenderedPageBreak/>
        <w:tab/>
      </w:r>
      <w:r w:rsidR="00BC2CCC" w:rsidRPr="00956168">
        <w:rPr>
          <w:rFonts w:cs="Times New Roman"/>
          <w:bCs/>
          <w:kern w:val="0"/>
          <w:szCs w:val="28"/>
        </w:rPr>
        <w:t>(b)</w:t>
      </w:r>
      <w:r w:rsidR="00BC2CCC" w:rsidRPr="00956168">
        <w:rPr>
          <w:rFonts w:cs="Times New Roman"/>
          <w:bCs/>
          <w:kern w:val="0"/>
          <w:szCs w:val="28"/>
        </w:rPr>
        <w:tab/>
      </w:r>
      <w:r w:rsidR="00BC2CCC" w:rsidRPr="00956168">
        <w:rPr>
          <w:rFonts w:cs="Times New Roman" w:hint="eastAsia"/>
          <w:b/>
          <w:bCs/>
          <w:kern w:val="0"/>
          <w:szCs w:val="28"/>
        </w:rPr>
        <w:t>「老有所為活動計劃」</w:t>
      </w:r>
      <w:r w:rsidR="00BC2CCC" w:rsidRPr="00956168">
        <w:rPr>
          <w:rFonts w:cs="Times New Roman" w:hint="eastAsia"/>
          <w:bCs/>
          <w:kern w:val="0"/>
          <w:szCs w:val="28"/>
        </w:rPr>
        <w:t>：政府自</w:t>
      </w:r>
      <w:r w:rsidR="00BC2CCC" w:rsidRPr="00956168">
        <w:rPr>
          <w:rFonts w:cs="Times New Roman"/>
          <w:bCs/>
          <w:kern w:val="0"/>
          <w:szCs w:val="28"/>
        </w:rPr>
        <w:t>1998-99</w:t>
      </w:r>
      <w:r w:rsidR="00BC2CCC" w:rsidRPr="00956168">
        <w:rPr>
          <w:rFonts w:cs="Times New Roman" w:hint="eastAsia"/>
          <w:bCs/>
          <w:kern w:val="0"/>
          <w:szCs w:val="28"/>
        </w:rPr>
        <w:t>年度起推行「老有所為活動計劃」，透過資助社會服務機構、地區團體及教育機構等舉辦多元化的活動，推廣老有所為的精神、鼓勵長者參與社區活動，以及提倡關懷長者的風氣。自推行計劃以來，已撥款逾</w:t>
      </w:r>
      <w:r w:rsidR="00BC2CCC" w:rsidRPr="00956168">
        <w:rPr>
          <w:rFonts w:cs="Times New Roman"/>
          <w:bCs/>
          <w:kern w:val="0"/>
          <w:szCs w:val="28"/>
        </w:rPr>
        <w:t>7 000</w:t>
      </w:r>
      <w:r w:rsidR="00BC2CCC" w:rsidRPr="00956168">
        <w:rPr>
          <w:rFonts w:cs="Times New Roman" w:hint="eastAsia"/>
          <w:bCs/>
          <w:kern w:val="0"/>
          <w:szCs w:val="28"/>
        </w:rPr>
        <w:t>萬元資助接近</w:t>
      </w:r>
      <w:r w:rsidR="00BC2CCC" w:rsidRPr="00956168">
        <w:rPr>
          <w:rFonts w:cs="Times New Roman"/>
          <w:bCs/>
          <w:kern w:val="0"/>
          <w:szCs w:val="28"/>
        </w:rPr>
        <w:t>5 500</w:t>
      </w:r>
      <w:r w:rsidR="00BC2CCC" w:rsidRPr="00956168">
        <w:rPr>
          <w:rFonts w:cs="Times New Roman" w:hint="eastAsia"/>
          <w:bCs/>
          <w:kern w:val="0"/>
          <w:szCs w:val="28"/>
        </w:rPr>
        <w:t>項地區活動，總參與人次超過</w:t>
      </w:r>
      <w:r w:rsidR="00BC2CCC" w:rsidRPr="00956168">
        <w:rPr>
          <w:rFonts w:cs="Times New Roman"/>
          <w:bCs/>
          <w:kern w:val="0"/>
          <w:szCs w:val="28"/>
        </w:rPr>
        <w:t>300</w:t>
      </w:r>
      <w:r w:rsidR="00BC2CCC" w:rsidRPr="00956168">
        <w:rPr>
          <w:rFonts w:cs="Times New Roman" w:hint="eastAsia"/>
          <w:bCs/>
          <w:kern w:val="0"/>
          <w:szCs w:val="28"/>
        </w:rPr>
        <w:t>萬。</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992DFC" w:rsidP="00992DFC">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(c)</w:t>
      </w:r>
      <w:r w:rsidR="00BC2CCC" w:rsidRPr="00956168">
        <w:rPr>
          <w:rFonts w:cs="Times New Roman"/>
          <w:bCs/>
          <w:kern w:val="0"/>
          <w:szCs w:val="28"/>
        </w:rPr>
        <w:tab/>
      </w:r>
      <w:r w:rsidR="00BC2CCC" w:rsidRPr="00956168">
        <w:rPr>
          <w:rFonts w:cs="Times New Roman" w:hint="eastAsia"/>
          <w:b/>
          <w:bCs/>
          <w:kern w:val="0"/>
          <w:szCs w:val="28"/>
        </w:rPr>
        <w:t>長者友善社區</w:t>
      </w:r>
      <w:r w:rsidR="00BC2CCC" w:rsidRPr="00956168">
        <w:rPr>
          <w:rFonts w:cs="Times New Roman" w:hint="eastAsia"/>
          <w:bCs/>
          <w:kern w:val="0"/>
          <w:szCs w:val="28"/>
        </w:rPr>
        <w:t>：鑑於本港十八區各有其特色及不同需要，政府鼓勵各區在地區層面推行長者友善社區項目，因應長者不同的需要及能力，為他們建設包容、無障礙的環境，從而提升他們的生活質素。現時，共有十七區獲得世界衞生組織的「長者友善社區」認證。</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u w:val="single"/>
        </w:rPr>
      </w:pPr>
      <w:r w:rsidRPr="00956168">
        <w:rPr>
          <w:rFonts w:cs="Times New Roman" w:hint="eastAsia"/>
          <w:bCs/>
          <w:kern w:val="0"/>
          <w:szCs w:val="28"/>
          <w:u w:val="single"/>
        </w:rPr>
        <w:t>長者院舍住宿照顧服務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6.</w:t>
      </w:r>
      <w:r w:rsidRPr="00956168">
        <w:rPr>
          <w:rFonts w:cs="Times New Roman"/>
          <w:bCs/>
          <w:kern w:val="0"/>
          <w:szCs w:val="28"/>
        </w:rPr>
        <w:tab/>
      </w:r>
      <w:r w:rsidRPr="00956168">
        <w:rPr>
          <w:rFonts w:cs="Times New Roman" w:hint="eastAsia"/>
          <w:bCs/>
          <w:kern w:val="0"/>
          <w:szCs w:val="28"/>
        </w:rPr>
        <w:t>在</w:t>
      </w:r>
      <w:r w:rsidRPr="00956168">
        <w:rPr>
          <w:rFonts w:cs="Times New Roman"/>
          <w:bCs/>
          <w:kern w:val="0"/>
          <w:szCs w:val="28"/>
        </w:rPr>
        <w:t>2018</w:t>
      </w:r>
      <w:r w:rsidRPr="00956168">
        <w:rPr>
          <w:rFonts w:cs="Times New Roman" w:hint="eastAsia"/>
          <w:bCs/>
          <w:kern w:val="0"/>
          <w:szCs w:val="28"/>
        </w:rPr>
        <w:t>年底，共有逾</w:t>
      </w:r>
      <w:r w:rsidRPr="00956168">
        <w:rPr>
          <w:rFonts w:cs="Times New Roman"/>
          <w:bCs/>
          <w:kern w:val="0"/>
          <w:szCs w:val="28"/>
        </w:rPr>
        <w:t>27 000</w:t>
      </w:r>
      <w:r w:rsidRPr="00956168">
        <w:rPr>
          <w:rFonts w:cs="Times New Roman" w:hint="eastAsia"/>
          <w:bCs/>
          <w:kern w:val="0"/>
          <w:szCs w:val="28"/>
        </w:rPr>
        <w:t>個資助安老宿位</w:t>
      </w:r>
      <w:r w:rsidRPr="00956168">
        <w:rPr>
          <w:rFonts w:cs="Times New Roman"/>
          <w:bCs/>
          <w:kern w:val="0"/>
          <w:szCs w:val="28"/>
          <w:vertAlign w:val="superscript"/>
        </w:rPr>
        <w:footnoteReference w:id="10"/>
      </w:r>
      <w:r w:rsidRPr="00956168">
        <w:rPr>
          <w:rFonts w:cs="Times New Roman" w:hint="eastAsia"/>
          <w:bCs/>
          <w:kern w:val="0"/>
          <w:szCs w:val="28"/>
        </w:rPr>
        <w:t>。私營安老院亦提供約</w:t>
      </w:r>
      <w:r w:rsidRPr="00956168">
        <w:rPr>
          <w:rFonts w:cs="Times New Roman"/>
          <w:bCs/>
          <w:kern w:val="0"/>
          <w:szCs w:val="28"/>
        </w:rPr>
        <w:t>37 000</w:t>
      </w:r>
      <w:r w:rsidRPr="00956168">
        <w:rPr>
          <w:rFonts w:cs="Times New Roman" w:hint="eastAsia"/>
          <w:bCs/>
          <w:kern w:val="0"/>
          <w:szCs w:val="28"/>
        </w:rPr>
        <w:t>個宿位（不包括逾</w:t>
      </w:r>
      <w:r w:rsidRPr="00956168">
        <w:rPr>
          <w:rFonts w:cs="Times New Roman"/>
          <w:bCs/>
          <w:kern w:val="0"/>
          <w:szCs w:val="28"/>
        </w:rPr>
        <w:t>7 900</w:t>
      </w:r>
      <w:r w:rsidRPr="00956168">
        <w:rPr>
          <w:rFonts w:cs="Times New Roman" w:hint="eastAsia"/>
          <w:bCs/>
          <w:kern w:val="0"/>
          <w:szCs w:val="28"/>
        </w:rPr>
        <w:t>個由政府購買的資助宿位），而安老院、護理安老院及合約院舍則提供逾</w:t>
      </w:r>
      <w:r w:rsidRPr="00956168">
        <w:rPr>
          <w:rFonts w:cs="Times New Roman"/>
          <w:bCs/>
          <w:kern w:val="0"/>
          <w:szCs w:val="28"/>
        </w:rPr>
        <w:t>5 000</w:t>
      </w:r>
      <w:r w:rsidRPr="00956168">
        <w:rPr>
          <w:rFonts w:cs="Times New Roman" w:hint="eastAsia"/>
          <w:bCs/>
          <w:kern w:val="0"/>
          <w:szCs w:val="28"/>
        </w:rPr>
        <w:t>個自負盈虧的宿位。</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7.</w:t>
      </w:r>
      <w:r w:rsidRPr="00956168">
        <w:rPr>
          <w:rFonts w:cs="Times New Roman"/>
          <w:bCs/>
          <w:kern w:val="0"/>
          <w:szCs w:val="28"/>
        </w:rPr>
        <w:tab/>
      </w:r>
      <w:r w:rsidRPr="00956168">
        <w:rPr>
          <w:rFonts w:cs="Times New Roman" w:hint="eastAsia"/>
          <w:bCs/>
          <w:kern w:val="0"/>
          <w:szCs w:val="28"/>
        </w:rPr>
        <w:t>正如在上一次報告第</w:t>
      </w:r>
      <w:r w:rsidRPr="00956168">
        <w:rPr>
          <w:rFonts w:cs="Times New Roman"/>
          <w:bCs/>
          <w:kern w:val="0"/>
          <w:szCs w:val="28"/>
        </w:rPr>
        <w:t>10.105</w:t>
      </w:r>
      <w:r w:rsidRPr="00956168">
        <w:rPr>
          <w:rFonts w:cs="Times New Roman" w:hint="eastAsia"/>
          <w:bCs/>
          <w:kern w:val="0"/>
          <w:szCs w:val="28"/>
        </w:rPr>
        <w:t>至</w:t>
      </w:r>
      <w:r w:rsidRPr="00956168">
        <w:rPr>
          <w:rFonts w:cs="Times New Roman"/>
          <w:bCs/>
          <w:kern w:val="0"/>
          <w:szCs w:val="28"/>
        </w:rPr>
        <w:t>10.107</w:t>
      </w:r>
      <w:r w:rsidRPr="00956168">
        <w:rPr>
          <w:rFonts w:cs="Times New Roman" w:hint="eastAsia"/>
          <w:bCs/>
          <w:kern w:val="0"/>
          <w:szCs w:val="28"/>
        </w:rPr>
        <w:t>段中所述，我們會繼續推進不同機構提供的各種層次的護理服務的整合及安老院資助宿位的轉型，為有需要的長者提供更有效的住宿服務。現時，絕大部分的津助安老院及合約安老院都會為長者提供持續照顧的服務，例如醫療、護理服務等，讓長者無須因健康狀況轉差而須遷往其他類型的院舍。</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8.</w:t>
      </w:r>
      <w:r w:rsidRPr="00956168">
        <w:rPr>
          <w:rFonts w:cs="Times New Roman"/>
          <w:bCs/>
          <w:kern w:val="0"/>
          <w:szCs w:val="28"/>
        </w:rPr>
        <w:tab/>
      </w:r>
      <w:r w:rsidRPr="00956168">
        <w:rPr>
          <w:rFonts w:cs="Times New Roman" w:hint="eastAsia"/>
          <w:bCs/>
          <w:kern w:val="0"/>
          <w:szCs w:val="28"/>
        </w:rPr>
        <w:t>我們亦已推行一系列的措施，加強安老院的監管及提升其服務質素。自</w:t>
      </w:r>
      <w:r w:rsidRPr="00956168">
        <w:rPr>
          <w:rFonts w:cs="Times New Roman"/>
          <w:bCs/>
          <w:kern w:val="0"/>
          <w:szCs w:val="28"/>
        </w:rPr>
        <w:t>2001</w:t>
      </w:r>
      <w:r w:rsidRPr="00956168">
        <w:rPr>
          <w:rFonts w:cs="Times New Roman" w:hint="eastAsia"/>
          <w:bCs/>
          <w:kern w:val="0"/>
          <w:szCs w:val="28"/>
        </w:rPr>
        <w:t>年起，我們已開始採用公開招標方式，甄選資助安老院的營辦者。我們批出合約前主要會考慮投標者的服務質素，而非投標價格。我們亦會嚴密監察服務營辦者，確保他們遵從合約條款，並達到協定的工作表現水平。</w:t>
      </w:r>
    </w:p>
    <w:p w:rsidR="00BC2CCC" w:rsidRDefault="00BC2CCC" w:rsidP="00BC2CCC">
      <w:pPr>
        <w:tabs>
          <w:tab w:val="left" w:pos="1440"/>
          <w:tab w:val="left" w:pos="168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9.</w:t>
      </w:r>
      <w:r w:rsidRPr="00956168">
        <w:rPr>
          <w:rFonts w:cs="Times New Roman"/>
          <w:bCs/>
          <w:kern w:val="0"/>
          <w:szCs w:val="28"/>
        </w:rPr>
        <w:tab/>
      </w:r>
      <w:r w:rsidRPr="00956168">
        <w:rPr>
          <w:rFonts w:cs="Times New Roman" w:hint="eastAsia"/>
          <w:bCs/>
          <w:kern w:val="0"/>
          <w:szCs w:val="28"/>
        </w:rPr>
        <w:t>我們亦繼續在私營安老院推行「改善買位計劃」，以增加資助宿位的供應和鼓勵私營安老院改善服務水平。「改善買位計劃」的一項主要特點是私營安老院一經參與，整間安老院（包括非資助宿位）都必須達致同一的較高標準，從而有效提高私營安老院的服務質素。</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10.</w:t>
      </w:r>
      <w:r w:rsidRPr="00956168">
        <w:rPr>
          <w:rFonts w:cs="Times New Roman"/>
          <w:bCs/>
          <w:kern w:val="0"/>
          <w:szCs w:val="28"/>
        </w:rPr>
        <w:tab/>
      </w:r>
      <w:r w:rsidRPr="00956168">
        <w:rPr>
          <w:rFonts w:cs="Times New Roman" w:hint="eastAsia"/>
          <w:bCs/>
          <w:kern w:val="0"/>
          <w:szCs w:val="28"/>
        </w:rPr>
        <w:t>此外，社署已為全港所有安老院的住客推行外展醫生到診服務，積極應對季節性流感及其他偶發性疾病，促進他們的健康及減少依賴公共醫療系統。社署亦已於</w:t>
      </w:r>
      <w:r w:rsidRPr="00956168">
        <w:rPr>
          <w:rFonts w:cs="Times New Roman"/>
          <w:bCs/>
          <w:kern w:val="0"/>
          <w:szCs w:val="28"/>
        </w:rPr>
        <w:t>2019</w:t>
      </w:r>
      <w:r w:rsidRPr="00956168">
        <w:rPr>
          <w:rFonts w:cs="Times New Roman" w:hint="eastAsia"/>
          <w:bCs/>
          <w:kern w:val="0"/>
          <w:szCs w:val="28"/>
        </w:rPr>
        <w:t>年分階段推出一個為期五年的計劃，全數資助全港所有安老院的主管、保健員和護理員修讀在資歷架構下認可的訓練課程，以及計劃於年內推出另一個為期五年的計劃，全數資助所有私營安老院參加認證計劃等。</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11</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另外，政府近年亦透過不同的試驗計劃為長者提供額外選擇，主要包括：</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E74B36" w:rsidP="00E74B36">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(a)</w:t>
      </w:r>
      <w:r w:rsidR="00BC2CCC" w:rsidRPr="00956168">
        <w:rPr>
          <w:rFonts w:cs="Times New Roman"/>
          <w:bCs/>
          <w:kern w:val="0"/>
          <w:szCs w:val="28"/>
        </w:rPr>
        <w:tab/>
      </w:r>
      <w:r w:rsidR="00BC2CCC" w:rsidRPr="00956168">
        <w:rPr>
          <w:rFonts w:cs="Times New Roman" w:hint="eastAsia"/>
          <w:b/>
          <w:bCs/>
          <w:kern w:val="0"/>
          <w:szCs w:val="28"/>
        </w:rPr>
        <w:t>廣東院舍住宿照顧服務試驗計劃</w:t>
      </w:r>
      <w:r w:rsidR="00BC2CCC" w:rsidRPr="00956168">
        <w:rPr>
          <w:rFonts w:cs="Times New Roman" w:hint="eastAsia"/>
          <w:bCs/>
          <w:kern w:val="0"/>
          <w:szCs w:val="28"/>
        </w:rPr>
        <w:t>：政府自</w:t>
      </w:r>
      <w:r w:rsidR="00BC2CCC" w:rsidRPr="00956168">
        <w:rPr>
          <w:rFonts w:cs="Times New Roman"/>
          <w:bCs/>
          <w:kern w:val="0"/>
          <w:szCs w:val="28"/>
        </w:rPr>
        <w:t>2014</w:t>
      </w:r>
      <w:r w:rsidR="00BC2CCC" w:rsidRPr="00956168">
        <w:rPr>
          <w:rFonts w:cs="Times New Roman" w:hint="eastAsia"/>
          <w:bCs/>
          <w:kern w:val="0"/>
          <w:szCs w:val="28"/>
        </w:rPr>
        <w:t>年</w:t>
      </w:r>
      <w:r w:rsidR="00BC2CCC" w:rsidRPr="00956168">
        <w:rPr>
          <w:rFonts w:cs="Times New Roman"/>
          <w:bCs/>
          <w:kern w:val="0"/>
          <w:szCs w:val="28"/>
        </w:rPr>
        <w:t>6</w:t>
      </w:r>
      <w:r w:rsidR="00BC2CCC" w:rsidRPr="00956168">
        <w:rPr>
          <w:rFonts w:cs="Times New Roman" w:hint="eastAsia"/>
          <w:bCs/>
          <w:kern w:val="0"/>
          <w:szCs w:val="28"/>
        </w:rPr>
        <w:t>月開始推行試驗計劃，讓正在輪候資助護理安老宿位的長者，自願選擇入住由兩間香港非政府機構分別在深圳和肇慶營辦的兩間安老院。政府已預留撥款以提供</w:t>
      </w:r>
      <w:r w:rsidR="00BC2CCC" w:rsidRPr="00956168">
        <w:rPr>
          <w:rFonts w:cs="Times New Roman"/>
          <w:bCs/>
          <w:kern w:val="0"/>
          <w:szCs w:val="28"/>
        </w:rPr>
        <w:t>400</w:t>
      </w:r>
      <w:r w:rsidR="00BC2CCC" w:rsidRPr="00956168">
        <w:rPr>
          <w:rFonts w:cs="Times New Roman" w:hint="eastAsia"/>
          <w:bCs/>
          <w:kern w:val="0"/>
          <w:szCs w:val="28"/>
        </w:rPr>
        <w:t>個宿位，但實際購買宿位的數目則按照參加試驗計劃的人數而定。政府已就試驗計劃完成檢討。整體而言，試驗計劃自推行以來運作暢順。入住長者普遍滿意兩間院舍所提供的居住環境和服務，他們亦願意繼續留在內地養老。政府在</w:t>
      </w:r>
      <w:r w:rsidR="00BC2CCC" w:rsidRPr="00956168">
        <w:rPr>
          <w:rFonts w:cs="Times New Roman"/>
          <w:bCs/>
          <w:kern w:val="0"/>
          <w:szCs w:val="28"/>
        </w:rPr>
        <w:t>2017</w:t>
      </w:r>
      <w:r w:rsidR="00BC2CCC" w:rsidRPr="00956168">
        <w:rPr>
          <w:rFonts w:cs="Times New Roman" w:hint="eastAsia"/>
          <w:bCs/>
          <w:kern w:val="0"/>
          <w:szCs w:val="28"/>
        </w:rPr>
        <w:t>年</w:t>
      </w:r>
      <w:r w:rsidR="00BC2CCC" w:rsidRPr="00956168">
        <w:rPr>
          <w:rFonts w:cs="Times New Roman"/>
          <w:bCs/>
          <w:kern w:val="0"/>
          <w:szCs w:val="28"/>
        </w:rPr>
        <w:t>1</w:t>
      </w:r>
      <w:r w:rsidR="00BC2CCC" w:rsidRPr="00956168">
        <w:rPr>
          <w:rFonts w:cs="Times New Roman" w:hint="eastAsia"/>
          <w:bCs/>
          <w:kern w:val="0"/>
          <w:szCs w:val="28"/>
        </w:rPr>
        <w:t>月宣布延續試驗計劃三年，並會繼續檢視試驗計劃的推行情況，以訂定未來路向。</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E74B36" w:rsidP="00E74B36">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(b)</w:t>
      </w:r>
      <w:r w:rsidR="00BC2CCC" w:rsidRPr="00956168">
        <w:rPr>
          <w:rFonts w:cs="Times New Roman"/>
          <w:bCs/>
          <w:kern w:val="0"/>
          <w:szCs w:val="28"/>
        </w:rPr>
        <w:tab/>
      </w:r>
      <w:r w:rsidR="00BC2CCC" w:rsidRPr="00956168">
        <w:rPr>
          <w:rFonts w:cs="Times New Roman" w:hint="eastAsia"/>
          <w:b/>
          <w:bCs/>
          <w:kern w:val="0"/>
          <w:szCs w:val="28"/>
        </w:rPr>
        <w:t>長者院舍住宿照顧服務券試驗計劃</w:t>
      </w:r>
      <w:r w:rsidR="00BC2CCC" w:rsidRPr="00956168">
        <w:rPr>
          <w:rFonts w:cs="Times New Roman" w:hint="eastAsia"/>
          <w:bCs/>
          <w:kern w:val="0"/>
          <w:szCs w:val="28"/>
        </w:rPr>
        <w:t>：試驗計劃採用「錢跟人走」的原則，為有需要院舍住宿照顧服務的長者提供一個額外選擇，讓他們可從參加試驗計劃的合資格安老院中，揀選切合他們需要的院舍服務，並提供誘因，鼓勵院舍改善服務。試驗計劃分三個階段實施，並在</w:t>
      </w:r>
      <w:r w:rsidR="00BC2CCC" w:rsidRPr="00956168">
        <w:rPr>
          <w:rFonts w:cs="Times New Roman"/>
          <w:bCs/>
          <w:kern w:val="0"/>
          <w:szCs w:val="28"/>
        </w:rPr>
        <w:t>2017</w:t>
      </w:r>
      <w:r w:rsidR="00BC2CCC" w:rsidRPr="00956168">
        <w:rPr>
          <w:rFonts w:cs="Times New Roman" w:hint="eastAsia"/>
          <w:bCs/>
          <w:kern w:val="0"/>
          <w:szCs w:val="28"/>
        </w:rPr>
        <w:t>年至</w:t>
      </w:r>
      <w:r w:rsidR="00BC2CCC" w:rsidRPr="00956168">
        <w:rPr>
          <w:rFonts w:cs="Times New Roman"/>
          <w:bCs/>
          <w:kern w:val="0"/>
          <w:szCs w:val="28"/>
        </w:rPr>
        <w:t>2019</w:t>
      </w:r>
      <w:r w:rsidR="00BC2CCC" w:rsidRPr="00956168">
        <w:rPr>
          <w:rFonts w:cs="Times New Roman" w:hint="eastAsia"/>
          <w:bCs/>
          <w:kern w:val="0"/>
          <w:szCs w:val="28"/>
        </w:rPr>
        <w:t>年的三年內分批次向合資格的長者合共發放</w:t>
      </w:r>
      <w:r w:rsidR="00BC2CCC" w:rsidRPr="00956168">
        <w:rPr>
          <w:rFonts w:cs="Times New Roman"/>
          <w:bCs/>
          <w:kern w:val="0"/>
          <w:szCs w:val="28"/>
        </w:rPr>
        <w:t>3 000</w:t>
      </w:r>
      <w:r w:rsidR="00BC2CCC" w:rsidRPr="00956168">
        <w:rPr>
          <w:rFonts w:cs="Times New Roman" w:hint="eastAsia"/>
          <w:bCs/>
          <w:kern w:val="0"/>
          <w:szCs w:val="28"/>
        </w:rPr>
        <w:t>張院舍</w:t>
      </w:r>
      <w:r w:rsidR="00BC2CCC" w:rsidRPr="00956168">
        <w:rPr>
          <w:rFonts w:cs="Times New Roman" w:hint="eastAsia"/>
          <w:bCs/>
          <w:kern w:val="0"/>
          <w:szCs w:val="28"/>
        </w:rPr>
        <w:lastRenderedPageBreak/>
        <w:t>券。</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E74B36" w:rsidP="00E74B36">
      <w:pPr>
        <w:tabs>
          <w:tab w:val="left" w:pos="720"/>
          <w:tab w:val="left" w:pos="1440"/>
        </w:tabs>
        <w:adjustRightInd w:val="0"/>
        <w:snapToGrid w:val="0"/>
        <w:spacing w:line="400" w:lineRule="atLeast"/>
        <w:ind w:left="1436" w:hanging="1436"/>
        <w:jc w:val="both"/>
        <w:rPr>
          <w:rFonts w:cs="Times New Roman"/>
          <w:bCs/>
          <w:kern w:val="0"/>
          <w:szCs w:val="28"/>
        </w:rPr>
      </w:pPr>
      <w:r>
        <w:rPr>
          <w:rFonts w:cs="Times New Roman"/>
          <w:bCs/>
          <w:kern w:val="0"/>
          <w:szCs w:val="28"/>
        </w:rPr>
        <w:tab/>
      </w:r>
      <w:r w:rsidR="00BC2CCC" w:rsidRPr="00956168">
        <w:rPr>
          <w:rFonts w:cs="Times New Roman"/>
          <w:bCs/>
          <w:kern w:val="0"/>
          <w:szCs w:val="28"/>
        </w:rPr>
        <w:t>(c)</w:t>
      </w:r>
      <w:r w:rsidR="00BC2CCC" w:rsidRPr="00956168">
        <w:rPr>
          <w:rFonts w:cs="Times New Roman"/>
          <w:bCs/>
          <w:kern w:val="0"/>
          <w:szCs w:val="28"/>
        </w:rPr>
        <w:tab/>
      </w:r>
      <w:r w:rsidR="00BC2CCC" w:rsidRPr="00956168">
        <w:rPr>
          <w:rFonts w:cs="Times New Roman" w:hint="eastAsia"/>
          <w:b/>
          <w:bCs/>
          <w:kern w:val="0"/>
          <w:szCs w:val="28"/>
        </w:rPr>
        <w:t>安老院舍外展專業服務試驗計劃</w:t>
      </w:r>
      <w:r w:rsidR="00BC2CCC" w:rsidRPr="00956168">
        <w:rPr>
          <w:rFonts w:cs="Times New Roman" w:hint="eastAsia"/>
          <w:bCs/>
          <w:kern w:val="0"/>
          <w:szCs w:val="28"/>
        </w:rPr>
        <w:t>：政府於</w:t>
      </w:r>
      <w:r w:rsidR="00BC2CCC" w:rsidRPr="00956168">
        <w:rPr>
          <w:rFonts w:cs="Times New Roman"/>
          <w:bCs/>
          <w:kern w:val="0"/>
          <w:szCs w:val="28"/>
        </w:rPr>
        <w:t>2019</w:t>
      </w:r>
      <w:r w:rsidR="00BC2CCC" w:rsidRPr="00956168">
        <w:rPr>
          <w:rFonts w:cs="Times New Roman" w:hint="eastAsia"/>
          <w:bCs/>
          <w:kern w:val="0"/>
          <w:szCs w:val="28"/>
        </w:rPr>
        <w:t>年</w:t>
      </w:r>
      <w:r w:rsidR="00BC2CCC" w:rsidRPr="00956168">
        <w:rPr>
          <w:rFonts w:cs="Times New Roman"/>
          <w:bCs/>
          <w:kern w:val="0"/>
          <w:szCs w:val="28"/>
        </w:rPr>
        <w:t>2</w:t>
      </w:r>
      <w:r w:rsidR="00BC2CCC" w:rsidRPr="00956168">
        <w:rPr>
          <w:rFonts w:cs="Times New Roman" w:hint="eastAsia"/>
          <w:bCs/>
          <w:kern w:val="0"/>
          <w:szCs w:val="28"/>
        </w:rPr>
        <w:t>月陸續推行一個為期四年的試驗計劃，成立地區為本並包括社工、物理治療師、職業治療師及言語治療師等在內的專業團隊，為私營安老院的住客提供外展服務，支援他們的社交和康復需要。除了私營安老院的住客外，當中的外展言語治療服務亦會支援合約院舍（包括其附設的長者日間護理單位）和自負盈虧安老院／護養院，為吞嚥困難及有言語障礙的住客提供言語治療服務。</w:t>
      </w:r>
    </w:p>
    <w:p w:rsidR="00BC2CCC"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u w:val="single"/>
        </w:rPr>
      </w:pPr>
      <w:r w:rsidRPr="00956168">
        <w:rPr>
          <w:rFonts w:cs="Times New Roman" w:hint="eastAsia"/>
          <w:bCs/>
          <w:kern w:val="0"/>
          <w:szCs w:val="28"/>
          <w:u w:val="single"/>
        </w:rPr>
        <w:t>支援認知障礙症長者及其護老者</w:t>
      </w:r>
    </w:p>
    <w:p w:rsidR="00BC2CCC" w:rsidRPr="00956168" w:rsidRDefault="00BC2CCC" w:rsidP="00BC2CCC">
      <w:pPr>
        <w:tabs>
          <w:tab w:val="left" w:pos="1440"/>
        </w:tabs>
        <w:adjustRightInd w:val="0"/>
        <w:snapToGrid w:val="0"/>
        <w:spacing w:line="400" w:lineRule="atLeast"/>
        <w:jc w:val="both"/>
        <w:rPr>
          <w:rFonts w:cs="Times New Roman"/>
          <w:bCs/>
          <w:kern w:val="0"/>
          <w:szCs w:val="28"/>
          <w:u w:val="single"/>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sidRPr="00956168">
        <w:rPr>
          <w:rFonts w:cs="Times New Roman"/>
          <w:bCs/>
          <w:kern w:val="0"/>
          <w:szCs w:val="28"/>
        </w:rPr>
        <w:t>1</w:t>
      </w:r>
      <w:r>
        <w:rPr>
          <w:rFonts w:cs="Times New Roman" w:hint="eastAsia"/>
          <w:bCs/>
          <w:kern w:val="0"/>
          <w:szCs w:val="28"/>
        </w:rPr>
        <w:t>2</w:t>
      </w:r>
      <w:r w:rsidRPr="00956168">
        <w:rPr>
          <w:rFonts w:cs="Times New Roman"/>
          <w:bCs/>
          <w:kern w:val="0"/>
          <w:szCs w:val="28"/>
        </w:rPr>
        <w:t>.</w:t>
      </w:r>
      <w:r w:rsidRPr="00956168">
        <w:rPr>
          <w:rFonts w:cs="Times New Roman"/>
          <w:bCs/>
          <w:kern w:val="0"/>
          <w:szCs w:val="28"/>
        </w:rPr>
        <w:tab/>
      </w:r>
      <w:r w:rsidRPr="00956168">
        <w:rPr>
          <w:rFonts w:cs="Times New Roman" w:hint="eastAsia"/>
          <w:bCs/>
          <w:kern w:val="0"/>
          <w:szCs w:val="28"/>
        </w:rPr>
        <w:t>一些與年齡有關的疾病，例如認知障礙症，預計會隨著平均壽命延長而更為常見。政府一直採用跨專業和跨界別的模式，為患有認知障礙症的長者提供全人護理和照顧服務，並支援其護老者。</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sidRPr="00956168">
        <w:rPr>
          <w:rFonts w:cs="Times New Roman"/>
          <w:bCs/>
          <w:kern w:val="0"/>
          <w:szCs w:val="28"/>
        </w:rPr>
        <w:t>1</w:t>
      </w:r>
      <w:r>
        <w:rPr>
          <w:rFonts w:cs="Times New Roman" w:hint="eastAsia"/>
          <w:bCs/>
          <w:kern w:val="0"/>
          <w:szCs w:val="28"/>
        </w:rPr>
        <w:t>3</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其中，政府於</w:t>
      </w:r>
      <w:r w:rsidRPr="00956168">
        <w:rPr>
          <w:rFonts w:cs="Times New Roman"/>
          <w:bCs/>
          <w:kern w:val="0"/>
          <w:szCs w:val="28"/>
        </w:rPr>
        <w:t xml:space="preserve"> 2017</w:t>
      </w:r>
      <w:r w:rsidRPr="00956168">
        <w:rPr>
          <w:rFonts w:cs="Times New Roman" w:hint="eastAsia"/>
          <w:bCs/>
          <w:kern w:val="0"/>
          <w:szCs w:val="28"/>
        </w:rPr>
        <w:t>年</w:t>
      </w:r>
      <w:r w:rsidRPr="00956168">
        <w:rPr>
          <w:rFonts w:cs="Times New Roman"/>
          <w:bCs/>
          <w:kern w:val="0"/>
          <w:szCs w:val="28"/>
        </w:rPr>
        <w:t>2</w:t>
      </w:r>
      <w:r w:rsidRPr="00956168">
        <w:rPr>
          <w:rFonts w:cs="Times New Roman" w:hint="eastAsia"/>
          <w:bCs/>
          <w:kern w:val="0"/>
          <w:szCs w:val="28"/>
        </w:rPr>
        <w:t>月推出為期兩年的「智友醫社同行」先導計劃，以「醫社合作」的模式，在社區為患有輕度或中度認知障礙症的長者及其護老者提供跨界別、跨專業的支援服務。鑑於「智友醫社同行計劃」的成效理想，先導計劃於</w:t>
      </w:r>
      <w:r w:rsidRPr="00956168">
        <w:rPr>
          <w:rFonts w:cs="Times New Roman"/>
          <w:bCs/>
          <w:kern w:val="0"/>
          <w:szCs w:val="28"/>
        </w:rPr>
        <w:t>2019</w:t>
      </w:r>
      <w:r w:rsidRPr="00956168">
        <w:rPr>
          <w:rFonts w:cs="Times New Roman" w:hint="eastAsia"/>
          <w:bCs/>
          <w:kern w:val="0"/>
          <w:szCs w:val="28"/>
        </w:rPr>
        <w:t>年</w:t>
      </w:r>
      <w:r w:rsidRPr="00956168">
        <w:rPr>
          <w:rFonts w:cs="Times New Roman"/>
          <w:bCs/>
          <w:kern w:val="0"/>
          <w:szCs w:val="28"/>
        </w:rPr>
        <w:t>2</w:t>
      </w:r>
      <w:r w:rsidRPr="00956168">
        <w:rPr>
          <w:rFonts w:cs="Times New Roman" w:hint="eastAsia"/>
          <w:bCs/>
          <w:kern w:val="0"/>
          <w:szCs w:val="28"/>
        </w:rPr>
        <w:t>月起常規化，並擴展至全港所有</w:t>
      </w:r>
      <w:r w:rsidRPr="00956168">
        <w:rPr>
          <w:rFonts w:cs="Times New Roman"/>
          <w:bCs/>
          <w:kern w:val="0"/>
          <w:szCs w:val="28"/>
        </w:rPr>
        <w:t>41</w:t>
      </w:r>
      <w:r w:rsidRPr="00956168">
        <w:rPr>
          <w:rFonts w:cs="Times New Roman" w:hint="eastAsia"/>
          <w:bCs/>
          <w:kern w:val="0"/>
          <w:szCs w:val="28"/>
        </w:rPr>
        <w:t>間長者地區中心，預期每年將可為超過</w:t>
      </w:r>
      <w:r w:rsidRPr="00956168">
        <w:rPr>
          <w:rFonts w:cs="Times New Roman"/>
          <w:bCs/>
          <w:kern w:val="0"/>
          <w:szCs w:val="28"/>
        </w:rPr>
        <w:t>2 000</w:t>
      </w:r>
      <w:r w:rsidRPr="00956168">
        <w:rPr>
          <w:rFonts w:cs="Times New Roman" w:hint="eastAsia"/>
          <w:bCs/>
          <w:kern w:val="0"/>
          <w:szCs w:val="28"/>
        </w:rPr>
        <w:t>名患有認知障礙症的長者提供服務。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sidRPr="00956168">
        <w:rPr>
          <w:rFonts w:cs="Times New Roman"/>
          <w:bCs/>
          <w:kern w:val="0"/>
          <w:szCs w:val="28"/>
        </w:rPr>
        <w:t>1</w:t>
      </w:r>
      <w:r>
        <w:rPr>
          <w:rFonts w:cs="Times New Roman" w:hint="eastAsia"/>
          <w:bCs/>
          <w:kern w:val="0"/>
          <w:szCs w:val="28"/>
        </w:rPr>
        <w:t>4</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此外，政府已於</w:t>
      </w:r>
      <w:r w:rsidRPr="00956168">
        <w:rPr>
          <w:rFonts w:cs="Times New Roman"/>
          <w:bCs/>
          <w:kern w:val="0"/>
          <w:szCs w:val="28"/>
        </w:rPr>
        <w:t>2018-19</w:t>
      </w:r>
      <w:r w:rsidRPr="00956168">
        <w:rPr>
          <w:rFonts w:cs="Times New Roman" w:hint="eastAsia"/>
          <w:bCs/>
          <w:kern w:val="0"/>
          <w:szCs w:val="28"/>
        </w:rPr>
        <w:t>年度落實一系列新措施，以加強在社區層面有關認知障礙症的照顧及支援，包括為長者地區中心、長者鄰舍中心、長者日間護理中心／單位及家居照顧服務隊增撥資源，以加強認知障礙症照顧及相關的員工培訓。為期三年的「全城『認知無障礙』大行動</w:t>
      </w:r>
      <w:r w:rsidRPr="00956168">
        <w:rPr>
          <w:rFonts w:cs="Times New Roman"/>
          <w:bCs/>
          <w:kern w:val="0"/>
          <w:szCs w:val="28"/>
        </w:rPr>
        <w:t xml:space="preserve"> </w:t>
      </w:r>
      <w:r w:rsidRPr="00956168">
        <w:rPr>
          <w:rFonts w:cs="Times New Roman" w:hint="eastAsia"/>
          <w:bCs/>
          <w:kern w:val="0"/>
          <w:szCs w:val="28"/>
        </w:rPr>
        <w:t>」全港公眾教育活動亦於</w:t>
      </w:r>
      <w:r w:rsidRPr="00956168">
        <w:rPr>
          <w:rFonts w:cs="Times New Roman"/>
          <w:bCs/>
          <w:kern w:val="0"/>
          <w:szCs w:val="28"/>
        </w:rPr>
        <w:t>2018</w:t>
      </w:r>
      <w:r w:rsidRPr="00956168">
        <w:rPr>
          <w:rFonts w:cs="Times New Roman" w:hint="eastAsia"/>
          <w:bCs/>
          <w:kern w:val="0"/>
          <w:szCs w:val="28"/>
        </w:rPr>
        <w:t>年</w:t>
      </w:r>
      <w:r w:rsidRPr="00956168">
        <w:rPr>
          <w:rFonts w:cs="Times New Roman"/>
          <w:bCs/>
          <w:kern w:val="0"/>
          <w:szCs w:val="28"/>
        </w:rPr>
        <w:t>9</w:t>
      </w:r>
      <w:r w:rsidRPr="00956168">
        <w:rPr>
          <w:rFonts w:cs="Times New Roman" w:hint="eastAsia"/>
          <w:bCs/>
          <w:kern w:val="0"/>
          <w:szCs w:val="28"/>
        </w:rPr>
        <w:t>月開展，以加強市民對認知障礙症的認識，並鼓勵社會人士關心和支持認知障礙症患者及其家人，以建立一個認知障礙症友善的社區。</w:t>
      </w:r>
    </w:p>
    <w:p w:rsidR="00BC2CCC" w:rsidRDefault="00BC2CCC" w:rsidP="00BC2CCC">
      <w:pPr>
        <w:tabs>
          <w:tab w:val="left" w:pos="1440"/>
        </w:tabs>
        <w:adjustRightInd w:val="0"/>
        <w:snapToGrid w:val="0"/>
        <w:spacing w:line="400" w:lineRule="atLeast"/>
        <w:jc w:val="both"/>
        <w:rPr>
          <w:rFonts w:cs="Times New Roman"/>
          <w:bCs/>
          <w:kern w:val="0"/>
          <w:szCs w:val="28"/>
          <w:u w:val="single"/>
        </w:rPr>
      </w:pPr>
    </w:p>
    <w:p w:rsidR="00BC2CCC" w:rsidRDefault="00BC2CCC" w:rsidP="00BC2CCC">
      <w:pPr>
        <w:tabs>
          <w:tab w:val="left" w:pos="1440"/>
        </w:tabs>
        <w:adjustRightInd w:val="0"/>
        <w:snapToGrid w:val="0"/>
        <w:spacing w:line="400" w:lineRule="atLeast"/>
        <w:jc w:val="both"/>
        <w:rPr>
          <w:rFonts w:cs="Times New Roman"/>
          <w:bCs/>
          <w:kern w:val="0"/>
          <w:szCs w:val="28"/>
          <w:u w:val="single"/>
        </w:rPr>
      </w:pPr>
    </w:p>
    <w:p w:rsidR="00BC2CCC" w:rsidRPr="00AF0EB8" w:rsidRDefault="00BC2CCC" w:rsidP="00BC2CCC">
      <w:pPr>
        <w:tabs>
          <w:tab w:val="left" w:pos="1440"/>
        </w:tabs>
        <w:adjustRightInd w:val="0"/>
        <w:snapToGrid w:val="0"/>
        <w:spacing w:line="400" w:lineRule="atLeast"/>
        <w:jc w:val="both"/>
        <w:rPr>
          <w:rFonts w:cs="Times New Roman"/>
          <w:bCs/>
          <w:kern w:val="0"/>
          <w:szCs w:val="28"/>
          <w:u w:val="single"/>
        </w:rPr>
      </w:pPr>
    </w:p>
    <w:p w:rsidR="00BC2CCC" w:rsidRPr="00956168" w:rsidRDefault="00BC2CCC" w:rsidP="00BC2CCC">
      <w:pPr>
        <w:tabs>
          <w:tab w:val="left" w:pos="1440"/>
        </w:tabs>
        <w:adjustRightInd w:val="0"/>
        <w:snapToGrid w:val="0"/>
        <w:spacing w:line="400" w:lineRule="atLeast"/>
        <w:jc w:val="both"/>
        <w:rPr>
          <w:rFonts w:cs="Times New Roman"/>
          <w:bCs/>
          <w:kern w:val="0"/>
          <w:szCs w:val="28"/>
          <w:u w:val="single"/>
        </w:rPr>
      </w:pPr>
      <w:r w:rsidRPr="00956168">
        <w:rPr>
          <w:rFonts w:cs="Times New Roman" w:hint="eastAsia"/>
          <w:bCs/>
          <w:kern w:val="0"/>
          <w:szCs w:val="28"/>
          <w:u w:val="single"/>
        </w:rPr>
        <w:lastRenderedPageBreak/>
        <w:t>支援弱勢長者</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i/>
          <w:kern w:val="0"/>
          <w:szCs w:val="28"/>
        </w:rPr>
      </w:pPr>
      <w:r w:rsidRPr="00956168">
        <w:rPr>
          <w:rFonts w:cs="Times New Roman" w:hint="eastAsia"/>
          <w:bCs/>
          <w:i/>
          <w:kern w:val="0"/>
          <w:szCs w:val="28"/>
        </w:rPr>
        <w:t>防止虐老措施</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sidRPr="00956168">
        <w:rPr>
          <w:rFonts w:cs="Times New Roman"/>
          <w:bCs/>
          <w:kern w:val="0"/>
          <w:szCs w:val="28"/>
        </w:rPr>
        <w:t>1</w:t>
      </w:r>
      <w:r>
        <w:rPr>
          <w:rFonts w:cs="Times New Roman" w:hint="eastAsia"/>
          <w:bCs/>
          <w:kern w:val="0"/>
          <w:szCs w:val="28"/>
        </w:rPr>
        <w:t>5</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政府提供一系列預防、支援及專門服務，以支援家庭暴力受害人和有需要的家庭，包括虐老個案的受害人，有關服務包括：社區教育、危機介入、輔導熱線、經濟和住宿援助，以及轉介受害人接受緊急住宿照顧、庇護中心和暫託服務。預防和處理虐老個案的服務，由長者地區中心、長者鄰舍中心、長者支援服務隊、綜合家庭服務中心、綜合服務中心、保護家庭及兒童服務課、臨床心理服務課、家庭支援網絡隊、婦女庇護中心、家庭危機支援中心及危機介入及支援中心等提供。</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16</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此外，政府繼續透過公眾宣傳和教育，加強公眾對防止虐待長者的意識，並會持續採取各種預防和介入措施，為有需要的人士提供適切的支援。社署印製了「保護長者免受虐待」的宣傳單張，幫助長者及其他市民認識虐待長者的問題，預防虐老事件的發生，並且鼓勵受虐長者及其親友及早求助，使情況得以改善。單張除了中英文版本外，亦印製成多種少數族裔語言，讓防止虐老訊息得以更廣泛傳遞。地區的服務單位亦有舉辦預防虐待長者及智障人士的公眾教育活動，讓他們及其家人對此問題有更多認識，從而鼓勵有需要的人士及早求助。</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17</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社署亦會定期為服務長者的管理及前線員工舉辦不同訓練課程，以加強該員工對認識虐老及處理懷疑個案的知識和技能，增強前線人員在危機評估、預防暴力及創傷後輔導等方面的能力。過去兩年，社署舉辦了約</w:t>
      </w:r>
      <w:r w:rsidRPr="00956168">
        <w:rPr>
          <w:rFonts w:cs="Times New Roman"/>
          <w:bCs/>
          <w:kern w:val="0"/>
          <w:szCs w:val="28"/>
        </w:rPr>
        <w:t>30</w:t>
      </w:r>
      <w:r w:rsidRPr="00956168">
        <w:rPr>
          <w:rFonts w:cs="Times New Roman" w:hint="eastAsia"/>
          <w:bCs/>
          <w:kern w:val="0"/>
          <w:szCs w:val="28"/>
        </w:rPr>
        <w:t>個相關的訓練課程，對象為社署和非政府機構的安老服務單位，以及醫院管理局、私營安老院的員工等，合共有超過</w:t>
      </w:r>
      <w:r w:rsidRPr="00956168">
        <w:rPr>
          <w:rFonts w:cs="Times New Roman"/>
          <w:bCs/>
          <w:kern w:val="0"/>
          <w:szCs w:val="28"/>
        </w:rPr>
        <w:t>3 500</w:t>
      </w:r>
      <w:r w:rsidRPr="00956168">
        <w:rPr>
          <w:rFonts w:cs="Times New Roman" w:hint="eastAsia"/>
          <w:bCs/>
          <w:kern w:val="0"/>
          <w:szCs w:val="28"/>
        </w:rPr>
        <w:t>人次參與。</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i/>
          <w:kern w:val="0"/>
          <w:szCs w:val="28"/>
        </w:rPr>
      </w:pPr>
      <w:r w:rsidRPr="00956168">
        <w:rPr>
          <w:rFonts w:cs="Times New Roman" w:hint="eastAsia"/>
          <w:bCs/>
          <w:i/>
          <w:kern w:val="0"/>
          <w:szCs w:val="28"/>
        </w:rPr>
        <w:t>其他支援困乏長者的措施</w:t>
      </w:r>
    </w:p>
    <w:p w:rsidR="00BC2CCC" w:rsidRPr="00956168" w:rsidRDefault="00BC2CCC" w:rsidP="00BC2CCC">
      <w:pPr>
        <w:tabs>
          <w:tab w:val="left" w:pos="1440"/>
        </w:tabs>
        <w:adjustRightInd w:val="0"/>
        <w:snapToGrid w:val="0"/>
        <w:spacing w:line="400" w:lineRule="atLeast"/>
        <w:jc w:val="both"/>
        <w:rPr>
          <w:rFonts w:cs="Times New Roman"/>
          <w:bCs/>
          <w:i/>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rPr>
      </w:pPr>
      <w:r>
        <w:rPr>
          <w:rFonts w:cs="Times New Roman" w:hint="eastAsia"/>
          <w:bCs/>
          <w:kern w:val="0"/>
          <w:szCs w:val="28"/>
        </w:rPr>
        <w:t>18</w:t>
      </w:r>
      <w:r>
        <w:rPr>
          <w:rFonts w:cs="Times New Roman"/>
          <w:bCs/>
          <w:kern w:val="0"/>
          <w:szCs w:val="28"/>
        </w:rPr>
        <w:t>.</w:t>
      </w:r>
      <w:r w:rsidRPr="00956168">
        <w:rPr>
          <w:rFonts w:cs="Times New Roman"/>
          <w:bCs/>
          <w:kern w:val="0"/>
          <w:szCs w:val="28"/>
        </w:rPr>
        <w:tab/>
      </w:r>
      <w:r w:rsidRPr="00956168">
        <w:rPr>
          <w:rFonts w:cs="Times New Roman" w:hint="eastAsia"/>
          <w:bCs/>
          <w:kern w:val="0"/>
          <w:szCs w:val="28"/>
        </w:rPr>
        <w:t>現時全港所有津助長者中心均會為社區上隱蔽和需要照顧的長者及護老者提供外展服務。各長者中心的社工會在提供服務的</w:t>
      </w:r>
      <w:r w:rsidRPr="00956168">
        <w:rPr>
          <w:rFonts w:cs="Times New Roman" w:hint="eastAsia"/>
          <w:bCs/>
          <w:kern w:val="0"/>
          <w:szCs w:val="28"/>
        </w:rPr>
        <w:lastRenderedPageBreak/>
        <w:t>過程中，了解長者及其家庭的支援網絡（例如長者是否與家人同住，或有否足夠的親友／鄰舍支援），從而為他們提供適當的服務。此外，長者地區中心轄下的長者支援服務隊會透過不同的外展服務及社區網絡，介紹社區服務及識別有服務需要的長者及護老者（例如獨老或雙老家庭、有殘疾或高齡的護老者），並透過與各地區組織、互助委員會、物業管理公司等建立的網絡發掘隱蔽及需要支援的長者及護老者。</w:t>
      </w:r>
    </w:p>
    <w:p w:rsidR="00BC2CCC"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s>
        <w:adjustRightInd w:val="0"/>
        <w:snapToGrid w:val="0"/>
        <w:spacing w:line="400" w:lineRule="atLeast"/>
        <w:jc w:val="both"/>
        <w:rPr>
          <w:rFonts w:cs="Times New Roman"/>
          <w:bCs/>
          <w:kern w:val="0"/>
          <w:szCs w:val="28"/>
          <w:u w:val="single"/>
        </w:rPr>
      </w:pPr>
      <w:r w:rsidRPr="00956168">
        <w:rPr>
          <w:rFonts w:cs="Times New Roman" w:hint="eastAsia"/>
          <w:bCs/>
          <w:kern w:val="0"/>
          <w:szCs w:val="28"/>
          <w:u w:val="single"/>
        </w:rPr>
        <w:t>支援護老者</w:t>
      </w: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19.</w:t>
      </w:r>
      <w:r w:rsidRPr="00956168">
        <w:rPr>
          <w:rFonts w:cs="Times New Roman"/>
          <w:bCs/>
          <w:kern w:val="0"/>
          <w:szCs w:val="28"/>
        </w:rPr>
        <w:tab/>
      </w:r>
      <w:r w:rsidRPr="00956168">
        <w:rPr>
          <w:rFonts w:cs="Times New Roman" w:hint="eastAsia"/>
          <w:bCs/>
          <w:kern w:val="0"/>
          <w:szCs w:val="28"/>
        </w:rPr>
        <w:t>護老者在協助長者居家安老方面，擔當十分重要的角色。現時政府透過全港</w:t>
      </w:r>
      <w:r w:rsidRPr="00956168">
        <w:rPr>
          <w:rFonts w:cs="Times New Roman"/>
          <w:bCs/>
          <w:kern w:val="0"/>
          <w:szCs w:val="28"/>
        </w:rPr>
        <w:t>210</w:t>
      </w:r>
      <w:r w:rsidRPr="00956168">
        <w:rPr>
          <w:rFonts w:cs="Times New Roman" w:hint="eastAsia"/>
          <w:bCs/>
          <w:kern w:val="0"/>
          <w:szCs w:val="28"/>
        </w:rPr>
        <w:t>間津助長者中心、</w:t>
      </w:r>
      <w:r w:rsidRPr="00956168">
        <w:rPr>
          <w:rFonts w:cs="Times New Roman"/>
          <w:bCs/>
          <w:kern w:val="0"/>
          <w:szCs w:val="28"/>
        </w:rPr>
        <w:t>94</w:t>
      </w:r>
      <w:r w:rsidRPr="00956168">
        <w:rPr>
          <w:rFonts w:cs="Times New Roman" w:hint="eastAsia"/>
          <w:bCs/>
          <w:kern w:val="0"/>
          <w:szCs w:val="28"/>
        </w:rPr>
        <w:t>支家居照顧服務隊，以及</w:t>
      </w:r>
      <w:r w:rsidRPr="00956168">
        <w:rPr>
          <w:rFonts w:cs="Times New Roman"/>
          <w:bCs/>
          <w:kern w:val="0"/>
          <w:szCs w:val="28"/>
        </w:rPr>
        <w:t>76</w:t>
      </w:r>
      <w:r w:rsidRPr="00956168">
        <w:rPr>
          <w:rFonts w:cs="Times New Roman" w:hint="eastAsia"/>
          <w:bCs/>
          <w:kern w:val="0"/>
          <w:szCs w:val="28"/>
        </w:rPr>
        <w:t>間長者日間護理中心／單位，為護老者提供一系列的支援服務，包括提供資訊、訓練及輔導、協助成立互助小組、以及提供復康器材示範及借用服務等。為減輕護老者的壓力，並讓他們在有需要時可得到短暫休息或處理個人事務，政府亦透過安老院舍和長者日間護理中心／單位，為長者提供住宿和日間暫託服務。政府會繼續在新落成的安老服務設施增設指定暫託服務名額。如有需要，長者亦可在「長者社區照顧服務券試驗計劃」下，使用每月社區券價值購買住宿暫託服務。</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20.</w:t>
      </w:r>
      <w:r w:rsidRPr="00956168">
        <w:rPr>
          <w:rFonts w:cs="Times New Roman"/>
          <w:bCs/>
          <w:kern w:val="0"/>
          <w:szCs w:val="28"/>
        </w:rPr>
        <w:tab/>
      </w:r>
      <w:r w:rsidRPr="00956168">
        <w:rPr>
          <w:rFonts w:cs="Times New Roman" w:hint="eastAsia"/>
          <w:bCs/>
          <w:kern w:val="0"/>
          <w:szCs w:val="28"/>
        </w:rPr>
        <w:t>為確保有需要護老者得到適當的支援，政府已在</w:t>
      </w:r>
      <w:r w:rsidRPr="00956168">
        <w:rPr>
          <w:rFonts w:cs="Times New Roman"/>
          <w:bCs/>
          <w:kern w:val="0"/>
          <w:szCs w:val="28"/>
        </w:rPr>
        <w:t>2018-19</w:t>
      </w:r>
      <w:r w:rsidRPr="00956168">
        <w:rPr>
          <w:rFonts w:cs="Times New Roman" w:hint="eastAsia"/>
          <w:bCs/>
          <w:kern w:val="0"/>
          <w:szCs w:val="28"/>
        </w:rPr>
        <w:t>年度向全港所有津助長者中心及家居照顧服務隊增撥資源，以加強外展服務，支援居於社區和照顧體弱長者的護老者，包括有殘疾或高齡的護老者。在新增撥的資源下，長者中心及家居照顧服務隊會透過不同的外展服務及社區網絡，例如聯繫不同的鄰里網絡及動員社區人士，以識別有潛在需要的護老者，並提供所需的支援服務，例如短暫到戶看顧，以紓緩護老者的壓力。</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21.</w:t>
      </w:r>
      <w:r w:rsidRPr="00956168">
        <w:rPr>
          <w:rFonts w:cs="Times New Roman"/>
          <w:bCs/>
          <w:kern w:val="0"/>
          <w:szCs w:val="28"/>
        </w:rPr>
        <w:tab/>
      </w:r>
      <w:r w:rsidRPr="00956168">
        <w:rPr>
          <w:rFonts w:cs="Times New Roman" w:hint="eastAsia"/>
          <w:bCs/>
          <w:kern w:val="0"/>
          <w:szCs w:val="28"/>
        </w:rPr>
        <w:t>除了為護老者提供不同的支援服務外，政府亦於</w:t>
      </w:r>
      <w:r w:rsidRPr="00956168">
        <w:rPr>
          <w:rFonts w:cs="Times New Roman"/>
          <w:bCs/>
          <w:kern w:val="0"/>
          <w:szCs w:val="28"/>
        </w:rPr>
        <w:t>2014</w:t>
      </w:r>
      <w:r w:rsidRPr="00956168">
        <w:rPr>
          <w:rFonts w:cs="Times New Roman" w:hint="eastAsia"/>
          <w:bCs/>
          <w:kern w:val="0"/>
          <w:szCs w:val="28"/>
        </w:rPr>
        <w:t>年</w:t>
      </w:r>
      <w:r w:rsidRPr="00956168">
        <w:rPr>
          <w:rFonts w:cs="Times New Roman"/>
          <w:bCs/>
          <w:kern w:val="0"/>
          <w:szCs w:val="28"/>
        </w:rPr>
        <w:t>6</w:t>
      </w:r>
      <w:r w:rsidRPr="00956168">
        <w:rPr>
          <w:rFonts w:cs="Times New Roman" w:hint="eastAsia"/>
          <w:bCs/>
          <w:kern w:val="0"/>
          <w:szCs w:val="28"/>
        </w:rPr>
        <w:t>月推出「為低收入家庭護老者提供生活津貼試驗計劃」，旨在向低收入家庭護老者發放生活津貼，以補貼其生活開支，並讓有長期護理需要的長者能在護老者的協助下，得到更適切的照顧及繼續在熟悉的社區安老。試驗計劃第二期及第三期分別於</w:t>
      </w:r>
      <w:r w:rsidRPr="00956168">
        <w:rPr>
          <w:rFonts w:cs="Times New Roman"/>
          <w:bCs/>
          <w:kern w:val="0"/>
          <w:szCs w:val="28"/>
        </w:rPr>
        <w:t>2016</w:t>
      </w:r>
      <w:r w:rsidRPr="00956168">
        <w:rPr>
          <w:rFonts w:cs="Times New Roman" w:hint="eastAsia"/>
          <w:bCs/>
          <w:kern w:val="0"/>
          <w:szCs w:val="28"/>
        </w:rPr>
        <w:t>年</w:t>
      </w:r>
      <w:r w:rsidRPr="00956168">
        <w:rPr>
          <w:rFonts w:cs="Times New Roman"/>
          <w:bCs/>
          <w:kern w:val="0"/>
          <w:szCs w:val="28"/>
        </w:rPr>
        <w:t>10</w:t>
      </w:r>
      <w:r w:rsidRPr="00956168">
        <w:rPr>
          <w:rFonts w:cs="Times New Roman" w:hint="eastAsia"/>
          <w:bCs/>
          <w:kern w:val="0"/>
          <w:szCs w:val="28"/>
        </w:rPr>
        <w:t>月及</w:t>
      </w:r>
      <w:r w:rsidRPr="00956168">
        <w:rPr>
          <w:rFonts w:cs="Times New Roman"/>
          <w:bCs/>
          <w:kern w:val="0"/>
          <w:szCs w:val="28"/>
        </w:rPr>
        <w:t>2018</w:t>
      </w:r>
      <w:r w:rsidRPr="00956168">
        <w:rPr>
          <w:rFonts w:cs="Times New Roman" w:hint="eastAsia"/>
          <w:bCs/>
          <w:kern w:val="0"/>
          <w:szCs w:val="28"/>
        </w:rPr>
        <w:t>年</w:t>
      </w:r>
      <w:r w:rsidRPr="00956168">
        <w:rPr>
          <w:rFonts w:cs="Times New Roman"/>
          <w:bCs/>
          <w:kern w:val="0"/>
          <w:szCs w:val="28"/>
        </w:rPr>
        <w:lastRenderedPageBreak/>
        <w:t>10</w:t>
      </w:r>
      <w:r w:rsidRPr="00956168">
        <w:rPr>
          <w:rFonts w:cs="Times New Roman" w:hint="eastAsia"/>
          <w:bCs/>
          <w:kern w:val="0"/>
          <w:szCs w:val="28"/>
        </w:rPr>
        <w:t>月推出，各為期兩年。三期試驗計劃共提供</w:t>
      </w:r>
      <w:r w:rsidRPr="00956168">
        <w:rPr>
          <w:rFonts w:cs="Times New Roman"/>
          <w:bCs/>
          <w:kern w:val="0"/>
          <w:szCs w:val="28"/>
        </w:rPr>
        <w:t>6 000</w:t>
      </w:r>
      <w:r w:rsidRPr="00956168">
        <w:rPr>
          <w:rFonts w:cs="Times New Roman" w:hint="eastAsia"/>
          <w:bCs/>
          <w:kern w:val="0"/>
          <w:szCs w:val="28"/>
        </w:rPr>
        <w:t>個受惠名額。</w:t>
      </w:r>
    </w:p>
    <w:p w:rsidR="00BC2CCC" w:rsidRPr="00956168" w:rsidRDefault="00BC2CCC" w:rsidP="00BC2CCC">
      <w:pPr>
        <w:tabs>
          <w:tab w:val="left" w:pos="1440"/>
        </w:tabs>
        <w:adjustRightInd w:val="0"/>
        <w:snapToGrid w:val="0"/>
        <w:spacing w:line="400" w:lineRule="atLeast"/>
        <w:jc w:val="both"/>
        <w:rPr>
          <w:rFonts w:cs="Times New Roman"/>
          <w:bCs/>
          <w:kern w:val="0"/>
          <w:szCs w:val="28"/>
        </w:rPr>
      </w:pPr>
    </w:p>
    <w:p w:rsidR="00BC2CCC" w:rsidRPr="00956168"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22.</w:t>
      </w:r>
      <w:r w:rsidRPr="00956168">
        <w:rPr>
          <w:rFonts w:cs="Times New Roman"/>
          <w:bCs/>
          <w:kern w:val="0"/>
          <w:szCs w:val="28"/>
        </w:rPr>
        <w:tab/>
      </w:r>
      <w:r w:rsidRPr="00956168">
        <w:rPr>
          <w:rFonts w:cs="Times New Roman" w:hint="eastAsia"/>
          <w:bCs/>
          <w:kern w:val="0"/>
          <w:szCs w:val="28"/>
        </w:rPr>
        <w:t>此外，由於外傭在不少香港家庭中擔當著主要護老者的角色，政府於</w:t>
      </w:r>
      <w:r w:rsidRPr="00956168">
        <w:rPr>
          <w:rFonts w:cs="Times New Roman"/>
          <w:bCs/>
          <w:kern w:val="0"/>
          <w:szCs w:val="28"/>
        </w:rPr>
        <w:t>2018</w:t>
      </w:r>
      <w:r w:rsidRPr="00956168">
        <w:rPr>
          <w:rFonts w:cs="Times New Roman" w:hint="eastAsia"/>
          <w:bCs/>
          <w:kern w:val="0"/>
          <w:szCs w:val="28"/>
        </w:rPr>
        <w:t>年</w:t>
      </w:r>
      <w:r w:rsidRPr="00956168">
        <w:rPr>
          <w:rFonts w:cs="Times New Roman"/>
          <w:bCs/>
          <w:kern w:val="0"/>
          <w:szCs w:val="28"/>
        </w:rPr>
        <w:t>3</w:t>
      </w:r>
      <w:r w:rsidRPr="00956168">
        <w:rPr>
          <w:rFonts w:cs="Times New Roman" w:hint="eastAsia"/>
          <w:bCs/>
          <w:kern w:val="0"/>
          <w:szCs w:val="28"/>
        </w:rPr>
        <w:t>月起推行為期</w:t>
      </w:r>
      <w:r w:rsidRPr="00956168">
        <w:rPr>
          <w:rFonts w:cs="Times New Roman"/>
          <w:bCs/>
          <w:kern w:val="0"/>
          <w:szCs w:val="28"/>
        </w:rPr>
        <w:t>18</w:t>
      </w:r>
      <w:r w:rsidRPr="00956168">
        <w:rPr>
          <w:rFonts w:cs="Times New Roman" w:hint="eastAsia"/>
          <w:bCs/>
          <w:kern w:val="0"/>
          <w:szCs w:val="28"/>
        </w:rPr>
        <w:t>個月的「外傭護老培訓試驗計劃」，以加強外傭照顧體弱長者的技巧，提高長者在社區的生活質素，支援長者居家安老。試驗計劃合共提供</w:t>
      </w:r>
      <w:r w:rsidRPr="00956168">
        <w:rPr>
          <w:rFonts w:cs="Times New Roman"/>
          <w:bCs/>
          <w:kern w:val="0"/>
          <w:szCs w:val="28"/>
        </w:rPr>
        <w:t>300</w:t>
      </w:r>
      <w:r w:rsidRPr="00956168">
        <w:rPr>
          <w:rFonts w:cs="Times New Roman" w:hint="eastAsia"/>
          <w:bCs/>
          <w:kern w:val="0"/>
          <w:szCs w:val="28"/>
        </w:rPr>
        <w:t>個培訓名額，費用全免。培訓內容除了涵蓋常見的護老照顧技巧，亦包括照顧認知障礙症及中風長者的選修科目。鑑於外傭及僱主對試驗計劃的反應正面，政府將於</w:t>
      </w:r>
      <w:r w:rsidRPr="00956168">
        <w:rPr>
          <w:rFonts w:cs="Times New Roman"/>
          <w:bCs/>
          <w:kern w:val="0"/>
          <w:szCs w:val="28"/>
        </w:rPr>
        <w:t>2019</w:t>
      </w:r>
      <w:r w:rsidRPr="00956168">
        <w:rPr>
          <w:rFonts w:cs="Times New Roman" w:hint="eastAsia"/>
          <w:bCs/>
          <w:kern w:val="0"/>
          <w:szCs w:val="28"/>
        </w:rPr>
        <w:t>年將試驗計劃擴展至多個地區，合共提供約</w:t>
      </w:r>
      <w:r w:rsidRPr="00956168">
        <w:rPr>
          <w:rFonts w:cs="Times New Roman"/>
          <w:bCs/>
          <w:kern w:val="0"/>
          <w:szCs w:val="28"/>
        </w:rPr>
        <w:t>800</w:t>
      </w:r>
      <w:r w:rsidRPr="00956168">
        <w:rPr>
          <w:rFonts w:cs="Times New Roman" w:hint="eastAsia"/>
          <w:bCs/>
          <w:kern w:val="0"/>
          <w:szCs w:val="28"/>
        </w:rPr>
        <w:t>個培訓名額。</w:t>
      </w:r>
    </w:p>
    <w:p w:rsidR="00BC2CCC" w:rsidRDefault="00BC2CCC" w:rsidP="00BC2CCC">
      <w:pPr>
        <w:jc w:val="both"/>
      </w:pPr>
    </w:p>
    <w:p w:rsidR="00BC2CCC" w:rsidRDefault="00BC2CCC" w:rsidP="00BC2CCC">
      <w:pPr>
        <w:tabs>
          <w:tab w:val="left" w:pos="1440"/>
        </w:tabs>
        <w:adjustRightInd w:val="0"/>
        <w:snapToGrid w:val="0"/>
        <w:spacing w:line="400" w:lineRule="atLeast"/>
        <w:jc w:val="both"/>
        <w:rPr>
          <w:rFonts w:cs="Times New Roman"/>
          <w:bCs/>
          <w:kern w:val="0"/>
          <w:szCs w:val="28"/>
          <w:u w:val="single"/>
        </w:rPr>
      </w:pPr>
      <w:r w:rsidRPr="00674C6C">
        <w:rPr>
          <w:rFonts w:cs="Times New Roman" w:hint="eastAsia"/>
          <w:bCs/>
          <w:kern w:val="0"/>
          <w:szCs w:val="28"/>
          <w:u w:val="single"/>
        </w:rPr>
        <w:t>檢視院舍法例</w:t>
      </w:r>
    </w:p>
    <w:p w:rsidR="00BC2CCC" w:rsidRDefault="00BC2CCC" w:rsidP="00BC2CCC">
      <w:pPr>
        <w:tabs>
          <w:tab w:val="left" w:pos="1440"/>
        </w:tabs>
        <w:adjustRightInd w:val="0"/>
        <w:snapToGrid w:val="0"/>
        <w:spacing w:line="400" w:lineRule="atLeast"/>
        <w:jc w:val="both"/>
        <w:rPr>
          <w:rFonts w:cs="Times New Roman"/>
          <w:bCs/>
          <w:kern w:val="0"/>
          <w:szCs w:val="28"/>
          <w:u w:val="single"/>
        </w:rPr>
      </w:pPr>
    </w:p>
    <w:p w:rsidR="00BC2CCC" w:rsidRDefault="00BC2CCC" w:rsidP="00BC2CCC">
      <w:pPr>
        <w:tabs>
          <w:tab w:val="left" w:pos="1440"/>
          <w:tab w:val="left" w:pos="1680"/>
        </w:tabs>
        <w:adjustRightInd w:val="0"/>
        <w:snapToGrid w:val="0"/>
        <w:spacing w:line="400" w:lineRule="atLeast"/>
        <w:jc w:val="both"/>
        <w:rPr>
          <w:rFonts w:cs="Times New Roman"/>
          <w:bCs/>
          <w:kern w:val="0"/>
          <w:szCs w:val="28"/>
        </w:rPr>
      </w:pPr>
      <w:r>
        <w:rPr>
          <w:rFonts w:cs="Times New Roman" w:hint="eastAsia"/>
          <w:bCs/>
          <w:kern w:val="0"/>
          <w:szCs w:val="28"/>
        </w:rPr>
        <w:t>23.</w:t>
      </w:r>
      <w:r>
        <w:rPr>
          <w:rFonts w:cs="Times New Roman" w:hint="eastAsia"/>
          <w:bCs/>
          <w:kern w:val="0"/>
          <w:szCs w:val="28"/>
        </w:rPr>
        <w:tab/>
      </w:r>
      <w:r w:rsidRPr="00674C6C">
        <w:rPr>
          <w:rFonts w:cs="Times New Roman" w:hint="eastAsia"/>
          <w:bCs/>
          <w:kern w:val="0"/>
          <w:szCs w:val="28"/>
        </w:rPr>
        <w:t>政府已於</w:t>
      </w:r>
      <w:r w:rsidRPr="00674C6C">
        <w:rPr>
          <w:rFonts w:cs="Times New Roman"/>
          <w:bCs/>
          <w:kern w:val="0"/>
          <w:szCs w:val="28"/>
        </w:rPr>
        <w:t>2017</w:t>
      </w:r>
      <w:r w:rsidRPr="00674C6C">
        <w:rPr>
          <w:rFonts w:cs="Times New Roman" w:hint="eastAsia"/>
          <w:bCs/>
          <w:kern w:val="0"/>
          <w:szCs w:val="28"/>
        </w:rPr>
        <w:t>年</w:t>
      </w:r>
      <w:r w:rsidRPr="00674C6C">
        <w:rPr>
          <w:rFonts w:cs="Times New Roman"/>
          <w:bCs/>
          <w:kern w:val="0"/>
          <w:szCs w:val="28"/>
        </w:rPr>
        <w:t>6</w:t>
      </w:r>
      <w:r w:rsidRPr="00674C6C">
        <w:rPr>
          <w:rFonts w:cs="Times New Roman" w:hint="eastAsia"/>
          <w:bCs/>
          <w:kern w:val="0"/>
          <w:szCs w:val="28"/>
        </w:rPr>
        <w:t>月成立檢視院舍法例及實務守則工作小組，以全面檢視《安老院條例》（第</w:t>
      </w:r>
      <w:r w:rsidRPr="00674C6C">
        <w:rPr>
          <w:rFonts w:cs="Times New Roman"/>
          <w:bCs/>
          <w:kern w:val="0"/>
          <w:szCs w:val="28"/>
        </w:rPr>
        <w:t>459</w:t>
      </w:r>
      <w:r w:rsidRPr="00674C6C">
        <w:rPr>
          <w:rFonts w:cs="Times New Roman" w:hint="eastAsia"/>
          <w:bCs/>
          <w:kern w:val="0"/>
          <w:szCs w:val="28"/>
        </w:rPr>
        <w:t>章）、《殘疾人士院舍條例》（第</w:t>
      </w:r>
      <w:r w:rsidRPr="00674C6C">
        <w:rPr>
          <w:rFonts w:cs="Times New Roman"/>
          <w:bCs/>
          <w:kern w:val="0"/>
          <w:szCs w:val="28"/>
        </w:rPr>
        <w:t>613</w:t>
      </w:r>
      <w:r w:rsidRPr="00674C6C">
        <w:rPr>
          <w:rFonts w:cs="Times New Roman" w:hint="eastAsia"/>
          <w:bCs/>
          <w:kern w:val="0"/>
          <w:szCs w:val="28"/>
        </w:rPr>
        <w:t>章）和有關的實務守則。工作小組成員包括來自九個界別的代表，計有立法會議員、經營／營辦安老院及殘疾人士院舍的非政府機構及私營業界人士、安老事務委員會及康復諮詢委員會委員、學術界人士、獨立人士、服務使用者／照顧者，以及香港社會服務聯會和勞福局的代表。工作小組已檢視了多個主要範疇，包括持牌人及院舍主管須遵守的規定、人手要求、保健員註冊事宜、罪行及罰則、最低住客人均樓面面積，以及院舍的分類等。工作小組預計在</w:t>
      </w:r>
      <w:r w:rsidRPr="00674C6C">
        <w:rPr>
          <w:rFonts w:cs="Times New Roman"/>
          <w:bCs/>
          <w:kern w:val="0"/>
          <w:szCs w:val="28"/>
        </w:rPr>
        <w:t>2019</w:t>
      </w:r>
      <w:r w:rsidRPr="00674C6C">
        <w:rPr>
          <w:rFonts w:cs="Times New Roman" w:hint="eastAsia"/>
          <w:bCs/>
          <w:kern w:val="0"/>
          <w:szCs w:val="28"/>
        </w:rPr>
        <w:t>年年中向勞福局提交立法及其他建議</w:t>
      </w:r>
      <w:r>
        <w:rPr>
          <w:rFonts w:cs="Times New Roman" w:hint="eastAsia"/>
          <w:bCs/>
          <w:kern w:val="0"/>
          <w:szCs w:val="28"/>
        </w:rPr>
        <w:t>。</w:t>
      </w:r>
    </w:p>
    <w:p w:rsidR="00BC2CCC" w:rsidRDefault="00BC2CCC" w:rsidP="00BC2CCC">
      <w:pPr>
        <w:tabs>
          <w:tab w:val="left" w:pos="1440"/>
          <w:tab w:val="left" w:pos="1680"/>
        </w:tabs>
        <w:adjustRightInd w:val="0"/>
        <w:snapToGrid w:val="0"/>
        <w:spacing w:line="400" w:lineRule="atLeast"/>
        <w:jc w:val="both"/>
        <w:rPr>
          <w:rFonts w:cs="Times New Roman"/>
          <w:bCs/>
          <w:kern w:val="0"/>
          <w:szCs w:val="28"/>
        </w:rPr>
        <w:sectPr w:rsidR="00BC2CCC" w:rsidSect="00BC2CCC">
          <w:footerReference w:type="default" r:id="rId50"/>
          <w:footerReference w:type="first" r:id="rId51"/>
          <w:footnotePr>
            <w:numRestart w:val="eachSect"/>
          </w:footnotePr>
          <w:pgSz w:w="11906" w:h="16838"/>
          <w:pgMar w:top="1440" w:right="1800" w:bottom="1440" w:left="1800" w:header="720" w:footer="720" w:gutter="0"/>
          <w:pgNumType w:start="1"/>
          <w:cols w:space="425"/>
          <w:titlePg/>
          <w:docGrid w:type="lines" w:linePitch="381"/>
        </w:sectPr>
      </w:pPr>
    </w:p>
    <w:p w:rsidR="00BC2CCC" w:rsidRPr="007D2CC9" w:rsidRDefault="00BC2CCC" w:rsidP="00BC2CCC">
      <w:pPr>
        <w:snapToGrid w:val="0"/>
        <w:spacing w:line="400" w:lineRule="atLeast"/>
        <w:jc w:val="right"/>
        <w:rPr>
          <w:rFonts w:cs="Times New Roman"/>
          <w:b/>
          <w:szCs w:val="28"/>
        </w:rPr>
      </w:pPr>
      <w:r w:rsidRPr="007D2CC9">
        <w:rPr>
          <w:rFonts w:cs="Times New Roman"/>
          <w:b/>
          <w:szCs w:val="28"/>
          <w:lang w:eastAsia="zh-HK"/>
        </w:rPr>
        <w:lastRenderedPageBreak/>
        <w:t>附件</w:t>
      </w:r>
      <w:r w:rsidRPr="007D2CC9">
        <w:rPr>
          <w:rFonts w:cs="Times New Roman"/>
          <w:b/>
          <w:szCs w:val="28"/>
        </w:rPr>
        <w:t>11A</w:t>
      </w:r>
    </w:p>
    <w:p w:rsidR="00BC2CCC" w:rsidRDefault="00BC2CCC" w:rsidP="00BC2CCC">
      <w:pPr>
        <w:snapToGrid w:val="0"/>
        <w:spacing w:line="400" w:lineRule="atLeast"/>
      </w:pPr>
    </w:p>
    <w:p w:rsidR="00BC2CCC" w:rsidRPr="007D2CC9" w:rsidRDefault="00BC2CCC" w:rsidP="00BC2CCC">
      <w:pPr>
        <w:tabs>
          <w:tab w:val="left" w:pos="1440"/>
        </w:tabs>
        <w:adjustRightInd w:val="0"/>
        <w:snapToGrid w:val="0"/>
        <w:spacing w:line="400" w:lineRule="atLeast"/>
        <w:jc w:val="center"/>
        <w:rPr>
          <w:rFonts w:cs="Times New Roman"/>
          <w:b/>
          <w:bCs/>
          <w:szCs w:val="28"/>
        </w:rPr>
      </w:pPr>
      <w:r>
        <w:rPr>
          <w:rFonts w:cs="Times New Roman" w:hint="eastAsia"/>
          <w:b/>
          <w:bCs/>
          <w:szCs w:val="28"/>
          <w:lang w:eastAsia="zh-HK"/>
        </w:rPr>
        <w:t>香港</w:t>
      </w:r>
      <w:r w:rsidRPr="007D2CC9">
        <w:rPr>
          <w:rFonts w:cs="Times New Roman"/>
          <w:b/>
          <w:bCs/>
          <w:szCs w:val="28"/>
        </w:rPr>
        <w:t>整體經濟狀況</w:t>
      </w:r>
    </w:p>
    <w:p w:rsidR="00BC2CCC" w:rsidRPr="007D2CC9" w:rsidRDefault="00BC2CCC" w:rsidP="00BC2CCC">
      <w:pPr>
        <w:tabs>
          <w:tab w:val="left" w:pos="1440"/>
        </w:tabs>
        <w:adjustRightInd w:val="0"/>
        <w:snapToGrid w:val="0"/>
        <w:spacing w:line="400" w:lineRule="atLeast"/>
        <w:jc w:val="both"/>
        <w:rPr>
          <w:rFonts w:cs="Times New Roman"/>
          <w:b/>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hint="eastAsia"/>
          <w:szCs w:val="28"/>
          <w:lang w:val="en-GB"/>
        </w:rPr>
        <w:t>1</w:t>
      </w:r>
      <w:r>
        <w:rPr>
          <w:rFonts w:cs="Times New Roman" w:hint="eastAsia"/>
          <w:szCs w:val="28"/>
          <w:lang w:val="en-GB"/>
        </w:rPr>
        <w:t>.</w:t>
      </w:r>
      <w:r w:rsidRPr="007D2CC9">
        <w:rPr>
          <w:rFonts w:cs="Times New Roman" w:hint="eastAsia"/>
          <w:szCs w:val="28"/>
          <w:lang w:val="en-GB"/>
        </w:rPr>
        <w:tab/>
      </w:r>
      <w:r w:rsidRPr="007D2CC9">
        <w:rPr>
          <w:rFonts w:cs="Times New Roman" w:hint="eastAsia"/>
          <w:szCs w:val="28"/>
          <w:lang w:val="en-GB"/>
        </w:rPr>
        <w:t>香港經濟從環球金融危機中迅速復元，在</w:t>
      </w:r>
      <w:r w:rsidRPr="007D2CC9">
        <w:rPr>
          <w:rFonts w:cs="Times New Roman" w:hint="eastAsia"/>
          <w:szCs w:val="28"/>
          <w:lang w:val="en-GB"/>
        </w:rPr>
        <w:t>2010</w:t>
      </w:r>
      <w:r w:rsidRPr="007D2CC9">
        <w:rPr>
          <w:rFonts w:cs="Times New Roman" w:hint="eastAsia"/>
          <w:szCs w:val="28"/>
          <w:lang w:val="en-GB"/>
        </w:rPr>
        <w:t>年及</w:t>
      </w:r>
      <w:r w:rsidRPr="007D2CC9">
        <w:rPr>
          <w:rFonts w:cs="Times New Roman" w:hint="eastAsia"/>
          <w:szCs w:val="28"/>
          <w:lang w:val="en-GB"/>
        </w:rPr>
        <w:t>2011</w:t>
      </w:r>
      <w:r w:rsidRPr="007D2CC9">
        <w:rPr>
          <w:rFonts w:cs="Times New Roman" w:hint="eastAsia"/>
          <w:szCs w:val="28"/>
          <w:lang w:val="en-GB"/>
        </w:rPr>
        <w:t>年分別錄得</w:t>
      </w:r>
      <w:r w:rsidRPr="007D2CC9">
        <w:rPr>
          <w:rFonts w:cs="Times New Roman" w:hint="eastAsia"/>
          <w:szCs w:val="28"/>
          <w:lang w:val="en-GB"/>
        </w:rPr>
        <w:t>6.8%</w:t>
      </w:r>
      <w:r w:rsidRPr="007D2CC9">
        <w:rPr>
          <w:rFonts w:cs="Times New Roman" w:hint="eastAsia"/>
          <w:szCs w:val="28"/>
          <w:lang w:val="en-GB"/>
        </w:rPr>
        <w:t>及</w:t>
      </w:r>
      <w:r w:rsidRPr="007D2CC9">
        <w:rPr>
          <w:rFonts w:cs="Times New Roman" w:hint="eastAsia"/>
          <w:szCs w:val="28"/>
          <w:lang w:val="en-GB"/>
        </w:rPr>
        <w:t>4.8%</w:t>
      </w:r>
      <w:r w:rsidRPr="007D2CC9">
        <w:rPr>
          <w:rFonts w:cs="Times New Roman" w:hint="eastAsia"/>
          <w:szCs w:val="28"/>
          <w:lang w:val="en-GB"/>
        </w:rPr>
        <w:t>的增長。其後，由於歐債危機的影響，加上環球經濟增長持續緩慢，香港經濟在</w:t>
      </w:r>
      <w:r w:rsidRPr="007D2CC9">
        <w:rPr>
          <w:rFonts w:cs="Times New Roman" w:hint="eastAsia"/>
          <w:szCs w:val="28"/>
          <w:lang w:val="en-GB"/>
        </w:rPr>
        <w:t>2012</w:t>
      </w:r>
      <w:r w:rsidRPr="007D2CC9">
        <w:rPr>
          <w:rFonts w:cs="Times New Roman" w:hint="eastAsia"/>
          <w:szCs w:val="28"/>
          <w:lang w:val="en-GB"/>
        </w:rPr>
        <w:t>年至</w:t>
      </w:r>
      <w:r w:rsidRPr="007D2CC9">
        <w:rPr>
          <w:rFonts w:cs="Times New Roman" w:hint="eastAsia"/>
          <w:szCs w:val="28"/>
          <w:lang w:val="en-GB"/>
        </w:rPr>
        <w:t>2016</w:t>
      </w:r>
      <w:r w:rsidRPr="007D2CC9">
        <w:rPr>
          <w:rFonts w:cs="Times New Roman" w:hint="eastAsia"/>
          <w:szCs w:val="28"/>
          <w:lang w:val="en-GB"/>
        </w:rPr>
        <w:t>年只錄得溫和增長，平均每年增長</w:t>
      </w:r>
      <w:r w:rsidRPr="007D2CC9">
        <w:rPr>
          <w:rFonts w:cs="Times New Roman" w:hint="eastAsia"/>
          <w:szCs w:val="28"/>
          <w:lang w:val="en-GB"/>
        </w:rPr>
        <w:t>2.4%</w:t>
      </w:r>
      <w:r w:rsidRPr="007D2CC9">
        <w:rPr>
          <w:rFonts w:cs="Times New Roman" w:hint="eastAsia"/>
          <w:szCs w:val="28"/>
          <w:lang w:val="en-GB"/>
        </w:rPr>
        <w:t>。</w:t>
      </w:r>
      <w:r w:rsidRPr="007D2CC9">
        <w:rPr>
          <w:rFonts w:cs="Times New Roman" w:hint="eastAsia"/>
          <w:szCs w:val="28"/>
          <w:lang w:val="en-GB"/>
        </w:rPr>
        <w:t>2017</w:t>
      </w:r>
      <w:r w:rsidRPr="007D2CC9">
        <w:rPr>
          <w:rFonts w:cs="Times New Roman" w:hint="eastAsia"/>
          <w:szCs w:val="28"/>
          <w:lang w:val="en-GB"/>
        </w:rPr>
        <w:t>年，環球經濟同步上行，香港經濟隨之顯著擴張，增長加快至</w:t>
      </w:r>
      <w:r w:rsidRPr="007D2CC9">
        <w:rPr>
          <w:rFonts w:cs="Times New Roman" w:hint="eastAsia"/>
          <w:szCs w:val="28"/>
          <w:lang w:val="en-GB"/>
        </w:rPr>
        <w:t>3.8%</w:t>
      </w:r>
      <w:r w:rsidRPr="007D2CC9">
        <w:rPr>
          <w:rFonts w:cs="Times New Roman" w:hint="eastAsia"/>
          <w:szCs w:val="28"/>
          <w:lang w:val="en-GB"/>
        </w:rPr>
        <w:t>。</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szCs w:val="28"/>
          <w:lang w:val="en-GB"/>
        </w:rPr>
        <w:t>2</w:t>
      </w:r>
      <w:r>
        <w:rPr>
          <w:rFonts w:cs="Times New Roman" w:hint="eastAsia"/>
          <w:szCs w:val="28"/>
          <w:lang w:val="en-GB"/>
        </w:rPr>
        <w:t>.</w:t>
      </w:r>
      <w:r w:rsidRPr="007D2CC9">
        <w:rPr>
          <w:rFonts w:cs="Times New Roman"/>
          <w:szCs w:val="28"/>
          <w:lang w:val="en-GB"/>
        </w:rPr>
        <w:tab/>
        <w:t>2018</w:t>
      </w:r>
      <w:r w:rsidRPr="007D2CC9">
        <w:rPr>
          <w:rFonts w:cs="Times New Roman" w:hint="eastAsia"/>
          <w:szCs w:val="28"/>
          <w:lang w:val="en-GB"/>
        </w:rPr>
        <w:t>年上半年，由於環球經濟環境良好，香港經濟增長仍</w:t>
      </w:r>
      <w:r w:rsidRPr="007D2CC9">
        <w:rPr>
          <w:rFonts w:cs="Times New Roman" w:hint="eastAsia"/>
          <w:szCs w:val="28"/>
          <w:lang w:val="en-GB" w:eastAsia="zh-HK"/>
        </w:rPr>
        <w:t>然</w:t>
      </w:r>
      <w:r w:rsidRPr="007D2CC9">
        <w:rPr>
          <w:rFonts w:cs="Times New Roman" w:hint="eastAsia"/>
          <w:szCs w:val="28"/>
          <w:lang w:val="en-GB"/>
        </w:rPr>
        <w:t>強勁。然而，隨着環球經濟放緩，加上外圍不確定性增加，尤其是來自美國與內地貿易摩擦和美國加息的影響，香港經濟增長在</w:t>
      </w:r>
      <w:r w:rsidRPr="007D2CC9">
        <w:rPr>
          <w:rFonts w:cs="Times New Roman"/>
          <w:szCs w:val="28"/>
          <w:lang w:val="en-GB"/>
        </w:rPr>
        <w:t>2018</w:t>
      </w:r>
      <w:r w:rsidRPr="007D2CC9">
        <w:rPr>
          <w:rFonts w:cs="Times New Roman" w:hint="eastAsia"/>
          <w:szCs w:val="28"/>
          <w:lang w:val="en-GB"/>
        </w:rPr>
        <w:t>年下半年明顯減慢。</w:t>
      </w:r>
      <w:r w:rsidRPr="007D2CC9">
        <w:rPr>
          <w:rFonts w:cs="Times New Roman"/>
          <w:szCs w:val="28"/>
          <w:lang w:val="en-GB"/>
        </w:rPr>
        <w:t>2018</w:t>
      </w:r>
      <w:r w:rsidRPr="007D2CC9">
        <w:rPr>
          <w:rFonts w:cs="Times New Roman" w:hint="eastAsia"/>
          <w:szCs w:val="28"/>
          <w:lang w:val="en-GB"/>
        </w:rPr>
        <w:t>年全年合計，香港經濟增長</w:t>
      </w:r>
      <w:r w:rsidRPr="007D2CC9">
        <w:rPr>
          <w:rFonts w:cs="Times New Roman"/>
          <w:szCs w:val="28"/>
          <w:lang w:val="en-GB"/>
        </w:rPr>
        <w:t>3.0%</w:t>
      </w:r>
      <w:r w:rsidRPr="007D2CC9">
        <w:rPr>
          <w:rFonts w:cs="Times New Roman" w:hint="eastAsia"/>
          <w:szCs w:val="28"/>
          <w:lang w:val="en-GB"/>
        </w:rPr>
        <w:t>，增幅連續第二年高於過去十年</w:t>
      </w:r>
      <w:r w:rsidRPr="007D2CC9">
        <w:rPr>
          <w:rFonts w:cs="Times New Roman"/>
          <w:szCs w:val="28"/>
          <w:lang w:val="en-GB"/>
        </w:rPr>
        <w:t>2.8%</w:t>
      </w:r>
      <w:r w:rsidRPr="007D2CC9">
        <w:rPr>
          <w:rFonts w:cs="Times New Roman" w:hint="eastAsia"/>
          <w:szCs w:val="28"/>
          <w:lang w:val="en-GB"/>
        </w:rPr>
        <w:t>的趨勢增長率。香港的人均本地生產總值在</w:t>
      </w:r>
      <w:r w:rsidRPr="007D2CC9">
        <w:rPr>
          <w:rFonts w:cs="Times New Roman"/>
          <w:szCs w:val="28"/>
          <w:lang w:val="en-GB"/>
        </w:rPr>
        <w:t>2018</w:t>
      </w:r>
      <w:r w:rsidRPr="007D2CC9">
        <w:rPr>
          <w:rFonts w:cs="Times New Roman" w:hint="eastAsia"/>
          <w:szCs w:val="28"/>
          <w:lang w:val="en-GB"/>
        </w:rPr>
        <w:t>年為</w:t>
      </w:r>
      <w:r w:rsidRPr="007D2CC9">
        <w:rPr>
          <w:rFonts w:cs="Times New Roman"/>
          <w:szCs w:val="28"/>
          <w:lang w:val="en-GB"/>
        </w:rPr>
        <w:t>381,870</w:t>
      </w:r>
      <w:r w:rsidRPr="007D2CC9">
        <w:rPr>
          <w:rFonts w:cs="Times New Roman" w:hint="eastAsia"/>
          <w:szCs w:val="28"/>
          <w:lang w:val="en-GB"/>
        </w:rPr>
        <w:t>元。</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szCs w:val="28"/>
          <w:lang w:val="en-GB"/>
        </w:rPr>
        <w:t>3</w:t>
      </w:r>
      <w:r>
        <w:rPr>
          <w:rFonts w:cs="Times New Roman" w:hint="eastAsia"/>
          <w:szCs w:val="28"/>
          <w:lang w:val="en-GB"/>
        </w:rPr>
        <w:t>.</w:t>
      </w:r>
      <w:r w:rsidRPr="007D2CC9">
        <w:rPr>
          <w:rFonts w:cs="Times New Roman"/>
          <w:szCs w:val="28"/>
          <w:lang w:val="en-GB"/>
        </w:rPr>
        <w:tab/>
      </w:r>
      <w:r w:rsidRPr="007D2CC9">
        <w:rPr>
          <w:rFonts w:cs="Times New Roman" w:hint="eastAsia"/>
          <w:szCs w:val="28"/>
          <w:lang w:val="en-GB"/>
        </w:rPr>
        <w:t>以香港綜合消費物價指數的變動計算的整體通脹率，由</w:t>
      </w:r>
      <w:r w:rsidRPr="007D2CC9">
        <w:rPr>
          <w:rFonts w:cs="Times New Roman"/>
          <w:szCs w:val="28"/>
          <w:lang w:val="en-GB"/>
        </w:rPr>
        <w:t>2010</w:t>
      </w:r>
      <w:r w:rsidRPr="007D2CC9">
        <w:rPr>
          <w:rFonts w:cs="Times New Roman" w:hint="eastAsia"/>
          <w:szCs w:val="28"/>
          <w:lang w:val="en-GB"/>
        </w:rPr>
        <w:t>年的</w:t>
      </w:r>
      <w:r w:rsidRPr="007D2CC9">
        <w:rPr>
          <w:rFonts w:cs="Times New Roman"/>
          <w:szCs w:val="28"/>
          <w:lang w:val="en-GB"/>
        </w:rPr>
        <w:t>2.4%</w:t>
      </w:r>
      <w:r w:rsidRPr="007D2CC9">
        <w:rPr>
          <w:rFonts w:cs="Times New Roman" w:hint="eastAsia"/>
          <w:szCs w:val="28"/>
          <w:lang w:val="en-GB"/>
        </w:rPr>
        <w:t>升至</w:t>
      </w:r>
      <w:r w:rsidRPr="007D2CC9">
        <w:rPr>
          <w:rFonts w:cs="Times New Roman"/>
          <w:szCs w:val="28"/>
          <w:lang w:val="en-GB"/>
        </w:rPr>
        <w:t>2011</w:t>
      </w:r>
      <w:r w:rsidRPr="007D2CC9">
        <w:rPr>
          <w:rFonts w:cs="Times New Roman" w:hint="eastAsia"/>
          <w:szCs w:val="28"/>
          <w:lang w:val="en-GB"/>
        </w:rPr>
        <w:t>年的</w:t>
      </w:r>
      <w:r w:rsidRPr="007D2CC9">
        <w:rPr>
          <w:rFonts w:cs="Times New Roman"/>
          <w:szCs w:val="28"/>
          <w:lang w:val="en-GB"/>
        </w:rPr>
        <w:t>5.3%</w:t>
      </w:r>
      <w:r w:rsidRPr="007D2CC9">
        <w:rPr>
          <w:rFonts w:cs="Times New Roman" w:hint="eastAsia"/>
          <w:szCs w:val="28"/>
          <w:lang w:val="en-GB"/>
        </w:rPr>
        <w:t>後，回落至</w:t>
      </w:r>
      <w:r w:rsidRPr="007D2CC9">
        <w:rPr>
          <w:rFonts w:cs="Times New Roman"/>
          <w:szCs w:val="28"/>
          <w:lang w:val="en-GB"/>
        </w:rPr>
        <w:t>2017</w:t>
      </w:r>
      <w:r w:rsidRPr="007D2CC9">
        <w:rPr>
          <w:rFonts w:cs="Times New Roman" w:hint="eastAsia"/>
          <w:szCs w:val="28"/>
          <w:lang w:val="en-GB"/>
        </w:rPr>
        <w:t>年的</w:t>
      </w:r>
      <w:r w:rsidRPr="007D2CC9">
        <w:rPr>
          <w:rFonts w:cs="Times New Roman"/>
          <w:szCs w:val="28"/>
          <w:lang w:val="en-GB"/>
        </w:rPr>
        <w:t>1.5%</w:t>
      </w:r>
      <w:r w:rsidRPr="007D2CC9">
        <w:rPr>
          <w:rFonts w:cs="Times New Roman" w:hint="eastAsia"/>
          <w:szCs w:val="28"/>
          <w:lang w:val="en-GB"/>
        </w:rPr>
        <w:t>，反映環球通脹下降以及國際商品價格從高位回落，減低了來自外部的價格壓力。與此同時，本地成本的壓力也大致受控。隨着經濟增長連續兩年高於趨勢増長率，</w:t>
      </w:r>
      <w:r w:rsidRPr="007D2CC9">
        <w:rPr>
          <w:rFonts w:cs="Times New Roman"/>
          <w:szCs w:val="28"/>
          <w:lang w:val="en-GB"/>
        </w:rPr>
        <w:t>2018</w:t>
      </w:r>
      <w:r w:rsidRPr="007D2CC9">
        <w:rPr>
          <w:rFonts w:cs="Times New Roman" w:hint="eastAsia"/>
          <w:szCs w:val="28"/>
          <w:lang w:val="en-GB"/>
        </w:rPr>
        <w:t>年整體通脹率回升至</w:t>
      </w:r>
      <w:r w:rsidRPr="007D2CC9">
        <w:rPr>
          <w:rFonts w:cs="Times New Roman"/>
          <w:szCs w:val="28"/>
          <w:lang w:val="en-GB"/>
        </w:rPr>
        <w:t>2.4%</w:t>
      </w:r>
      <w:r w:rsidRPr="007D2CC9">
        <w:rPr>
          <w:rFonts w:cs="Times New Roman" w:hint="eastAsia"/>
          <w:szCs w:val="28"/>
          <w:lang w:val="en-GB"/>
        </w:rPr>
        <w:t>。</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szCs w:val="28"/>
          <w:lang w:val="en-GB"/>
        </w:rPr>
        <w:t>4</w:t>
      </w:r>
      <w:r>
        <w:rPr>
          <w:rFonts w:cs="Times New Roman" w:hint="eastAsia"/>
          <w:szCs w:val="28"/>
          <w:lang w:val="en-GB"/>
        </w:rPr>
        <w:t>.</w:t>
      </w:r>
      <w:r w:rsidRPr="007D2CC9">
        <w:rPr>
          <w:rFonts w:cs="Times New Roman"/>
          <w:szCs w:val="28"/>
          <w:lang w:val="en-GB"/>
        </w:rPr>
        <w:tab/>
      </w:r>
      <w:r w:rsidRPr="007D2CC9">
        <w:rPr>
          <w:rFonts w:cs="Times New Roman" w:hint="eastAsia"/>
          <w:szCs w:val="28"/>
          <w:lang w:val="en-GB"/>
        </w:rPr>
        <w:t>由於香港經濟在環球金融危機後迅速復蘇，勞工市場在</w:t>
      </w:r>
      <w:r w:rsidRPr="007D2CC9">
        <w:rPr>
          <w:rFonts w:cs="Times New Roman"/>
          <w:szCs w:val="28"/>
          <w:lang w:val="en-GB"/>
        </w:rPr>
        <w:t>2009</w:t>
      </w:r>
      <w:r w:rsidRPr="007D2CC9">
        <w:rPr>
          <w:rFonts w:cs="Times New Roman" w:hint="eastAsia"/>
          <w:szCs w:val="28"/>
          <w:lang w:val="en-GB"/>
        </w:rPr>
        <w:t>年後期開始明顯改善，經季節性調整的失業率逐漸回落至</w:t>
      </w:r>
      <w:r w:rsidRPr="007D2CC9">
        <w:rPr>
          <w:rFonts w:cs="Times New Roman"/>
          <w:szCs w:val="28"/>
          <w:lang w:val="en-GB"/>
        </w:rPr>
        <w:t>2011</w:t>
      </w:r>
      <w:r w:rsidRPr="007D2CC9">
        <w:rPr>
          <w:rFonts w:cs="Times New Roman" w:hint="eastAsia"/>
          <w:szCs w:val="28"/>
          <w:lang w:val="en-GB"/>
        </w:rPr>
        <w:t>年下半年低於</w:t>
      </w:r>
      <w:r w:rsidRPr="007D2CC9">
        <w:rPr>
          <w:rFonts w:cs="Times New Roman"/>
          <w:szCs w:val="28"/>
          <w:lang w:val="en-GB"/>
        </w:rPr>
        <w:t>3.5%</w:t>
      </w:r>
      <w:r w:rsidRPr="007D2CC9">
        <w:rPr>
          <w:rFonts w:cs="Times New Roman" w:hint="eastAsia"/>
          <w:szCs w:val="28"/>
          <w:lang w:val="en-GB"/>
        </w:rPr>
        <w:t>的水平。縱使香港經濟在</w:t>
      </w:r>
      <w:r w:rsidRPr="007D2CC9">
        <w:rPr>
          <w:rFonts w:cs="Times New Roman"/>
          <w:szCs w:val="28"/>
          <w:lang w:val="en-GB"/>
        </w:rPr>
        <w:t>2012</w:t>
      </w:r>
      <w:r w:rsidRPr="007D2CC9">
        <w:rPr>
          <w:rFonts w:cs="Times New Roman" w:hint="eastAsia"/>
          <w:szCs w:val="28"/>
          <w:lang w:val="en-GB"/>
        </w:rPr>
        <w:t>年至</w:t>
      </w:r>
      <w:r w:rsidRPr="007D2CC9">
        <w:rPr>
          <w:rFonts w:cs="Times New Roman"/>
          <w:szCs w:val="28"/>
          <w:lang w:val="en-GB"/>
        </w:rPr>
        <w:t>2016</w:t>
      </w:r>
      <w:r w:rsidRPr="007D2CC9">
        <w:rPr>
          <w:rFonts w:cs="Times New Roman" w:hint="eastAsia"/>
          <w:szCs w:val="28"/>
          <w:lang w:val="en-GB"/>
        </w:rPr>
        <w:t>年間增長</w:t>
      </w:r>
      <w:r w:rsidRPr="007D2CC9">
        <w:rPr>
          <w:rFonts w:cs="Times New Roman" w:hint="eastAsia"/>
          <w:szCs w:val="28"/>
          <w:lang w:val="en-GB" w:eastAsia="zh-HK"/>
        </w:rPr>
        <w:t>溫</w:t>
      </w:r>
      <w:r w:rsidRPr="007D2CC9">
        <w:rPr>
          <w:rFonts w:cs="Times New Roman" w:hint="eastAsia"/>
          <w:szCs w:val="28"/>
          <w:lang w:val="en-GB"/>
        </w:rPr>
        <w:t>和，勞工市場一直表現強韌，並大致維持在全民就業狀態，在</w:t>
      </w:r>
      <w:r w:rsidRPr="007D2CC9">
        <w:rPr>
          <w:rFonts w:cs="Times New Roman"/>
          <w:szCs w:val="28"/>
          <w:lang w:val="en-GB"/>
        </w:rPr>
        <w:t>2017</w:t>
      </w:r>
      <w:r w:rsidRPr="007D2CC9">
        <w:rPr>
          <w:rFonts w:cs="Times New Roman" w:hint="eastAsia"/>
          <w:szCs w:val="28"/>
          <w:lang w:val="en-GB"/>
        </w:rPr>
        <w:t>年及其後更隨着經濟表現轉佳而進一步趨緊。儘管經濟增長在</w:t>
      </w:r>
      <w:r w:rsidRPr="007D2CC9">
        <w:rPr>
          <w:rFonts w:cs="Times New Roman"/>
          <w:szCs w:val="28"/>
          <w:lang w:val="en-GB"/>
        </w:rPr>
        <w:t>2018</w:t>
      </w:r>
      <w:r w:rsidRPr="007D2CC9">
        <w:rPr>
          <w:rFonts w:cs="Times New Roman" w:hint="eastAsia"/>
          <w:szCs w:val="28"/>
          <w:lang w:val="en-GB"/>
        </w:rPr>
        <w:t>年下半年減慢，經季節性調整的失業率在</w:t>
      </w:r>
      <w:r w:rsidRPr="007D2CC9">
        <w:rPr>
          <w:rFonts w:cs="Times New Roman"/>
          <w:szCs w:val="28"/>
          <w:lang w:val="en-GB"/>
        </w:rPr>
        <w:t>2018</w:t>
      </w:r>
      <w:r w:rsidRPr="007D2CC9">
        <w:rPr>
          <w:rFonts w:cs="Times New Roman" w:hint="eastAsia"/>
          <w:szCs w:val="28"/>
          <w:lang w:val="en-GB"/>
        </w:rPr>
        <w:t>年第四季為</w:t>
      </w:r>
      <w:r w:rsidRPr="007D2CC9">
        <w:rPr>
          <w:rFonts w:cs="Times New Roman"/>
          <w:szCs w:val="28"/>
          <w:lang w:val="en-GB"/>
        </w:rPr>
        <w:t>2.8%</w:t>
      </w:r>
      <w:r w:rsidRPr="007D2CC9">
        <w:rPr>
          <w:rFonts w:cs="Times New Roman" w:hint="eastAsia"/>
          <w:szCs w:val="28"/>
          <w:lang w:val="en-GB"/>
        </w:rPr>
        <w:t>，是超過</w:t>
      </w:r>
      <w:r w:rsidRPr="007D2CC9">
        <w:rPr>
          <w:rFonts w:cs="Times New Roman"/>
          <w:szCs w:val="28"/>
          <w:lang w:val="en-GB"/>
        </w:rPr>
        <w:t>20</w:t>
      </w:r>
      <w:r w:rsidRPr="007D2CC9">
        <w:rPr>
          <w:rFonts w:cs="Times New Roman" w:hint="eastAsia"/>
          <w:szCs w:val="28"/>
          <w:lang w:val="en-GB"/>
        </w:rPr>
        <w:t>年來的最低水平。</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szCs w:val="28"/>
          <w:lang w:val="en-GB"/>
        </w:rPr>
        <w:t>5</w:t>
      </w:r>
      <w:r>
        <w:rPr>
          <w:rFonts w:cs="Times New Roman" w:hint="eastAsia"/>
          <w:szCs w:val="28"/>
          <w:lang w:val="en-GB"/>
        </w:rPr>
        <w:t>.</w:t>
      </w:r>
      <w:r w:rsidRPr="007D2CC9">
        <w:rPr>
          <w:rFonts w:cs="Times New Roman"/>
          <w:szCs w:val="28"/>
          <w:lang w:val="en-GB"/>
        </w:rPr>
        <w:tab/>
      </w:r>
      <w:r w:rsidRPr="007D2CC9">
        <w:rPr>
          <w:rFonts w:cs="Times New Roman" w:hint="eastAsia"/>
          <w:szCs w:val="28"/>
          <w:lang w:val="en-GB"/>
        </w:rPr>
        <w:t>勞工收入方面，由於勞工需求保持殷切，加上香港自</w:t>
      </w:r>
      <w:r w:rsidRPr="007D2CC9">
        <w:rPr>
          <w:rFonts w:cs="Times New Roman"/>
          <w:szCs w:val="28"/>
          <w:lang w:val="en-GB"/>
        </w:rPr>
        <w:t>2011</w:t>
      </w:r>
      <w:r w:rsidRPr="007D2CC9">
        <w:rPr>
          <w:rFonts w:cs="Times New Roman" w:hint="eastAsia"/>
          <w:szCs w:val="28"/>
          <w:lang w:val="en-GB"/>
        </w:rPr>
        <w:t>年</w:t>
      </w:r>
      <w:r w:rsidRPr="007D2CC9">
        <w:rPr>
          <w:rFonts w:cs="Times New Roman"/>
          <w:szCs w:val="28"/>
          <w:lang w:val="en-GB"/>
        </w:rPr>
        <w:t>5</w:t>
      </w:r>
      <w:r w:rsidRPr="007D2CC9">
        <w:rPr>
          <w:rFonts w:cs="Times New Roman" w:hint="eastAsia"/>
          <w:szCs w:val="28"/>
          <w:lang w:val="en-GB"/>
        </w:rPr>
        <w:t>月起實施法定最低工資，工資及收入在</w:t>
      </w:r>
      <w:r w:rsidRPr="007D2CC9">
        <w:rPr>
          <w:rFonts w:cs="Times New Roman"/>
          <w:szCs w:val="28"/>
          <w:lang w:val="en-GB"/>
        </w:rPr>
        <w:t>2010</w:t>
      </w:r>
      <w:r w:rsidRPr="007D2CC9">
        <w:rPr>
          <w:rFonts w:cs="Times New Roman" w:hint="eastAsia"/>
          <w:szCs w:val="28"/>
          <w:lang w:val="en-GB"/>
        </w:rPr>
        <w:t>年至</w:t>
      </w:r>
      <w:r w:rsidRPr="007D2CC9">
        <w:rPr>
          <w:rFonts w:cs="Times New Roman"/>
          <w:szCs w:val="28"/>
          <w:lang w:val="en-GB"/>
        </w:rPr>
        <w:t>2018</w:t>
      </w:r>
      <w:r w:rsidRPr="007D2CC9">
        <w:rPr>
          <w:rFonts w:cs="Times New Roman" w:hint="eastAsia"/>
          <w:szCs w:val="28"/>
          <w:lang w:val="en-GB"/>
        </w:rPr>
        <w:t>年間錄得顯著改善。名義工資在</w:t>
      </w:r>
      <w:r w:rsidRPr="007D2CC9">
        <w:rPr>
          <w:rFonts w:cs="Times New Roman"/>
          <w:szCs w:val="28"/>
          <w:lang w:val="en-GB"/>
        </w:rPr>
        <w:t>2009</w:t>
      </w:r>
      <w:r w:rsidRPr="007D2CC9">
        <w:rPr>
          <w:rFonts w:cs="Times New Roman" w:hint="eastAsia"/>
          <w:szCs w:val="28"/>
          <w:lang w:val="en-GB"/>
        </w:rPr>
        <w:t>年</w:t>
      </w:r>
      <w:r w:rsidRPr="007D2CC9">
        <w:rPr>
          <w:rFonts w:cs="Times New Roman"/>
          <w:szCs w:val="28"/>
          <w:lang w:val="en-GB"/>
        </w:rPr>
        <w:t>12</w:t>
      </w:r>
      <w:r w:rsidRPr="007D2CC9">
        <w:rPr>
          <w:rFonts w:cs="Times New Roman" w:hint="eastAsia"/>
          <w:szCs w:val="28"/>
          <w:lang w:val="en-GB"/>
        </w:rPr>
        <w:t>月至</w:t>
      </w:r>
      <w:r w:rsidRPr="007D2CC9">
        <w:rPr>
          <w:rFonts w:cs="Times New Roman"/>
          <w:szCs w:val="28"/>
          <w:lang w:val="en-GB"/>
        </w:rPr>
        <w:t>2018</w:t>
      </w:r>
      <w:r w:rsidRPr="007D2CC9">
        <w:rPr>
          <w:rFonts w:cs="Times New Roman" w:hint="eastAsia"/>
          <w:szCs w:val="28"/>
          <w:lang w:val="en-GB"/>
        </w:rPr>
        <w:t>年</w:t>
      </w:r>
      <w:r w:rsidRPr="007D2CC9">
        <w:rPr>
          <w:rFonts w:cs="Times New Roman"/>
          <w:szCs w:val="28"/>
          <w:lang w:val="en-GB"/>
        </w:rPr>
        <w:t>12</w:t>
      </w:r>
      <w:r w:rsidRPr="007D2CC9">
        <w:rPr>
          <w:rFonts w:cs="Times New Roman" w:hint="eastAsia"/>
          <w:szCs w:val="28"/>
          <w:lang w:val="en-GB"/>
        </w:rPr>
        <w:t>月期間累計上升</w:t>
      </w:r>
      <w:r w:rsidRPr="007D2CC9">
        <w:rPr>
          <w:rFonts w:cs="Times New Roman"/>
          <w:szCs w:val="28"/>
          <w:lang w:val="en-GB"/>
        </w:rPr>
        <w:lastRenderedPageBreak/>
        <w:t>50%</w:t>
      </w:r>
      <w:r w:rsidRPr="007D2CC9">
        <w:rPr>
          <w:rFonts w:cs="Times New Roman" w:hint="eastAsia"/>
          <w:szCs w:val="28"/>
          <w:lang w:val="en-GB"/>
        </w:rPr>
        <w:t>，撇除通脹因素後實質上升</w:t>
      </w:r>
      <w:r w:rsidRPr="007D2CC9">
        <w:rPr>
          <w:rFonts w:cs="Times New Roman"/>
          <w:szCs w:val="28"/>
          <w:lang w:val="en-GB"/>
        </w:rPr>
        <w:t>10%</w:t>
      </w:r>
      <w:r w:rsidRPr="007D2CC9">
        <w:rPr>
          <w:rFonts w:cs="Times New Roman" w:hint="eastAsia"/>
          <w:szCs w:val="28"/>
          <w:lang w:val="en-GB"/>
        </w:rPr>
        <w:t>。</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hint="eastAsia"/>
          <w:szCs w:val="28"/>
          <w:lang w:val="en-GB"/>
        </w:rPr>
        <w:t>6</w:t>
      </w:r>
      <w:r>
        <w:rPr>
          <w:rFonts w:cs="Times New Roman" w:hint="eastAsia"/>
          <w:szCs w:val="28"/>
          <w:lang w:val="en-GB"/>
        </w:rPr>
        <w:t>.</w:t>
      </w:r>
      <w:r w:rsidRPr="007D2CC9">
        <w:rPr>
          <w:rFonts w:cs="Times New Roman" w:hint="eastAsia"/>
          <w:szCs w:val="28"/>
          <w:lang w:val="en-GB"/>
        </w:rPr>
        <w:tab/>
      </w:r>
      <w:r w:rsidRPr="007D2CC9">
        <w:rPr>
          <w:rFonts w:cs="Times New Roman" w:hint="eastAsia"/>
          <w:szCs w:val="28"/>
          <w:lang w:val="en-GB"/>
        </w:rPr>
        <w:t>經濟展望方面，環球經濟增長在</w:t>
      </w:r>
      <w:r w:rsidRPr="007D2CC9">
        <w:rPr>
          <w:rFonts w:cs="Times New Roman" w:hint="eastAsia"/>
          <w:szCs w:val="28"/>
          <w:lang w:val="en-GB"/>
        </w:rPr>
        <w:t>2019</w:t>
      </w:r>
      <w:r w:rsidRPr="007D2CC9">
        <w:rPr>
          <w:rFonts w:cs="Times New Roman" w:hint="eastAsia"/>
          <w:szCs w:val="28"/>
          <w:lang w:val="en-GB"/>
        </w:rPr>
        <w:t>年料會減慢，而且面對不少不明朗因素。貿易保護主義抬頭是主要的威脅。雖然美國與內地的貿易談判據報已進入最後階段，但雙方能否及何時達成最終協議仍</w:t>
      </w:r>
      <w:r w:rsidRPr="007D2CC9">
        <w:rPr>
          <w:rFonts w:cs="Times New Roman" w:hint="eastAsia"/>
          <w:szCs w:val="28"/>
          <w:lang w:val="en-GB" w:eastAsia="zh-HK"/>
        </w:rPr>
        <w:t>未</w:t>
      </w:r>
      <w:r w:rsidRPr="007D2CC9">
        <w:rPr>
          <w:rFonts w:cs="Times New Roman" w:hint="eastAsia"/>
          <w:szCs w:val="28"/>
          <w:lang w:val="en-GB"/>
        </w:rPr>
        <w:t>確定。外圍環境的各種不確定性，包括美國貨幣政策的未來路向，也可能會令環球金融市場較為波動。其他如英國「脫歐」、地緣政局緊張，以及一些先進經濟體本土的政治情況，亦須密切留意。考慮到環球經濟增長可能減慢，但假設美國與內地的貿易摩擦不會升溫甚至有所緩和，預測香港經濟在</w:t>
      </w:r>
      <w:r w:rsidRPr="007D2CC9">
        <w:rPr>
          <w:rFonts w:cs="Times New Roman" w:hint="eastAsia"/>
          <w:szCs w:val="28"/>
          <w:lang w:val="en-GB"/>
        </w:rPr>
        <w:t>2019</w:t>
      </w:r>
      <w:r w:rsidRPr="007D2CC9">
        <w:rPr>
          <w:rFonts w:cs="Times New Roman" w:hint="eastAsia"/>
          <w:szCs w:val="28"/>
          <w:lang w:val="en-GB"/>
        </w:rPr>
        <w:t>年將增長</w:t>
      </w:r>
      <w:r w:rsidRPr="007D2CC9">
        <w:rPr>
          <w:rFonts w:cs="Times New Roman" w:hint="eastAsia"/>
          <w:szCs w:val="28"/>
          <w:lang w:val="en-GB"/>
        </w:rPr>
        <w:t>2%</w:t>
      </w:r>
      <w:r w:rsidRPr="007D2CC9">
        <w:rPr>
          <w:rFonts w:cs="Times New Roman" w:hint="eastAsia"/>
          <w:szCs w:val="28"/>
          <w:lang w:val="en-GB"/>
        </w:rPr>
        <w:t>至</w:t>
      </w:r>
      <w:r w:rsidRPr="007D2CC9">
        <w:rPr>
          <w:rFonts w:cs="Times New Roman" w:hint="eastAsia"/>
          <w:szCs w:val="28"/>
          <w:lang w:val="en-GB"/>
        </w:rPr>
        <w:t>3%</w:t>
      </w:r>
      <w:r w:rsidRPr="007D2CC9">
        <w:rPr>
          <w:rFonts w:cs="Times New Roman" w:hint="eastAsia"/>
          <w:szCs w:val="28"/>
          <w:lang w:val="en-GB"/>
        </w:rPr>
        <w:t>。至於通脹方面，近期住宅租金調整對整體通脹應有緩和作用，而外圍價格壓力繼續受控，預測</w:t>
      </w:r>
      <w:r w:rsidRPr="007D2CC9">
        <w:rPr>
          <w:rFonts w:cs="Times New Roman" w:hint="eastAsia"/>
          <w:szCs w:val="28"/>
          <w:lang w:val="en-GB"/>
        </w:rPr>
        <w:t>2019</w:t>
      </w:r>
      <w:r w:rsidRPr="007D2CC9">
        <w:rPr>
          <w:rFonts w:cs="Times New Roman" w:hint="eastAsia"/>
          <w:szCs w:val="28"/>
          <w:lang w:val="en-GB"/>
        </w:rPr>
        <w:t>年的整體通脹率為</w:t>
      </w:r>
      <w:r w:rsidRPr="007D2CC9">
        <w:rPr>
          <w:rFonts w:cs="Times New Roman" w:hint="eastAsia"/>
          <w:szCs w:val="28"/>
          <w:lang w:val="en-GB"/>
        </w:rPr>
        <w:t>2.5%</w:t>
      </w:r>
      <w:r w:rsidRPr="007D2CC9">
        <w:rPr>
          <w:rFonts w:cs="Times New Roman" w:hint="eastAsia"/>
          <w:szCs w:val="28"/>
          <w:lang w:val="en-GB"/>
        </w:rPr>
        <w:t>。</w:t>
      </w:r>
    </w:p>
    <w:p w:rsidR="00BC2CCC" w:rsidRPr="007D2CC9" w:rsidRDefault="00BC2CCC" w:rsidP="00BC2CCC">
      <w:pPr>
        <w:tabs>
          <w:tab w:val="left" w:pos="1440"/>
        </w:tabs>
        <w:adjustRightInd w:val="0"/>
        <w:snapToGrid w:val="0"/>
        <w:spacing w:line="400" w:lineRule="atLeast"/>
        <w:jc w:val="both"/>
        <w:rPr>
          <w:rFonts w:cs="Times New Roman"/>
          <w:b/>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u w:val="single"/>
          <w:lang w:val="en-GB"/>
        </w:rPr>
      </w:pPr>
      <w:r w:rsidRPr="007D2CC9">
        <w:rPr>
          <w:rFonts w:cs="Times New Roman" w:hint="eastAsia"/>
          <w:szCs w:val="28"/>
          <w:u w:val="single"/>
          <w:lang w:val="en-GB"/>
        </w:rPr>
        <w:t>收入分布</w:t>
      </w:r>
    </w:p>
    <w:p w:rsidR="00BC2CCC" w:rsidRPr="007D2CC9" w:rsidRDefault="00BC2CCC" w:rsidP="00BC2CCC">
      <w:pPr>
        <w:tabs>
          <w:tab w:val="left" w:pos="1440"/>
        </w:tabs>
        <w:adjustRightInd w:val="0"/>
        <w:snapToGrid w:val="0"/>
        <w:spacing w:line="400" w:lineRule="atLeast"/>
        <w:jc w:val="both"/>
        <w:rPr>
          <w:rFonts w:cs="Times New Roman"/>
          <w:b/>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hint="eastAsia"/>
          <w:szCs w:val="28"/>
          <w:lang w:val="en-GB"/>
        </w:rPr>
        <w:t>7</w:t>
      </w:r>
      <w:r>
        <w:rPr>
          <w:rFonts w:cs="Times New Roman" w:hint="eastAsia"/>
          <w:szCs w:val="28"/>
          <w:lang w:val="en-GB"/>
        </w:rPr>
        <w:t>.</w:t>
      </w:r>
      <w:r w:rsidRPr="007D2CC9">
        <w:rPr>
          <w:rFonts w:cs="Times New Roman"/>
          <w:szCs w:val="28"/>
          <w:lang w:val="en-GB"/>
        </w:rPr>
        <w:tab/>
      </w:r>
      <w:r w:rsidRPr="007D2CC9">
        <w:rPr>
          <w:rFonts w:cs="Times New Roman" w:hint="eastAsia"/>
          <w:szCs w:val="28"/>
          <w:lang w:val="en-GB"/>
        </w:rPr>
        <w:t>2006</w:t>
      </w:r>
      <w:r w:rsidRPr="007D2CC9">
        <w:rPr>
          <w:rFonts w:cs="Times New Roman" w:hint="eastAsia"/>
          <w:szCs w:val="28"/>
          <w:lang w:val="en-GB"/>
        </w:rPr>
        <w:t>年至</w:t>
      </w:r>
      <w:r w:rsidRPr="007D2CC9">
        <w:rPr>
          <w:rFonts w:cs="Times New Roman" w:hint="eastAsia"/>
          <w:szCs w:val="28"/>
          <w:lang w:val="en-GB"/>
        </w:rPr>
        <w:t>2016</w:t>
      </w:r>
      <w:r w:rsidRPr="007D2CC9">
        <w:rPr>
          <w:rFonts w:cs="Times New Roman" w:hint="eastAsia"/>
          <w:szCs w:val="28"/>
          <w:lang w:val="en-GB"/>
        </w:rPr>
        <w:t>年</w:t>
      </w:r>
      <w:r w:rsidRPr="007D2CC9">
        <w:rPr>
          <w:rFonts w:cs="Times New Roman" w:hint="eastAsia"/>
          <w:szCs w:val="28"/>
          <w:lang w:val="en-GB" w:eastAsia="zh-HK"/>
        </w:rPr>
        <w:t>間</w:t>
      </w:r>
      <w:r w:rsidRPr="007D2CC9">
        <w:rPr>
          <w:rFonts w:cs="Times New Roman" w:hint="eastAsia"/>
          <w:szCs w:val="28"/>
          <w:lang w:val="en-GB"/>
        </w:rPr>
        <w:t>大部分時間，勞工市場表現大致強韌，經濟在環球金融危機後保持穩健增長，加上在</w:t>
      </w:r>
      <w:r w:rsidRPr="007D2CC9">
        <w:rPr>
          <w:rFonts w:cs="Times New Roman" w:hint="eastAsia"/>
          <w:szCs w:val="28"/>
          <w:lang w:val="en-GB"/>
        </w:rPr>
        <w:t>2011</w:t>
      </w:r>
      <w:r w:rsidRPr="007D2CC9">
        <w:rPr>
          <w:rFonts w:cs="Times New Roman" w:hint="eastAsia"/>
          <w:szCs w:val="28"/>
          <w:lang w:val="en-GB"/>
        </w:rPr>
        <w:t>年實施的法定最低工資及政府在現有和新增的社會福利（例如在</w:t>
      </w:r>
      <w:r w:rsidRPr="007D2CC9">
        <w:rPr>
          <w:rFonts w:cs="Times New Roman" w:hint="eastAsia"/>
          <w:szCs w:val="28"/>
          <w:lang w:val="en-GB"/>
        </w:rPr>
        <w:t>2013</w:t>
      </w:r>
      <w:r w:rsidRPr="007D2CC9">
        <w:rPr>
          <w:rFonts w:cs="Times New Roman" w:hint="eastAsia"/>
          <w:szCs w:val="28"/>
          <w:lang w:val="en-GB"/>
        </w:rPr>
        <w:t>年推出長者生活津貼）的開支有所增加，家庭住戶收入（不包括外籍家庭傭工）於期內大多錄得明顯增長，住戶每月收入中位數大幅上升</w:t>
      </w:r>
      <w:r w:rsidRPr="007D2CC9">
        <w:rPr>
          <w:rFonts w:cs="Times New Roman" w:hint="eastAsia"/>
          <w:szCs w:val="28"/>
          <w:lang w:val="en-GB"/>
        </w:rPr>
        <w:t>45.6%</w:t>
      </w:r>
      <w:r w:rsidRPr="007D2CC9">
        <w:rPr>
          <w:rFonts w:cs="Times New Roman" w:hint="eastAsia"/>
          <w:szCs w:val="28"/>
          <w:lang w:val="en-GB"/>
        </w:rPr>
        <w:t>（扣除通脹後實質增長</w:t>
      </w:r>
      <w:r w:rsidRPr="007D2CC9">
        <w:rPr>
          <w:rFonts w:cs="Times New Roman" w:hint="eastAsia"/>
          <w:szCs w:val="28"/>
          <w:lang w:val="en-GB"/>
        </w:rPr>
        <w:t>6.4%</w:t>
      </w:r>
      <w:r w:rsidRPr="007D2CC9">
        <w:rPr>
          <w:rFonts w:cs="Times New Roman" w:hint="eastAsia"/>
          <w:szCs w:val="28"/>
          <w:lang w:val="en-GB"/>
        </w:rPr>
        <w:t>）。</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hint="eastAsia"/>
          <w:szCs w:val="28"/>
          <w:lang w:val="en-GB"/>
        </w:rPr>
        <w:t>8</w:t>
      </w:r>
      <w:r>
        <w:rPr>
          <w:rFonts w:cs="Times New Roman" w:hint="eastAsia"/>
          <w:szCs w:val="28"/>
          <w:lang w:val="en-GB"/>
        </w:rPr>
        <w:t>.</w:t>
      </w:r>
      <w:r w:rsidRPr="007D2CC9">
        <w:rPr>
          <w:rFonts w:cs="Times New Roman" w:hint="eastAsia"/>
          <w:szCs w:val="28"/>
          <w:lang w:val="en-GB"/>
        </w:rPr>
        <w:tab/>
      </w:r>
      <w:r w:rsidRPr="007D2CC9">
        <w:rPr>
          <w:rFonts w:cs="Times New Roman" w:hint="eastAsia"/>
          <w:szCs w:val="28"/>
          <w:lang w:val="en-GB"/>
        </w:rPr>
        <w:t>堅尼系數是量度收入差距的最普遍指標，其數值愈大，一般代表收入差距有所擴大。按原本住戶收入編製的最新堅尼系數</w:t>
      </w:r>
      <w:r w:rsidRPr="007D2CC9">
        <w:rPr>
          <w:rFonts w:cs="Times New Roman" w:hint="eastAsia"/>
          <w:szCs w:val="28"/>
          <w:lang w:val="en-GB"/>
        </w:rPr>
        <w:t>2016</w:t>
      </w:r>
      <w:r w:rsidRPr="007D2CC9">
        <w:rPr>
          <w:rFonts w:cs="Times New Roman" w:hint="eastAsia"/>
          <w:szCs w:val="28"/>
          <w:lang w:val="en-GB"/>
        </w:rPr>
        <w:t>年</w:t>
      </w:r>
      <w:r w:rsidRPr="007D2CC9">
        <w:rPr>
          <w:rFonts w:cs="Times New Roman" w:hint="eastAsia"/>
          <w:szCs w:val="28"/>
          <w:lang w:val="en-GB" w:eastAsia="zh-HK"/>
        </w:rPr>
        <w:t>為</w:t>
      </w:r>
      <w:r w:rsidRPr="007D2CC9">
        <w:rPr>
          <w:rFonts w:cs="Times New Roman" w:hint="eastAsia"/>
          <w:szCs w:val="28"/>
          <w:lang w:val="en-GB"/>
        </w:rPr>
        <w:t>0.539</w:t>
      </w:r>
      <w:r w:rsidRPr="007D2CC9">
        <w:rPr>
          <w:rFonts w:cs="Times New Roman" w:hint="eastAsia"/>
          <w:szCs w:val="28"/>
          <w:lang w:val="en-GB"/>
        </w:rPr>
        <w:t>，稍微高於</w:t>
      </w:r>
      <w:r w:rsidRPr="007D2CC9">
        <w:rPr>
          <w:rFonts w:cs="Times New Roman" w:hint="eastAsia"/>
          <w:szCs w:val="28"/>
          <w:lang w:val="en-GB"/>
        </w:rPr>
        <w:t>2011</w:t>
      </w:r>
      <w:r w:rsidRPr="007D2CC9">
        <w:rPr>
          <w:rFonts w:cs="Times New Roman" w:hint="eastAsia"/>
          <w:szCs w:val="28"/>
          <w:lang w:val="en-GB"/>
        </w:rPr>
        <w:t>年的</w:t>
      </w:r>
      <w:r w:rsidRPr="007D2CC9">
        <w:rPr>
          <w:rFonts w:cs="Times New Roman" w:hint="eastAsia"/>
          <w:szCs w:val="28"/>
          <w:lang w:val="en-GB"/>
        </w:rPr>
        <w:t>0.537</w:t>
      </w:r>
      <w:r w:rsidRPr="007D2CC9">
        <w:rPr>
          <w:rFonts w:cs="Times New Roman" w:hint="eastAsia"/>
          <w:szCs w:val="28"/>
          <w:lang w:val="en-GB"/>
        </w:rPr>
        <w:t>及</w:t>
      </w:r>
      <w:r w:rsidRPr="007D2CC9">
        <w:rPr>
          <w:rFonts w:cs="Times New Roman" w:hint="eastAsia"/>
          <w:szCs w:val="28"/>
          <w:lang w:val="en-GB"/>
        </w:rPr>
        <w:t>2006</w:t>
      </w:r>
      <w:r w:rsidRPr="007D2CC9">
        <w:rPr>
          <w:rFonts w:cs="Times New Roman" w:hint="eastAsia"/>
          <w:szCs w:val="28"/>
          <w:lang w:val="en-GB"/>
        </w:rPr>
        <w:t>年的</w:t>
      </w:r>
      <w:r w:rsidRPr="007D2CC9">
        <w:rPr>
          <w:rFonts w:cs="Times New Roman" w:hint="eastAsia"/>
          <w:szCs w:val="28"/>
          <w:lang w:val="en-GB"/>
        </w:rPr>
        <w:t>0.533</w:t>
      </w:r>
      <w:r w:rsidRPr="007D2CC9">
        <w:rPr>
          <w:rFonts w:cs="Times New Roman" w:hint="eastAsia"/>
          <w:szCs w:val="28"/>
          <w:lang w:val="en-GB"/>
        </w:rPr>
        <w:t>。香港的堅尼系數上升，與其在全球化下朝高增值和知識型經濟轉型有關，這情況亦見於部分先進城市和經濟體。另外，人口加速高齡化下退休住戶及小型住戶不斷增多，亦</w:t>
      </w:r>
      <w:r w:rsidRPr="007D2CC9">
        <w:rPr>
          <w:rFonts w:cs="Times New Roman" w:hint="eastAsia"/>
          <w:szCs w:val="28"/>
          <w:lang w:val="en-GB" w:eastAsia="zh-HK"/>
        </w:rPr>
        <w:t>推升</w:t>
      </w:r>
      <w:r w:rsidRPr="007D2CC9">
        <w:rPr>
          <w:rFonts w:cs="Times New Roman" w:hint="eastAsia"/>
          <w:szCs w:val="28"/>
          <w:lang w:val="en-GB"/>
        </w:rPr>
        <w:t>收入差距指標。</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Pr="007D2CC9" w:rsidRDefault="00BC2CCC" w:rsidP="00BC2CCC">
      <w:pPr>
        <w:tabs>
          <w:tab w:val="left" w:pos="1440"/>
        </w:tabs>
        <w:adjustRightInd w:val="0"/>
        <w:snapToGrid w:val="0"/>
        <w:spacing w:line="400" w:lineRule="atLeast"/>
        <w:jc w:val="both"/>
        <w:rPr>
          <w:rFonts w:cs="Times New Roman"/>
          <w:szCs w:val="28"/>
          <w:lang w:val="en-GB"/>
        </w:rPr>
      </w:pPr>
      <w:r w:rsidRPr="007D2CC9">
        <w:rPr>
          <w:rFonts w:cs="Times New Roman" w:hint="eastAsia"/>
          <w:szCs w:val="28"/>
          <w:lang w:val="en-GB"/>
        </w:rPr>
        <w:t>9</w:t>
      </w:r>
      <w:r>
        <w:rPr>
          <w:rFonts w:cs="Times New Roman" w:hint="eastAsia"/>
          <w:szCs w:val="28"/>
          <w:lang w:val="en-GB"/>
        </w:rPr>
        <w:t>.</w:t>
      </w:r>
      <w:r w:rsidRPr="007D2CC9">
        <w:rPr>
          <w:rFonts w:cs="Times New Roman" w:hint="eastAsia"/>
          <w:szCs w:val="28"/>
          <w:lang w:val="en-GB"/>
        </w:rPr>
        <w:tab/>
      </w:r>
      <w:r w:rsidRPr="007D2CC9">
        <w:rPr>
          <w:rFonts w:cs="Times New Roman" w:hint="eastAsia"/>
          <w:szCs w:val="28"/>
          <w:lang w:val="en-GB"/>
        </w:rPr>
        <w:t>在比較世界各地的堅尼系數時，我們</w:t>
      </w:r>
      <w:r w:rsidRPr="007D2CC9">
        <w:rPr>
          <w:rFonts w:cs="Times New Roman" w:hint="eastAsia"/>
          <w:szCs w:val="28"/>
          <w:lang w:val="en-GB" w:eastAsia="zh-HK"/>
        </w:rPr>
        <w:t>須</w:t>
      </w:r>
      <w:r w:rsidRPr="007D2CC9">
        <w:rPr>
          <w:rFonts w:cs="Times New Roman" w:hint="eastAsia"/>
          <w:szCs w:val="28"/>
          <w:lang w:val="en-GB"/>
        </w:rPr>
        <w:t>得緊記香港作為內地和東亞地區的金融和商業服務樞紐，也是城市經濟體，匯聚了形形色色的服務活動。這些活動發展成熟且多元化，所聘用的都是極富經驗和具備多方面技術的員工。故此，香港的收入差距理應較傾向依賴製造業及農業的經濟體為大。</w:t>
      </w:r>
    </w:p>
    <w:p w:rsidR="00BC2CCC" w:rsidRPr="007D2CC9" w:rsidRDefault="00BC2CCC" w:rsidP="00BC2CCC">
      <w:pPr>
        <w:tabs>
          <w:tab w:val="left" w:pos="1440"/>
        </w:tabs>
        <w:adjustRightInd w:val="0"/>
        <w:snapToGrid w:val="0"/>
        <w:spacing w:line="400" w:lineRule="atLeast"/>
        <w:jc w:val="both"/>
        <w:rPr>
          <w:rFonts w:cs="Times New Roman"/>
          <w:szCs w:val="28"/>
          <w:lang w:val="en-GB"/>
        </w:rPr>
      </w:pPr>
    </w:p>
    <w:p w:rsidR="00BC2CCC" w:rsidRDefault="00BC2CCC" w:rsidP="00BC2CCC">
      <w:pPr>
        <w:tabs>
          <w:tab w:val="left" w:pos="1440"/>
        </w:tabs>
        <w:adjustRightInd w:val="0"/>
        <w:snapToGrid w:val="0"/>
        <w:spacing w:line="400" w:lineRule="atLeast"/>
        <w:jc w:val="both"/>
      </w:pPr>
      <w:r w:rsidRPr="007D2CC9">
        <w:rPr>
          <w:rFonts w:cs="Times New Roman"/>
          <w:szCs w:val="28"/>
          <w:lang w:val="en-GB"/>
        </w:rPr>
        <w:t>10</w:t>
      </w:r>
      <w:r>
        <w:rPr>
          <w:rFonts w:cs="Times New Roman" w:hint="eastAsia"/>
          <w:szCs w:val="28"/>
          <w:lang w:val="en-GB"/>
        </w:rPr>
        <w:t>.</w:t>
      </w:r>
      <w:r w:rsidRPr="007D2CC9">
        <w:rPr>
          <w:rFonts w:cs="Times New Roman"/>
          <w:szCs w:val="28"/>
          <w:lang w:val="en-GB"/>
        </w:rPr>
        <w:tab/>
      </w:r>
      <w:r w:rsidRPr="007D2CC9">
        <w:rPr>
          <w:rFonts w:cs="Times New Roman" w:hint="eastAsia"/>
          <w:szCs w:val="28"/>
          <w:lang w:val="en-GB"/>
        </w:rPr>
        <w:t>值得注意的是，若考慮稅務和以實物形式提供的社會福利（包括教育、房屋及醫療）的效應，按除稅及福利轉移後住戶收入編製的堅尼系數由</w:t>
      </w:r>
      <w:r w:rsidRPr="007D2CC9">
        <w:rPr>
          <w:rFonts w:cs="Times New Roman"/>
          <w:szCs w:val="28"/>
          <w:lang w:val="en-GB"/>
        </w:rPr>
        <w:t>2006</w:t>
      </w:r>
      <w:r w:rsidRPr="007D2CC9">
        <w:rPr>
          <w:rFonts w:cs="Times New Roman" w:hint="eastAsia"/>
          <w:szCs w:val="28"/>
          <w:lang w:val="en-GB"/>
        </w:rPr>
        <w:t>年及</w:t>
      </w:r>
      <w:r w:rsidRPr="007D2CC9">
        <w:rPr>
          <w:rFonts w:cs="Times New Roman"/>
          <w:szCs w:val="28"/>
          <w:lang w:val="en-GB"/>
        </w:rPr>
        <w:t>2011</w:t>
      </w:r>
      <w:r w:rsidRPr="007D2CC9">
        <w:rPr>
          <w:rFonts w:cs="Times New Roman" w:hint="eastAsia"/>
          <w:szCs w:val="28"/>
          <w:lang w:val="en-GB"/>
        </w:rPr>
        <w:t>年的</w:t>
      </w:r>
      <w:r w:rsidRPr="007D2CC9">
        <w:rPr>
          <w:rFonts w:cs="Times New Roman"/>
          <w:szCs w:val="28"/>
          <w:lang w:val="en-GB"/>
        </w:rPr>
        <w:t>0.475</w:t>
      </w:r>
      <w:r w:rsidRPr="007D2CC9">
        <w:rPr>
          <w:rFonts w:cs="Times New Roman" w:hint="eastAsia"/>
          <w:szCs w:val="28"/>
          <w:lang w:val="en-GB"/>
        </w:rPr>
        <w:t>下降至</w:t>
      </w:r>
      <w:r w:rsidRPr="007D2CC9">
        <w:rPr>
          <w:rFonts w:cs="Times New Roman"/>
          <w:szCs w:val="28"/>
          <w:lang w:val="en-GB"/>
        </w:rPr>
        <w:t>2016</w:t>
      </w:r>
      <w:r w:rsidRPr="007D2CC9">
        <w:rPr>
          <w:rFonts w:cs="Times New Roman" w:hint="eastAsia"/>
          <w:szCs w:val="28"/>
          <w:lang w:val="en-GB"/>
        </w:rPr>
        <w:t>年的</w:t>
      </w:r>
      <w:r w:rsidRPr="007D2CC9">
        <w:rPr>
          <w:rFonts w:cs="Times New Roman"/>
          <w:szCs w:val="28"/>
          <w:lang w:val="en-GB"/>
        </w:rPr>
        <w:t>0.473</w:t>
      </w:r>
      <w:r w:rsidRPr="007D2CC9">
        <w:rPr>
          <w:rFonts w:cs="Times New Roman" w:hint="eastAsia"/>
          <w:szCs w:val="28"/>
          <w:lang w:val="en-GB"/>
        </w:rPr>
        <w:t>，有別於按原本住戶收入編製的堅尼系數的升勢。這反映透過稅收以提供社會福利，可將收入再分配，有助收窄收入差距，</w:t>
      </w:r>
      <w:r w:rsidRPr="007D2CC9">
        <w:rPr>
          <w:rFonts w:cs="Times New Roman" w:hint="eastAsia"/>
          <w:szCs w:val="28"/>
          <w:lang w:val="en-GB" w:eastAsia="zh-HK"/>
        </w:rPr>
        <w:t>此</w:t>
      </w:r>
      <w:r w:rsidRPr="007D2CC9">
        <w:rPr>
          <w:rFonts w:cs="Times New Roman" w:hint="eastAsia"/>
          <w:szCs w:val="28"/>
          <w:lang w:val="en-GB"/>
        </w:rPr>
        <w:t>再分配成效在近十年更見顯著。結合政府所採取的收入再分配措施和調整住戶人數變化的效應後，按人口平均除稅及福利轉移後住戶收入編製的堅尼系數亦有改善，由</w:t>
      </w:r>
      <w:r w:rsidRPr="007D2CC9">
        <w:rPr>
          <w:rFonts w:cs="Times New Roman"/>
          <w:szCs w:val="28"/>
          <w:lang w:val="en-GB"/>
        </w:rPr>
        <w:t>2006</w:t>
      </w:r>
      <w:r w:rsidRPr="007D2CC9">
        <w:rPr>
          <w:rFonts w:cs="Times New Roman" w:hint="eastAsia"/>
          <w:szCs w:val="28"/>
          <w:lang w:val="en-GB"/>
        </w:rPr>
        <w:t>年的</w:t>
      </w:r>
      <w:r w:rsidRPr="007D2CC9">
        <w:rPr>
          <w:rFonts w:cs="Times New Roman"/>
          <w:szCs w:val="28"/>
          <w:lang w:val="en-GB"/>
        </w:rPr>
        <w:t>0.427</w:t>
      </w:r>
      <w:r w:rsidRPr="007D2CC9">
        <w:rPr>
          <w:rFonts w:cs="Times New Roman" w:hint="eastAsia"/>
          <w:szCs w:val="28"/>
          <w:lang w:val="en-GB"/>
        </w:rPr>
        <w:t>下降至</w:t>
      </w:r>
      <w:r w:rsidRPr="007D2CC9">
        <w:rPr>
          <w:rFonts w:cs="Times New Roman"/>
          <w:szCs w:val="28"/>
          <w:lang w:val="en-GB"/>
        </w:rPr>
        <w:t>2016</w:t>
      </w:r>
      <w:r w:rsidRPr="007D2CC9">
        <w:rPr>
          <w:rFonts w:cs="Times New Roman" w:hint="eastAsia"/>
          <w:szCs w:val="28"/>
          <w:lang w:val="en-GB"/>
        </w:rPr>
        <w:t>年的</w:t>
      </w:r>
      <w:r w:rsidRPr="007D2CC9">
        <w:rPr>
          <w:rFonts w:cs="Times New Roman" w:hint="eastAsia"/>
          <w:szCs w:val="28"/>
          <w:lang w:val="en-GB"/>
        </w:rPr>
        <w:t>0.420</w:t>
      </w:r>
      <w:r w:rsidRPr="007D2CC9">
        <w:rPr>
          <w:rFonts w:cs="Times New Roman" w:hint="eastAsia"/>
          <w:szCs w:val="28"/>
          <w:lang w:val="en-GB"/>
        </w:rPr>
        <w:t>。</w:t>
      </w:r>
    </w:p>
    <w:p w:rsidR="00BA1F6C" w:rsidRDefault="00BA1F6C" w:rsidP="00BC2CCC">
      <w:pPr>
        <w:tabs>
          <w:tab w:val="left" w:pos="1440"/>
          <w:tab w:val="left" w:pos="1680"/>
        </w:tabs>
        <w:adjustRightInd w:val="0"/>
        <w:snapToGrid w:val="0"/>
        <w:spacing w:line="400" w:lineRule="atLeast"/>
        <w:jc w:val="both"/>
        <w:rPr>
          <w:rFonts w:cs="Times New Roman"/>
          <w:bCs/>
          <w:kern w:val="0"/>
          <w:szCs w:val="28"/>
        </w:rPr>
        <w:sectPr w:rsidR="00BA1F6C" w:rsidSect="00BC2CCC">
          <w:footerReference w:type="default" r:id="rId52"/>
          <w:footerReference w:type="first" r:id="rId53"/>
          <w:pgSz w:w="11906" w:h="16838"/>
          <w:pgMar w:top="1440" w:right="1800" w:bottom="1440" w:left="1800" w:header="720" w:footer="720" w:gutter="0"/>
          <w:pgNumType w:start="1"/>
          <w:cols w:space="425"/>
          <w:titlePg/>
          <w:docGrid w:type="lines" w:linePitch="381"/>
        </w:sectPr>
      </w:pPr>
    </w:p>
    <w:p w:rsidR="00BA1F6C" w:rsidRDefault="00BA1F6C" w:rsidP="00BA1F6C">
      <w:pPr>
        <w:snapToGrid w:val="0"/>
        <w:spacing w:line="400" w:lineRule="atLeast"/>
        <w:jc w:val="right"/>
        <w:rPr>
          <w:rFonts w:cs="Times New Roman"/>
          <w:b/>
          <w:szCs w:val="28"/>
          <w:lang w:val="en-GB"/>
        </w:rPr>
      </w:pPr>
      <w:r w:rsidRPr="009D1F79">
        <w:rPr>
          <w:rFonts w:cs="Times New Roman"/>
          <w:b/>
          <w:szCs w:val="28"/>
          <w:lang w:val="en-GB" w:eastAsia="zh-HK"/>
        </w:rPr>
        <w:lastRenderedPageBreak/>
        <w:t>附件</w:t>
      </w:r>
      <w:r w:rsidRPr="009D1F79">
        <w:rPr>
          <w:rFonts w:cs="Times New Roman"/>
          <w:b/>
          <w:szCs w:val="28"/>
          <w:lang w:val="en-GB"/>
        </w:rPr>
        <w:t>11</w:t>
      </w:r>
      <w:r>
        <w:rPr>
          <w:rFonts w:cs="Times New Roman"/>
          <w:b/>
          <w:szCs w:val="28"/>
          <w:lang w:val="en-GB"/>
        </w:rPr>
        <w:t>B</w:t>
      </w:r>
    </w:p>
    <w:p w:rsidR="00BA1F6C" w:rsidRDefault="00BA1F6C" w:rsidP="00BA1F6C">
      <w:pPr>
        <w:snapToGrid w:val="0"/>
        <w:spacing w:line="400" w:lineRule="atLeast"/>
        <w:jc w:val="right"/>
        <w:rPr>
          <w:rFonts w:cs="Times New Roman"/>
          <w:b/>
          <w:szCs w:val="28"/>
          <w:lang w:val="en-GB"/>
        </w:rPr>
      </w:pPr>
    </w:p>
    <w:p w:rsidR="00BA1F6C" w:rsidRDefault="00BA1F6C" w:rsidP="00BA1F6C">
      <w:pPr>
        <w:snapToGrid w:val="0"/>
        <w:spacing w:line="400" w:lineRule="atLeast"/>
        <w:jc w:val="center"/>
        <w:rPr>
          <w:rFonts w:cs="Times New Roman"/>
          <w:b/>
          <w:szCs w:val="28"/>
          <w:lang w:val="en-GB"/>
        </w:rPr>
      </w:pPr>
      <w:r w:rsidRPr="009D1F79">
        <w:rPr>
          <w:rFonts w:cs="Times New Roman" w:hint="eastAsia"/>
          <w:b/>
          <w:szCs w:val="28"/>
          <w:lang w:val="en-GB"/>
        </w:rPr>
        <w:t>貧窮線及其分析框架</w:t>
      </w:r>
    </w:p>
    <w:p w:rsidR="00BA1F6C" w:rsidRDefault="00BA1F6C" w:rsidP="00BA1F6C">
      <w:pPr>
        <w:snapToGrid w:val="0"/>
        <w:spacing w:line="400" w:lineRule="atLeast"/>
        <w:jc w:val="center"/>
        <w:rPr>
          <w:rFonts w:cs="Times New Roman"/>
          <w:b/>
          <w:szCs w:val="28"/>
          <w:lang w:val="en-GB"/>
        </w:rPr>
      </w:pPr>
    </w:p>
    <w:p w:rsidR="00BA1F6C" w:rsidRPr="009D1F79" w:rsidRDefault="00BA1F6C" w:rsidP="00BA1F6C">
      <w:pPr>
        <w:tabs>
          <w:tab w:val="left" w:pos="1440"/>
        </w:tabs>
        <w:adjustRightInd w:val="0"/>
        <w:snapToGrid w:val="0"/>
        <w:spacing w:line="400" w:lineRule="atLeast"/>
        <w:jc w:val="both"/>
        <w:rPr>
          <w:rFonts w:cs="Times New Roman"/>
          <w:szCs w:val="28"/>
          <w:lang w:val="en-GB"/>
        </w:rPr>
      </w:pPr>
      <w:r w:rsidRPr="009D1F79">
        <w:rPr>
          <w:rFonts w:cs="Times New Roman"/>
          <w:szCs w:val="28"/>
          <w:lang w:val="en-GB"/>
        </w:rPr>
        <w:t>1</w:t>
      </w:r>
      <w:r>
        <w:rPr>
          <w:rFonts w:cs="Times New Roman"/>
          <w:szCs w:val="28"/>
          <w:lang w:val="en-GB"/>
        </w:rPr>
        <w:t>.</w:t>
      </w:r>
      <w:r w:rsidRPr="009D1F79">
        <w:rPr>
          <w:rFonts w:cs="Times New Roman" w:hint="eastAsia"/>
          <w:szCs w:val="28"/>
          <w:lang w:val="en-GB"/>
        </w:rPr>
        <w:tab/>
      </w:r>
      <w:r w:rsidRPr="009D1F79">
        <w:rPr>
          <w:rFonts w:cs="Times New Roman" w:hint="eastAsia"/>
          <w:szCs w:val="28"/>
          <w:lang w:val="en-GB"/>
        </w:rPr>
        <w:t>扶貧委員會採用相對貧窮的概念，以每月住戶除稅及福利轉移前的收入中位數的</w:t>
      </w:r>
      <w:r w:rsidRPr="009D1F79">
        <w:rPr>
          <w:rFonts w:cs="Times New Roman" w:hint="eastAsia"/>
          <w:szCs w:val="28"/>
          <w:lang w:val="en-GB"/>
        </w:rPr>
        <w:t>50%</w:t>
      </w:r>
      <w:r w:rsidRPr="009D1F79">
        <w:rPr>
          <w:rFonts w:cs="Times New Roman" w:hint="eastAsia"/>
          <w:szCs w:val="28"/>
          <w:lang w:val="en-GB"/>
        </w:rPr>
        <w:t>釐訂貧窮線。首條官方貧窮線連同《</w:t>
      </w:r>
      <w:r w:rsidRPr="009D1F79">
        <w:rPr>
          <w:rFonts w:cs="Times New Roman" w:hint="eastAsia"/>
          <w:szCs w:val="28"/>
          <w:lang w:val="en-GB"/>
        </w:rPr>
        <w:t>2012</w:t>
      </w:r>
      <w:r w:rsidRPr="009D1F79">
        <w:rPr>
          <w:rFonts w:cs="Times New Roman" w:hint="eastAsia"/>
          <w:szCs w:val="28"/>
          <w:lang w:val="en-GB"/>
        </w:rPr>
        <w:t>年香港貧窮情況報告》已於</w:t>
      </w:r>
      <w:r w:rsidRPr="009D1F79">
        <w:rPr>
          <w:rFonts w:cs="Times New Roman" w:hint="eastAsia"/>
          <w:szCs w:val="28"/>
          <w:lang w:val="en-GB"/>
        </w:rPr>
        <w:t>2013</w:t>
      </w:r>
      <w:r w:rsidRPr="009D1F79">
        <w:rPr>
          <w:rFonts w:cs="Times New Roman" w:hint="eastAsia"/>
          <w:szCs w:val="28"/>
          <w:lang w:val="en-GB"/>
        </w:rPr>
        <w:t>年</w:t>
      </w:r>
      <w:r w:rsidRPr="009D1F79">
        <w:rPr>
          <w:rFonts w:cs="Times New Roman" w:hint="eastAsia"/>
          <w:szCs w:val="28"/>
          <w:lang w:val="en-GB"/>
        </w:rPr>
        <w:t>9</w:t>
      </w:r>
      <w:r w:rsidRPr="009D1F79">
        <w:rPr>
          <w:rFonts w:cs="Times New Roman" w:hint="eastAsia"/>
          <w:szCs w:val="28"/>
          <w:lang w:val="en-GB"/>
        </w:rPr>
        <w:t>月的扶貧委員會高峰會公布。其後當局按全港住戶的收入情況，每年更新貧窮線及發布香港貧窮情況報告</w:t>
      </w:r>
      <w:r w:rsidRPr="009D1F79">
        <w:rPr>
          <w:rFonts w:cs="Times New Roman"/>
          <w:szCs w:val="28"/>
          <w:vertAlign w:val="superscript"/>
          <w:lang w:val="en-GB"/>
        </w:rPr>
        <w:footnoteReference w:id="11"/>
      </w:r>
      <w:r w:rsidRPr="009D1F79">
        <w:rPr>
          <w:rFonts w:cs="Times New Roman" w:hint="eastAsia"/>
          <w:szCs w:val="28"/>
          <w:lang w:val="en-GB"/>
        </w:rPr>
        <w:t>，恆常地監察香港的貧窮情況。</w:t>
      </w:r>
    </w:p>
    <w:p w:rsidR="00BA1F6C" w:rsidRPr="009D1F79" w:rsidRDefault="00BA1F6C" w:rsidP="00BA1F6C">
      <w:pPr>
        <w:tabs>
          <w:tab w:val="left" w:pos="1440"/>
        </w:tabs>
        <w:adjustRightInd w:val="0"/>
        <w:snapToGrid w:val="0"/>
        <w:spacing w:line="400" w:lineRule="atLeast"/>
        <w:jc w:val="both"/>
        <w:rPr>
          <w:rFonts w:cs="Times New Roman"/>
          <w:szCs w:val="28"/>
          <w:lang w:val="en-GB"/>
        </w:rPr>
      </w:pPr>
    </w:p>
    <w:p w:rsidR="00BA1F6C" w:rsidRPr="009D1F79" w:rsidRDefault="00BA1F6C" w:rsidP="00BA1F6C">
      <w:pPr>
        <w:tabs>
          <w:tab w:val="left" w:pos="1440"/>
        </w:tabs>
        <w:adjustRightInd w:val="0"/>
        <w:snapToGrid w:val="0"/>
        <w:spacing w:line="400" w:lineRule="atLeast"/>
        <w:jc w:val="both"/>
        <w:rPr>
          <w:rFonts w:cs="Times New Roman"/>
          <w:szCs w:val="28"/>
          <w:lang w:val="en-GB"/>
        </w:rPr>
      </w:pPr>
      <w:r>
        <w:rPr>
          <w:rFonts w:cs="Times New Roman"/>
          <w:szCs w:val="28"/>
          <w:lang w:val="en-GB"/>
        </w:rPr>
        <w:t>2.</w:t>
      </w:r>
      <w:r w:rsidRPr="009D1F79">
        <w:rPr>
          <w:rFonts w:cs="Times New Roman" w:hint="eastAsia"/>
          <w:szCs w:val="28"/>
          <w:lang w:val="en-GB"/>
        </w:rPr>
        <w:tab/>
      </w:r>
      <w:r w:rsidRPr="009D1F79">
        <w:rPr>
          <w:rFonts w:cs="Times New Roman" w:hint="eastAsia"/>
          <w:szCs w:val="28"/>
          <w:lang w:val="en-GB"/>
        </w:rPr>
        <w:t>貧窮線的主體分析框架主要是分析政府恆常現金政策介入前、後各項貧窮指標（包括貧窮人口、貧窮率，以及貧窮差距等）的變化，以量化、評估及比較各項扶貧措施的成效。貧窮情況報告亦設有輔助分析，估算非恆常現金項目和設有入息</w:t>
      </w:r>
      <w:r w:rsidRPr="009D1F79">
        <w:rPr>
          <w:rFonts w:cs="Times New Roman" w:hint="eastAsia"/>
          <w:szCs w:val="28"/>
        </w:rPr>
        <w:t>／</w:t>
      </w:r>
      <w:r w:rsidRPr="009D1F79">
        <w:rPr>
          <w:rFonts w:cs="Times New Roman" w:hint="eastAsia"/>
          <w:szCs w:val="28"/>
          <w:lang w:val="en-GB"/>
        </w:rPr>
        <w:t>資產審查的非現金福利（主要包括公共租住房屋）的成效，以提供補充參考。</w:t>
      </w:r>
    </w:p>
    <w:p w:rsidR="00BA1F6C" w:rsidRPr="009D1F79" w:rsidRDefault="00BA1F6C" w:rsidP="00BA1F6C">
      <w:pPr>
        <w:tabs>
          <w:tab w:val="left" w:pos="1440"/>
        </w:tabs>
        <w:adjustRightInd w:val="0"/>
        <w:snapToGrid w:val="0"/>
        <w:spacing w:line="400" w:lineRule="atLeast"/>
        <w:jc w:val="both"/>
        <w:rPr>
          <w:rFonts w:cs="Times New Roman"/>
          <w:szCs w:val="28"/>
          <w:lang w:val="en-GB"/>
        </w:rPr>
      </w:pPr>
    </w:p>
    <w:p w:rsidR="00BA1F6C" w:rsidRPr="009D1F79" w:rsidRDefault="00BA1F6C" w:rsidP="00BA1F6C">
      <w:pPr>
        <w:tabs>
          <w:tab w:val="left" w:pos="1440"/>
        </w:tabs>
        <w:adjustRightInd w:val="0"/>
        <w:snapToGrid w:val="0"/>
        <w:spacing w:line="400" w:lineRule="atLeast"/>
        <w:jc w:val="both"/>
        <w:rPr>
          <w:rFonts w:cs="Times New Roman"/>
          <w:szCs w:val="28"/>
          <w:lang w:val="en-GB"/>
        </w:rPr>
      </w:pPr>
      <w:r>
        <w:rPr>
          <w:rFonts w:cs="Times New Roman"/>
          <w:szCs w:val="28"/>
          <w:lang w:val="en-GB"/>
        </w:rPr>
        <w:t>3.</w:t>
      </w:r>
      <w:r w:rsidRPr="009D1F79">
        <w:rPr>
          <w:rFonts w:cs="Times New Roman" w:hint="eastAsia"/>
          <w:szCs w:val="28"/>
          <w:lang w:val="en-GB"/>
        </w:rPr>
        <w:tab/>
      </w:r>
      <w:r w:rsidRPr="009D1F79">
        <w:rPr>
          <w:rFonts w:cs="Times New Roman" w:hint="eastAsia"/>
          <w:szCs w:val="28"/>
          <w:lang w:val="en-GB"/>
        </w:rPr>
        <w:t>一如其他數據分析框架，貧窮線亦有其局限，當中包括單以住戶的收入為指標，並沒有考慮住戶的資產和負債，故「低收入，高資產」人士（如擁有可觀儲蓄的退休長者）亦可能被界定為貧窮人口，因而高估了貧窮情況。另一方面，貧窮線並非扶貧線，不適宜直接用以作為任何扶貧措施的受助資格，以免資源只集中於貧窮線下的住戶，而未能預防貧窮線上的住戶跌落貧窮線下。</w:t>
      </w:r>
    </w:p>
    <w:p w:rsidR="00CE0549" w:rsidRDefault="00415A36">
      <w:pPr>
        <w:widowControl/>
        <w:rPr>
          <w:rFonts w:cs="Times New Roman"/>
          <w:bCs/>
          <w:kern w:val="0"/>
          <w:szCs w:val="28"/>
          <w:lang w:val="en-GB"/>
        </w:rPr>
        <w:sectPr w:rsidR="00CE0549" w:rsidSect="00DA10C5">
          <w:footerReference w:type="default" r:id="rId54"/>
          <w:footnotePr>
            <w:numRestart w:val="eachSect"/>
          </w:footnotePr>
          <w:pgSz w:w="11906" w:h="16838"/>
          <w:pgMar w:top="1440" w:right="1800" w:bottom="1440" w:left="1800" w:header="720" w:footer="720" w:gutter="0"/>
          <w:pgNumType w:start="1"/>
          <w:cols w:space="425"/>
          <w:docGrid w:type="lines" w:linePitch="381"/>
        </w:sectPr>
      </w:pPr>
      <w:r>
        <w:rPr>
          <w:rFonts w:cs="Times New Roman"/>
          <w:bCs/>
          <w:kern w:val="0"/>
          <w:szCs w:val="28"/>
          <w:lang w:val="en-GB"/>
        </w:rPr>
        <w:br w:type="page"/>
      </w:r>
    </w:p>
    <w:p w:rsidR="00CE0549" w:rsidRPr="00CE0549" w:rsidRDefault="00CE0549" w:rsidP="00CE0549">
      <w:pPr>
        <w:tabs>
          <w:tab w:val="left" w:pos="426"/>
        </w:tabs>
        <w:wordWrap w:val="0"/>
        <w:autoSpaceDE w:val="0"/>
        <w:autoSpaceDN w:val="0"/>
        <w:jc w:val="right"/>
        <w:rPr>
          <w:rFonts w:cs="Times New Roman"/>
          <w:b/>
          <w:kern w:val="0"/>
          <w:sz w:val="24"/>
          <w:lang w:val="en-GB"/>
        </w:rPr>
      </w:pPr>
      <w:r w:rsidRPr="00CE0549">
        <w:rPr>
          <w:rFonts w:cs="Times New Roman"/>
          <w:b/>
          <w:kern w:val="0"/>
          <w:sz w:val="24"/>
          <w:lang w:eastAsia="zh-HK"/>
        </w:rPr>
        <w:lastRenderedPageBreak/>
        <w:t>附</w:t>
      </w:r>
      <w:r w:rsidRPr="00CE0549">
        <w:rPr>
          <w:rFonts w:cs="Times New Roman" w:hint="eastAsia"/>
          <w:b/>
          <w:kern w:val="0"/>
          <w:sz w:val="24"/>
          <w:lang w:eastAsia="zh-HK"/>
        </w:rPr>
        <w:t>錄</w:t>
      </w:r>
    </w:p>
    <w:p w:rsidR="00CE0549" w:rsidRPr="00CE0549" w:rsidRDefault="00CE0549" w:rsidP="00CE0549">
      <w:pPr>
        <w:tabs>
          <w:tab w:val="left" w:pos="426"/>
        </w:tabs>
        <w:autoSpaceDE w:val="0"/>
        <w:autoSpaceDN w:val="0"/>
        <w:rPr>
          <w:rFonts w:cs="Times New Roman"/>
          <w:b/>
          <w:w w:val="105"/>
          <w:kern w:val="0"/>
          <w:sz w:val="20"/>
          <w:szCs w:val="20"/>
        </w:rPr>
      </w:pPr>
    </w:p>
    <w:p w:rsidR="00CE0549" w:rsidRPr="00CE0549" w:rsidRDefault="00CE0549" w:rsidP="00CE0549">
      <w:pPr>
        <w:autoSpaceDE w:val="0"/>
        <w:autoSpaceDN w:val="0"/>
        <w:rPr>
          <w:rFonts w:cs="Times New Roman"/>
          <w:b/>
          <w:w w:val="105"/>
          <w:kern w:val="0"/>
          <w:sz w:val="20"/>
          <w:szCs w:val="20"/>
        </w:rPr>
      </w:pPr>
      <w:r w:rsidRPr="00CE0549">
        <w:rPr>
          <w:rFonts w:cs="Times New Roman"/>
          <w:b/>
          <w:w w:val="105"/>
          <w:kern w:val="0"/>
          <w:sz w:val="20"/>
          <w:szCs w:val="20"/>
        </w:rPr>
        <w:t>表</w:t>
      </w:r>
      <w:r w:rsidRPr="00CE0549">
        <w:rPr>
          <w:rFonts w:cs="Times New Roman"/>
          <w:b/>
          <w:w w:val="105"/>
          <w:kern w:val="0"/>
          <w:sz w:val="20"/>
          <w:szCs w:val="20"/>
        </w:rPr>
        <w:t>1</w:t>
      </w:r>
      <w:r w:rsidRPr="00CE0549">
        <w:rPr>
          <w:rFonts w:cs="Times New Roman"/>
          <w:b/>
          <w:w w:val="105"/>
          <w:kern w:val="0"/>
          <w:sz w:val="20"/>
          <w:szCs w:val="20"/>
        </w:rPr>
        <w:t>：</w:t>
      </w:r>
      <w:r w:rsidRPr="00CE0549">
        <w:rPr>
          <w:rFonts w:cs="Times New Roman"/>
          <w:b/>
          <w:w w:val="105"/>
          <w:kern w:val="0"/>
          <w:sz w:val="20"/>
          <w:szCs w:val="20"/>
        </w:rPr>
        <w:t>2009-2017</w:t>
      </w:r>
      <w:r w:rsidRPr="00CE0549">
        <w:rPr>
          <w:rFonts w:cs="Times New Roman"/>
          <w:b/>
          <w:w w:val="105"/>
          <w:kern w:val="0"/>
          <w:sz w:val="20"/>
          <w:szCs w:val="20"/>
        </w:rPr>
        <w:t>年各類貧窮指標（與政策介入前的貧窮指標比較）</w:t>
      </w:r>
    </w:p>
    <w:p w:rsidR="00CE0549" w:rsidRPr="00CE0549" w:rsidRDefault="00CE0549" w:rsidP="00CE0549">
      <w:pPr>
        <w:tabs>
          <w:tab w:val="left" w:pos="426"/>
        </w:tabs>
        <w:autoSpaceDE w:val="0"/>
        <w:autoSpaceDN w:val="0"/>
        <w:rPr>
          <w:rFonts w:cs="Times New Roman"/>
          <w:b/>
          <w:w w:val="105"/>
          <w:kern w:val="0"/>
          <w:sz w:val="20"/>
          <w:szCs w:val="20"/>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3"/>
        <w:gridCol w:w="705"/>
        <w:gridCol w:w="705"/>
        <w:gridCol w:w="705"/>
        <w:gridCol w:w="705"/>
        <w:gridCol w:w="705"/>
        <w:gridCol w:w="706"/>
        <w:gridCol w:w="705"/>
        <w:gridCol w:w="705"/>
        <w:gridCol w:w="705"/>
        <w:gridCol w:w="705"/>
        <w:gridCol w:w="705"/>
        <w:gridCol w:w="706"/>
        <w:gridCol w:w="705"/>
        <w:gridCol w:w="705"/>
        <w:gridCol w:w="705"/>
        <w:gridCol w:w="705"/>
        <w:gridCol w:w="705"/>
        <w:gridCol w:w="706"/>
      </w:tblGrid>
      <w:tr w:rsidR="00CE0549" w:rsidRPr="00CE0549" w:rsidTr="00E22C88">
        <w:trPr>
          <w:trHeight w:val="254"/>
        </w:trPr>
        <w:tc>
          <w:tcPr>
            <w:tcW w:w="2303" w:type="dxa"/>
          </w:tcPr>
          <w:p w:rsidR="00CE0549" w:rsidRPr="00CE0549" w:rsidRDefault="00CE0549" w:rsidP="00CE0549">
            <w:pPr>
              <w:tabs>
                <w:tab w:val="left" w:pos="426"/>
              </w:tabs>
              <w:rPr>
                <w:rFonts w:ascii="Times New Roman" w:eastAsia="標楷體" w:hAnsi="Times New Roman" w:cs="Times New Roman"/>
                <w:sz w:val="12"/>
                <w:lang w:eastAsia="zh-TW"/>
              </w:rPr>
            </w:pPr>
            <w:r w:rsidRPr="00CE0549">
              <w:rPr>
                <w:rFonts w:ascii="Times New Roman" w:eastAsia="標楷體" w:hAnsi="Times New Roman" w:cs="Times New Roman"/>
                <w:lang w:eastAsia="zh-TW"/>
              </w:rPr>
              <w:br w:type="column"/>
            </w:r>
          </w:p>
        </w:tc>
        <w:tc>
          <w:tcPr>
            <w:tcW w:w="1410"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sz w:val="20"/>
                <w:szCs w:val="20"/>
              </w:rPr>
            </w:pPr>
            <w:r w:rsidRPr="00CE0549">
              <w:rPr>
                <w:rFonts w:ascii="Times New Roman" w:eastAsia="標楷體" w:hAnsi="Times New Roman" w:cs="Times New Roman"/>
                <w:b/>
                <w:w w:val="105"/>
                <w:sz w:val="20"/>
                <w:szCs w:val="20"/>
              </w:rPr>
              <w:t>2009</w:t>
            </w:r>
            <w:r w:rsidRPr="00CE0549">
              <w:rPr>
                <w:rFonts w:ascii="Times New Roman" w:eastAsia="標楷體" w:hAnsi="Times New Roman" w:cs="Times New Roman"/>
                <w:b/>
                <w:w w:val="105"/>
                <w:sz w:val="20"/>
                <w:szCs w:val="20"/>
              </w:rPr>
              <w:t>年</w:t>
            </w:r>
          </w:p>
        </w:tc>
        <w:tc>
          <w:tcPr>
            <w:tcW w:w="1410"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2010</w:t>
            </w:r>
            <w:r w:rsidRPr="00CE0549">
              <w:rPr>
                <w:rFonts w:ascii="Times New Roman" w:eastAsia="標楷體" w:hAnsi="Times New Roman" w:cs="Times New Roman"/>
                <w:b/>
                <w:w w:val="105"/>
                <w:sz w:val="20"/>
                <w:szCs w:val="20"/>
              </w:rPr>
              <w:t>年</w:t>
            </w:r>
          </w:p>
        </w:tc>
        <w:tc>
          <w:tcPr>
            <w:tcW w:w="1411"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2011</w:t>
            </w:r>
            <w:r w:rsidRPr="00CE0549">
              <w:rPr>
                <w:rFonts w:ascii="Times New Roman" w:eastAsia="標楷體" w:hAnsi="Times New Roman" w:cs="Times New Roman"/>
                <w:b/>
                <w:w w:val="105"/>
                <w:sz w:val="20"/>
                <w:szCs w:val="20"/>
              </w:rPr>
              <w:t>年</w:t>
            </w:r>
          </w:p>
        </w:tc>
        <w:tc>
          <w:tcPr>
            <w:tcW w:w="1410"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2012</w:t>
            </w:r>
            <w:r w:rsidRPr="00CE0549">
              <w:rPr>
                <w:rFonts w:ascii="Times New Roman" w:eastAsia="標楷體" w:hAnsi="Times New Roman" w:cs="Times New Roman"/>
                <w:b/>
                <w:w w:val="105"/>
                <w:sz w:val="20"/>
                <w:szCs w:val="20"/>
              </w:rPr>
              <w:t>年</w:t>
            </w:r>
          </w:p>
        </w:tc>
        <w:tc>
          <w:tcPr>
            <w:tcW w:w="1410"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2013</w:t>
            </w:r>
            <w:r w:rsidRPr="00CE0549">
              <w:rPr>
                <w:rFonts w:ascii="Times New Roman" w:eastAsia="標楷體" w:hAnsi="Times New Roman" w:cs="Times New Roman"/>
                <w:b/>
                <w:w w:val="105"/>
                <w:sz w:val="20"/>
                <w:szCs w:val="20"/>
              </w:rPr>
              <w:t>年</w:t>
            </w:r>
          </w:p>
        </w:tc>
        <w:tc>
          <w:tcPr>
            <w:tcW w:w="1411"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2014</w:t>
            </w:r>
            <w:r w:rsidRPr="00CE0549">
              <w:rPr>
                <w:rFonts w:ascii="Times New Roman" w:eastAsia="標楷體" w:hAnsi="Times New Roman" w:cs="Times New Roman"/>
                <w:b/>
                <w:w w:val="105"/>
                <w:sz w:val="20"/>
                <w:szCs w:val="20"/>
              </w:rPr>
              <w:t>年</w:t>
            </w:r>
          </w:p>
        </w:tc>
        <w:tc>
          <w:tcPr>
            <w:tcW w:w="1410"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2015</w:t>
            </w:r>
            <w:r w:rsidRPr="00CE0549">
              <w:rPr>
                <w:rFonts w:ascii="Times New Roman" w:eastAsia="標楷體" w:hAnsi="Times New Roman" w:cs="Times New Roman"/>
                <w:b/>
                <w:w w:val="105"/>
                <w:sz w:val="20"/>
                <w:szCs w:val="20"/>
              </w:rPr>
              <w:t>年</w:t>
            </w:r>
          </w:p>
        </w:tc>
        <w:tc>
          <w:tcPr>
            <w:tcW w:w="1410"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2016</w:t>
            </w:r>
            <w:r w:rsidRPr="00CE0549">
              <w:rPr>
                <w:rFonts w:ascii="Times New Roman" w:eastAsia="標楷體" w:hAnsi="Times New Roman" w:cs="Times New Roman"/>
                <w:b/>
                <w:w w:val="105"/>
                <w:sz w:val="20"/>
                <w:szCs w:val="20"/>
              </w:rPr>
              <w:t>年</w:t>
            </w:r>
          </w:p>
        </w:tc>
        <w:tc>
          <w:tcPr>
            <w:tcW w:w="1411" w:type="dxa"/>
            <w:gridSpan w:val="2"/>
          </w:tcPr>
          <w:p w:rsidR="00CE0549" w:rsidRPr="00CE0549" w:rsidRDefault="00CE0549" w:rsidP="00CE0549">
            <w:pPr>
              <w:tabs>
                <w:tab w:val="left" w:pos="426"/>
              </w:tabs>
              <w:spacing w:before="40"/>
              <w:ind w:right="86"/>
              <w:jc w:val="center"/>
              <w:rPr>
                <w:rFonts w:ascii="Times New Roman" w:eastAsia="標楷體" w:hAnsi="Times New Roman" w:cs="Times New Roman"/>
                <w:b/>
                <w:w w:val="105"/>
                <w:sz w:val="20"/>
                <w:szCs w:val="20"/>
              </w:rPr>
            </w:pPr>
            <w:r w:rsidRPr="00CE0549">
              <w:rPr>
                <w:rFonts w:ascii="Times New Roman" w:eastAsia="標楷體" w:hAnsi="Times New Roman" w:cs="Times New Roman"/>
                <w:b/>
                <w:w w:val="105"/>
                <w:sz w:val="20"/>
                <w:szCs w:val="20"/>
              </w:rPr>
              <w:t>2017</w:t>
            </w:r>
            <w:r w:rsidRPr="00CE0549">
              <w:rPr>
                <w:rFonts w:ascii="Times New Roman" w:eastAsia="標楷體" w:hAnsi="Times New Roman" w:cs="Times New Roman"/>
                <w:b/>
                <w:w w:val="105"/>
                <w:sz w:val="20"/>
                <w:szCs w:val="20"/>
              </w:rPr>
              <w:t>年</w:t>
            </w:r>
          </w:p>
        </w:tc>
      </w:tr>
      <w:tr w:rsidR="00CE0549" w:rsidRPr="00CE0549" w:rsidTr="00E22C88">
        <w:trPr>
          <w:trHeight w:val="253"/>
        </w:trPr>
        <w:tc>
          <w:tcPr>
            <w:tcW w:w="14996" w:type="dxa"/>
            <w:gridSpan w:val="19"/>
          </w:tcPr>
          <w:p w:rsidR="00CE0549" w:rsidRPr="00CE0549" w:rsidRDefault="00CE0549" w:rsidP="00CE0549">
            <w:pPr>
              <w:tabs>
                <w:tab w:val="left" w:pos="426"/>
              </w:tabs>
              <w:spacing w:before="45"/>
              <w:rPr>
                <w:rFonts w:ascii="Times New Roman" w:eastAsia="標楷體" w:hAnsi="Times New Roman" w:cs="Times New Roman"/>
                <w:b/>
                <w:sz w:val="20"/>
                <w:szCs w:val="20"/>
              </w:rPr>
            </w:pPr>
            <w:r w:rsidRPr="00CE0549">
              <w:rPr>
                <w:rFonts w:ascii="Times New Roman" w:eastAsia="標楷體" w:hAnsi="Times New Roman" w:cs="Times New Roman"/>
                <w:b/>
                <w:w w:val="105"/>
                <w:sz w:val="20"/>
                <w:szCs w:val="20"/>
              </w:rPr>
              <w:t xml:space="preserve">(A) </w:t>
            </w:r>
            <w:r w:rsidRPr="00CE0549">
              <w:rPr>
                <w:rFonts w:ascii="Times New Roman" w:eastAsia="標楷體" w:hAnsi="Times New Roman" w:cs="Times New Roman"/>
                <w:b/>
                <w:w w:val="105"/>
                <w:sz w:val="20"/>
                <w:szCs w:val="20"/>
              </w:rPr>
              <w:t>政策介入前</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sz w:val="18"/>
              </w:rPr>
            </w:pPr>
            <w:r w:rsidRPr="00CE0549">
              <w:rPr>
                <w:rFonts w:ascii="Times New Roman" w:eastAsia="標楷體" w:hAnsi="Times New Roman" w:cs="Times New Roman"/>
                <w:w w:val="105"/>
                <w:sz w:val="18"/>
              </w:rPr>
              <w:t>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貧窮住戶</w:t>
            </w:r>
            <w:r w:rsidRPr="00CE0549">
              <w:rPr>
                <w:rFonts w:ascii="Times New Roman" w:eastAsia="標楷體" w:hAnsi="Times New Roman" w:cs="Times New Roman"/>
                <w:w w:val="105"/>
                <w:sz w:val="18"/>
              </w:rPr>
              <w:t>('000)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541.1</w:t>
            </w:r>
          </w:p>
        </w:tc>
        <w:tc>
          <w:tcPr>
            <w:tcW w:w="1410" w:type="dxa"/>
            <w:gridSpan w:val="2"/>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535.5</w:t>
            </w:r>
          </w:p>
        </w:tc>
        <w:tc>
          <w:tcPr>
            <w:tcW w:w="1411" w:type="dxa"/>
            <w:gridSpan w:val="2"/>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530.3</w:t>
            </w:r>
          </w:p>
        </w:tc>
        <w:tc>
          <w:tcPr>
            <w:tcW w:w="1410" w:type="dxa"/>
            <w:gridSpan w:val="2"/>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540.6</w:t>
            </w:r>
          </w:p>
        </w:tc>
        <w:tc>
          <w:tcPr>
            <w:tcW w:w="1410" w:type="dxa"/>
            <w:gridSpan w:val="2"/>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554.9</w:t>
            </w:r>
          </w:p>
        </w:tc>
        <w:tc>
          <w:tcPr>
            <w:tcW w:w="1411" w:type="dxa"/>
            <w:gridSpan w:val="2"/>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555.2</w:t>
            </w:r>
          </w:p>
        </w:tc>
        <w:tc>
          <w:tcPr>
            <w:tcW w:w="1410" w:type="dxa"/>
            <w:gridSpan w:val="2"/>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569.8</w:t>
            </w:r>
          </w:p>
        </w:tc>
        <w:tc>
          <w:tcPr>
            <w:tcW w:w="1410" w:type="dxa"/>
            <w:gridSpan w:val="2"/>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582.2</w:t>
            </w:r>
          </w:p>
        </w:tc>
        <w:tc>
          <w:tcPr>
            <w:tcW w:w="1411" w:type="dxa"/>
            <w:gridSpan w:val="2"/>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594.0</w:t>
            </w:r>
          </w:p>
        </w:tc>
      </w:tr>
      <w:tr w:rsidR="00CE0549" w:rsidRPr="00CE0549" w:rsidTr="00E22C88">
        <w:trPr>
          <w:trHeight w:val="254"/>
        </w:trPr>
        <w:tc>
          <w:tcPr>
            <w:tcW w:w="2303" w:type="dxa"/>
          </w:tcPr>
          <w:p w:rsidR="00CE0549" w:rsidRPr="00CE0549" w:rsidRDefault="00CE0549" w:rsidP="00CE0549">
            <w:pPr>
              <w:tabs>
                <w:tab w:val="left" w:pos="316"/>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貧窮人口</w:t>
            </w:r>
            <w:r w:rsidRPr="00CE0549">
              <w:rPr>
                <w:rFonts w:ascii="Times New Roman" w:eastAsia="標楷體" w:hAnsi="Times New Roman" w:cs="Times New Roman"/>
                <w:w w:val="105"/>
                <w:sz w:val="18"/>
              </w:rPr>
              <w:t>('000)</w:t>
            </w:r>
          </w:p>
        </w:tc>
        <w:tc>
          <w:tcPr>
            <w:tcW w:w="1410" w:type="dxa"/>
            <w:gridSpan w:val="2"/>
          </w:tcPr>
          <w:p w:rsidR="00CE0549" w:rsidRPr="00CE0549" w:rsidRDefault="00CE0549" w:rsidP="00CE0549">
            <w:pPr>
              <w:tabs>
                <w:tab w:val="left" w:pos="426"/>
              </w:tabs>
              <w:spacing w:before="46"/>
              <w:ind w:right="41"/>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1 348.4</w:t>
            </w:r>
          </w:p>
        </w:tc>
        <w:tc>
          <w:tcPr>
            <w:tcW w:w="1410" w:type="dxa"/>
            <w:gridSpan w:val="2"/>
          </w:tcPr>
          <w:p w:rsidR="00CE0549" w:rsidRPr="00CE0549" w:rsidRDefault="00CE0549" w:rsidP="00CE0549">
            <w:pPr>
              <w:tabs>
                <w:tab w:val="left" w:pos="426"/>
              </w:tabs>
              <w:spacing w:before="46"/>
              <w:ind w:right="40"/>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1 322.0</w:t>
            </w:r>
          </w:p>
        </w:tc>
        <w:tc>
          <w:tcPr>
            <w:tcW w:w="1411" w:type="dxa"/>
            <w:gridSpan w:val="2"/>
          </w:tcPr>
          <w:p w:rsidR="00CE0549" w:rsidRPr="00CE0549" w:rsidRDefault="00CE0549" w:rsidP="00CE0549">
            <w:pPr>
              <w:tabs>
                <w:tab w:val="left" w:pos="426"/>
              </w:tabs>
              <w:spacing w:before="46"/>
              <w:ind w:right="39"/>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1 295.0</w:t>
            </w:r>
          </w:p>
        </w:tc>
        <w:tc>
          <w:tcPr>
            <w:tcW w:w="1410" w:type="dxa"/>
            <w:gridSpan w:val="2"/>
          </w:tcPr>
          <w:p w:rsidR="00CE0549" w:rsidRPr="00CE0549" w:rsidRDefault="00CE0549" w:rsidP="00CE0549">
            <w:pPr>
              <w:tabs>
                <w:tab w:val="left" w:pos="426"/>
              </w:tabs>
              <w:spacing w:before="46"/>
              <w:ind w:right="38"/>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1 312.3</w:t>
            </w:r>
          </w:p>
        </w:tc>
        <w:tc>
          <w:tcPr>
            <w:tcW w:w="1410" w:type="dxa"/>
            <w:gridSpan w:val="2"/>
          </w:tcPr>
          <w:p w:rsidR="00CE0549" w:rsidRPr="00CE0549" w:rsidRDefault="00CE0549" w:rsidP="00CE0549">
            <w:pPr>
              <w:tabs>
                <w:tab w:val="left" w:pos="426"/>
              </w:tabs>
              <w:spacing w:before="46"/>
              <w:ind w:right="36"/>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1 336.2</w:t>
            </w:r>
          </w:p>
        </w:tc>
        <w:tc>
          <w:tcPr>
            <w:tcW w:w="1411" w:type="dxa"/>
            <w:gridSpan w:val="2"/>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1 324.8</w:t>
            </w:r>
          </w:p>
        </w:tc>
        <w:tc>
          <w:tcPr>
            <w:tcW w:w="1410" w:type="dxa"/>
            <w:gridSpan w:val="2"/>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1 345.0</w:t>
            </w:r>
          </w:p>
        </w:tc>
        <w:tc>
          <w:tcPr>
            <w:tcW w:w="1410" w:type="dxa"/>
            <w:gridSpan w:val="2"/>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1 352.5</w:t>
            </w:r>
          </w:p>
        </w:tc>
        <w:tc>
          <w:tcPr>
            <w:tcW w:w="1411" w:type="dxa"/>
            <w:gridSpan w:val="2"/>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1 376.6</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III.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貧窮率</w:t>
            </w:r>
            <w:r w:rsidRPr="00CE0549">
              <w:rPr>
                <w:rFonts w:ascii="Times New Roman" w:eastAsia="標楷體" w:hAnsi="Times New Roman" w:cs="Times New Roman"/>
                <w:w w:val="105"/>
                <w:sz w:val="18"/>
              </w:rPr>
              <w:t>(%)</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20.6</w:t>
            </w:r>
          </w:p>
        </w:tc>
        <w:tc>
          <w:tcPr>
            <w:tcW w:w="1410" w:type="dxa"/>
            <w:gridSpan w:val="2"/>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20.1</w:t>
            </w:r>
          </w:p>
        </w:tc>
        <w:tc>
          <w:tcPr>
            <w:tcW w:w="1411" w:type="dxa"/>
            <w:gridSpan w:val="2"/>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19.6</w:t>
            </w:r>
          </w:p>
        </w:tc>
        <w:tc>
          <w:tcPr>
            <w:tcW w:w="1410" w:type="dxa"/>
            <w:gridSpan w:val="2"/>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19.6</w:t>
            </w:r>
          </w:p>
        </w:tc>
        <w:tc>
          <w:tcPr>
            <w:tcW w:w="1410" w:type="dxa"/>
            <w:gridSpan w:val="2"/>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19.9</w:t>
            </w:r>
          </w:p>
        </w:tc>
        <w:tc>
          <w:tcPr>
            <w:tcW w:w="1411" w:type="dxa"/>
            <w:gridSpan w:val="2"/>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19.6</w:t>
            </w:r>
          </w:p>
        </w:tc>
        <w:tc>
          <w:tcPr>
            <w:tcW w:w="1410" w:type="dxa"/>
            <w:gridSpan w:val="2"/>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19.7</w:t>
            </w:r>
          </w:p>
        </w:tc>
        <w:tc>
          <w:tcPr>
            <w:tcW w:w="1410" w:type="dxa"/>
            <w:gridSpan w:val="2"/>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19.9</w:t>
            </w:r>
          </w:p>
        </w:tc>
        <w:tc>
          <w:tcPr>
            <w:tcW w:w="1411" w:type="dxa"/>
            <w:gridSpan w:val="2"/>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20.1</w:t>
            </w: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IV.</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貧窮差距</w:t>
            </w:r>
          </w:p>
        </w:tc>
        <w:tc>
          <w:tcPr>
            <w:tcW w:w="12693" w:type="dxa"/>
            <w:gridSpan w:val="18"/>
          </w:tcPr>
          <w:p w:rsidR="00CE0549" w:rsidRPr="00CE0549" w:rsidRDefault="00CE0549" w:rsidP="00CE0549">
            <w:pPr>
              <w:tabs>
                <w:tab w:val="left" w:pos="426"/>
              </w:tabs>
              <w:rPr>
                <w:rFonts w:ascii="Times New Roman" w:eastAsia="標楷體" w:hAnsi="Times New Roman" w:cs="Times New Roman"/>
                <w:sz w:val="16"/>
                <w:szCs w:val="16"/>
              </w:rPr>
            </w:pP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每年總差距</w:t>
            </w:r>
            <w:r w:rsidRPr="00CE0549">
              <w:rPr>
                <w:rFonts w:ascii="Times New Roman" w:eastAsia="標楷體" w:hAnsi="Times New Roman" w:cs="Times New Roman"/>
                <w:w w:val="105"/>
                <w:sz w:val="18"/>
              </w:rPr>
              <w:t>(</w:t>
            </w:r>
            <w:r w:rsidRPr="00CE0549">
              <w:rPr>
                <w:rFonts w:ascii="Times New Roman" w:eastAsia="標楷體" w:hAnsi="Times New Roman" w:cs="Times New Roman"/>
                <w:w w:val="105"/>
                <w:sz w:val="18"/>
              </w:rPr>
              <w:t>百萬港元</w:t>
            </w:r>
            <w:r w:rsidRPr="00CE0549">
              <w:rPr>
                <w:rFonts w:ascii="Times New Roman" w:eastAsia="標楷體" w:hAnsi="Times New Roman" w:cs="Times New Roman"/>
                <w:w w:val="105"/>
                <w:sz w:val="18"/>
              </w:rPr>
              <w:t>)</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25,424.4</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25,943.0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26,891.7</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28,798.4</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30,640.4</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32,785.4</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35,544.7</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38,510.3</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41,457.5</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每月平均差距</w:t>
            </w:r>
            <w:r w:rsidRPr="00CE0549">
              <w:rPr>
                <w:rFonts w:ascii="Times New Roman" w:eastAsia="標楷體" w:hAnsi="Times New Roman" w:cs="Times New Roman"/>
                <w:w w:val="105"/>
                <w:sz w:val="18"/>
              </w:rPr>
              <w:t>(</w:t>
            </w:r>
            <w:r w:rsidRPr="00CE0549">
              <w:rPr>
                <w:rFonts w:ascii="Times New Roman" w:eastAsia="標楷體" w:hAnsi="Times New Roman" w:cs="Times New Roman"/>
                <w:w w:val="105"/>
                <w:sz w:val="18"/>
              </w:rPr>
              <w:t>港元</w:t>
            </w:r>
            <w:r w:rsidRPr="00CE0549">
              <w:rPr>
                <w:rFonts w:ascii="Times New Roman" w:eastAsia="標楷體" w:hAnsi="Times New Roman" w:cs="Times New Roman"/>
                <w:w w:val="105"/>
                <w:sz w:val="18"/>
              </w:rPr>
              <w:t>)</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3,900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4,000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4,200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4,400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4,600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4,900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5,200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5,500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5,800</w:t>
            </w:r>
          </w:p>
        </w:tc>
      </w:tr>
      <w:tr w:rsidR="00CE0549" w:rsidRPr="00CE0549" w:rsidTr="00E22C88">
        <w:trPr>
          <w:trHeight w:val="254"/>
        </w:trPr>
        <w:tc>
          <w:tcPr>
            <w:tcW w:w="14996" w:type="dxa"/>
            <w:gridSpan w:val="19"/>
          </w:tcPr>
          <w:p w:rsidR="00CE0549" w:rsidRPr="00CE0549" w:rsidRDefault="00CE0549" w:rsidP="00CE0549">
            <w:pPr>
              <w:tabs>
                <w:tab w:val="left" w:pos="426"/>
              </w:tabs>
              <w:spacing w:before="45"/>
              <w:rPr>
                <w:rFonts w:ascii="Times New Roman" w:eastAsia="標楷體" w:hAnsi="Times New Roman" w:cs="Times New Roman"/>
                <w:b/>
                <w:sz w:val="16"/>
                <w:szCs w:val="16"/>
                <w:lang w:eastAsia="zh-TW"/>
              </w:rPr>
            </w:pPr>
            <w:r w:rsidRPr="00CE0549">
              <w:rPr>
                <w:rFonts w:ascii="Times New Roman" w:eastAsia="標楷體" w:hAnsi="Times New Roman" w:cs="Times New Roman"/>
                <w:b/>
                <w:w w:val="105"/>
                <w:sz w:val="20"/>
                <w:szCs w:val="20"/>
                <w:lang w:eastAsia="zh-TW"/>
              </w:rPr>
              <w:t xml:space="preserve">(B) </w:t>
            </w:r>
            <w:r w:rsidRPr="00CE0549">
              <w:rPr>
                <w:rFonts w:ascii="Times New Roman" w:eastAsia="標楷體" w:hAnsi="Times New Roman" w:cs="Times New Roman"/>
                <w:b/>
                <w:w w:val="105"/>
                <w:sz w:val="20"/>
                <w:szCs w:val="20"/>
                <w:lang w:eastAsia="zh-TW"/>
              </w:rPr>
              <w:t>政策介入後（恆常現金）</w:t>
            </w: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貧窮住戶</w:t>
            </w:r>
            <w:r w:rsidRPr="00CE0549">
              <w:rPr>
                <w:rFonts w:ascii="Times New Roman" w:eastAsia="標楷體" w:hAnsi="Times New Roman" w:cs="Times New Roman"/>
                <w:w w:val="105"/>
                <w:sz w:val="18"/>
              </w:rPr>
              <w:t>('000)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406.3</w:t>
            </w:r>
          </w:p>
        </w:tc>
        <w:tc>
          <w:tcPr>
            <w:tcW w:w="1410" w:type="dxa"/>
            <w:gridSpan w:val="2"/>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405.3</w:t>
            </w:r>
          </w:p>
        </w:tc>
        <w:tc>
          <w:tcPr>
            <w:tcW w:w="1411" w:type="dxa"/>
            <w:gridSpan w:val="2"/>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398.8</w:t>
            </w:r>
          </w:p>
        </w:tc>
        <w:tc>
          <w:tcPr>
            <w:tcW w:w="1410" w:type="dxa"/>
            <w:gridSpan w:val="2"/>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403.0</w:t>
            </w:r>
          </w:p>
        </w:tc>
        <w:tc>
          <w:tcPr>
            <w:tcW w:w="1410" w:type="dxa"/>
            <w:gridSpan w:val="2"/>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384.8</w:t>
            </w:r>
          </w:p>
        </w:tc>
        <w:tc>
          <w:tcPr>
            <w:tcW w:w="1411" w:type="dxa"/>
            <w:gridSpan w:val="2"/>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382.6</w:t>
            </w:r>
          </w:p>
        </w:tc>
        <w:tc>
          <w:tcPr>
            <w:tcW w:w="1410" w:type="dxa"/>
            <w:gridSpan w:val="2"/>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392.4</w:t>
            </w:r>
          </w:p>
        </w:tc>
        <w:tc>
          <w:tcPr>
            <w:tcW w:w="1410" w:type="dxa"/>
            <w:gridSpan w:val="2"/>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412.4</w:t>
            </w:r>
          </w:p>
        </w:tc>
        <w:tc>
          <w:tcPr>
            <w:tcW w:w="1411" w:type="dxa"/>
            <w:gridSpan w:val="2"/>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419.8</w:t>
            </w: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貧窮人口</w:t>
            </w:r>
            <w:r w:rsidRPr="00CE0549">
              <w:rPr>
                <w:rFonts w:ascii="Times New Roman" w:eastAsia="標楷體" w:hAnsi="Times New Roman" w:cs="Times New Roman"/>
                <w:w w:val="105"/>
                <w:sz w:val="18"/>
              </w:rPr>
              <w:t>('000)</w:t>
            </w:r>
          </w:p>
        </w:tc>
        <w:tc>
          <w:tcPr>
            <w:tcW w:w="1410" w:type="dxa"/>
            <w:gridSpan w:val="2"/>
          </w:tcPr>
          <w:p w:rsidR="00CE0549" w:rsidRPr="00CE0549" w:rsidRDefault="00CE0549" w:rsidP="00CE0549">
            <w:pPr>
              <w:tabs>
                <w:tab w:val="left" w:pos="426"/>
              </w:tabs>
              <w:spacing w:before="46"/>
              <w:ind w:right="41"/>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1 043.4</w:t>
            </w:r>
          </w:p>
        </w:tc>
        <w:tc>
          <w:tcPr>
            <w:tcW w:w="1410" w:type="dxa"/>
            <w:gridSpan w:val="2"/>
          </w:tcPr>
          <w:p w:rsidR="00CE0549" w:rsidRPr="00CE0549" w:rsidRDefault="00CE0549" w:rsidP="00CE0549">
            <w:pPr>
              <w:tabs>
                <w:tab w:val="left" w:pos="426"/>
              </w:tabs>
              <w:spacing w:before="46"/>
              <w:ind w:right="40"/>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1 030.6</w:t>
            </w:r>
          </w:p>
        </w:tc>
        <w:tc>
          <w:tcPr>
            <w:tcW w:w="1411" w:type="dxa"/>
            <w:gridSpan w:val="2"/>
          </w:tcPr>
          <w:p w:rsidR="00CE0549" w:rsidRPr="00CE0549" w:rsidRDefault="00CE0549" w:rsidP="00CE0549">
            <w:pPr>
              <w:tabs>
                <w:tab w:val="left" w:pos="426"/>
              </w:tabs>
              <w:spacing w:before="46"/>
              <w:ind w:right="39"/>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1 005.4</w:t>
            </w:r>
          </w:p>
        </w:tc>
        <w:tc>
          <w:tcPr>
            <w:tcW w:w="1410" w:type="dxa"/>
            <w:gridSpan w:val="2"/>
          </w:tcPr>
          <w:p w:rsidR="00CE0549" w:rsidRPr="00CE0549" w:rsidRDefault="00CE0549" w:rsidP="00CE0549">
            <w:pPr>
              <w:tabs>
                <w:tab w:val="left" w:pos="426"/>
              </w:tabs>
              <w:spacing w:before="46"/>
              <w:ind w:right="38"/>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1 017.8</w:t>
            </w:r>
          </w:p>
        </w:tc>
        <w:tc>
          <w:tcPr>
            <w:tcW w:w="1410" w:type="dxa"/>
            <w:gridSpan w:val="2"/>
          </w:tcPr>
          <w:p w:rsidR="00CE0549" w:rsidRPr="00CE0549" w:rsidRDefault="00CE0549" w:rsidP="00CE0549">
            <w:pPr>
              <w:tabs>
                <w:tab w:val="left" w:pos="426"/>
              </w:tabs>
              <w:spacing w:before="46"/>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972.2</w:t>
            </w:r>
          </w:p>
        </w:tc>
        <w:tc>
          <w:tcPr>
            <w:tcW w:w="1411" w:type="dxa"/>
            <w:gridSpan w:val="2"/>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962.1</w:t>
            </w:r>
          </w:p>
        </w:tc>
        <w:tc>
          <w:tcPr>
            <w:tcW w:w="1410" w:type="dxa"/>
            <w:gridSpan w:val="2"/>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971.4</w:t>
            </w:r>
          </w:p>
        </w:tc>
        <w:tc>
          <w:tcPr>
            <w:tcW w:w="1410" w:type="dxa"/>
            <w:gridSpan w:val="2"/>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995.8</w:t>
            </w:r>
          </w:p>
        </w:tc>
        <w:tc>
          <w:tcPr>
            <w:tcW w:w="1411" w:type="dxa"/>
            <w:gridSpan w:val="2"/>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w w:val="105"/>
                <w:sz w:val="16"/>
                <w:szCs w:val="16"/>
              </w:rPr>
              <w:t>1 008.8</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III.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貧窮率</w:t>
            </w:r>
            <w:r w:rsidRPr="00CE0549">
              <w:rPr>
                <w:rFonts w:ascii="Times New Roman" w:eastAsia="標楷體" w:hAnsi="Times New Roman" w:cs="Times New Roman"/>
                <w:w w:val="105"/>
                <w:sz w:val="18"/>
              </w:rPr>
              <w:t>(%)</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16.0</w:t>
            </w:r>
          </w:p>
        </w:tc>
        <w:tc>
          <w:tcPr>
            <w:tcW w:w="1410" w:type="dxa"/>
            <w:gridSpan w:val="2"/>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15.7</w:t>
            </w:r>
          </w:p>
        </w:tc>
        <w:tc>
          <w:tcPr>
            <w:tcW w:w="1411" w:type="dxa"/>
            <w:gridSpan w:val="2"/>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15.2</w:t>
            </w:r>
          </w:p>
        </w:tc>
        <w:tc>
          <w:tcPr>
            <w:tcW w:w="1410" w:type="dxa"/>
            <w:gridSpan w:val="2"/>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15.2</w:t>
            </w:r>
          </w:p>
        </w:tc>
        <w:tc>
          <w:tcPr>
            <w:tcW w:w="1410" w:type="dxa"/>
            <w:gridSpan w:val="2"/>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14.5</w:t>
            </w:r>
          </w:p>
        </w:tc>
        <w:tc>
          <w:tcPr>
            <w:tcW w:w="1411" w:type="dxa"/>
            <w:gridSpan w:val="2"/>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14.3</w:t>
            </w:r>
          </w:p>
        </w:tc>
        <w:tc>
          <w:tcPr>
            <w:tcW w:w="1410" w:type="dxa"/>
            <w:gridSpan w:val="2"/>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14.3</w:t>
            </w:r>
          </w:p>
        </w:tc>
        <w:tc>
          <w:tcPr>
            <w:tcW w:w="1410" w:type="dxa"/>
            <w:gridSpan w:val="2"/>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14.7</w:t>
            </w:r>
          </w:p>
        </w:tc>
        <w:tc>
          <w:tcPr>
            <w:tcW w:w="1411" w:type="dxa"/>
            <w:gridSpan w:val="2"/>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14.7</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IV.</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貧窮差距</w:t>
            </w:r>
          </w:p>
        </w:tc>
        <w:tc>
          <w:tcPr>
            <w:tcW w:w="12693" w:type="dxa"/>
            <w:gridSpan w:val="18"/>
          </w:tcPr>
          <w:p w:rsidR="00CE0549" w:rsidRPr="00CE0549" w:rsidRDefault="00CE0549" w:rsidP="00CE0549">
            <w:pPr>
              <w:tabs>
                <w:tab w:val="left" w:pos="426"/>
              </w:tabs>
              <w:rPr>
                <w:rFonts w:ascii="Times New Roman" w:eastAsia="標楷體" w:hAnsi="Times New Roman" w:cs="Times New Roman"/>
                <w:sz w:val="16"/>
                <w:szCs w:val="16"/>
              </w:rPr>
            </w:pP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每年總差距</w:t>
            </w:r>
            <w:r w:rsidRPr="00CE0549">
              <w:rPr>
                <w:rFonts w:ascii="Times New Roman" w:eastAsia="標楷體" w:hAnsi="Times New Roman" w:cs="Times New Roman"/>
                <w:w w:val="105"/>
                <w:sz w:val="18"/>
              </w:rPr>
              <w:t>(</w:t>
            </w:r>
            <w:r w:rsidRPr="00CE0549">
              <w:rPr>
                <w:rFonts w:ascii="Times New Roman" w:eastAsia="標楷體" w:hAnsi="Times New Roman" w:cs="Times New Roman"/>
                <w:w w:val="105"/>
                <w:sz w:val="18"/>
              </w:rPr>
              <w:t>百萬港元</w:t>
            </w:r>
            <w:r w:rsidRPr="00CE0549">
              <w:rPr>
                <w:rFonts w:ascii="Times New Roman" w:eastAsia="標楷體" w:hAnsi="Times New Roman" w:cs="Times New Roman"/>
                <w:w w:val="105"/>
                <w:sz w:val="18"/>
              </w:rPr>
              <w:t>)</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12,790.0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12,829.8</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13,701.2</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14,807.6</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15,019.6</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15,819.8</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18,152.1</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19,937.0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20,576.2</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每月平均差距</w:t>
            </w:r>
            <w:r w:rsidRPr="00CE0549">
              <w:rPr>
                <w:rFonts w:ascii="Times New Roman" w:eastAsia="標楷體" w:hAnsi="Times New Roman" w:cs="Times New Roman"/>
                <w:w w:val="105"/>
                <w:sz w:val="18"/>
              </w:rPr>
              <w:t>(</w:t>
            </w:r>
            <w:r w:rsidRPr="00CE0549">
              <w:rPr>
                <w:rFonts w:ascii="Times New Roman" w:eastAsia="標楷體" w:hAnsi="Times New Roman" w:cs="Times New Roman"/>
                <w:w w:val="105"/>
                <w:sz w:val="18"/>
              </w:rPr>
              <w:t>港元</w:t>
            </w:r>
            <w:r w:rsidRPr="00CE0549">
              <w:rPr>
                <w:rFonts w:ascii="Times New Roman" w:eastAsia="標楷體" w:hAnsi="Times New Roman" w:cs="Times New Roman"/>
                <w:w w:val="105"/>
                <w:sz w:val="18"/>
              </w:rPr>
              <w:t>)</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2,600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2,600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3,100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3,300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3,400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3,900</w:t>
            </w:r>
          </w:p>
        </w:tc>
        <w:tc>
          <w:tcPr>
            <w:tcW w:w="1410"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4,000</w:t>
            </w:r>
          </w:p>
        </w:tc>
        <w:tc>
          <w:tcPr>
            <w:tcW w:w="1411" w:type="dxa"/>
            <w:gridSpan w:val="2"/>
          </w:tcPr>
          <w:p w:rsidR="00CE0549" w:rsidRPr="00CE0549" w:rsidRDefault="00CE0549" w:rsidP="00CE0549">
            <w:pPr>
              <w:tabs>
                <w:tab w:val="left" w:pos="426"/>
              </w:tabs>
              <w:spacing w:before="51"/>
              <w:ind w:right="4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4,100</w:t>
            </w:r>
          </w:p>
        </w:tc>
      </w:tr>
      <w:tr w:rsidR="00CE0549" w:rsidRPr="00CE0549" w:rsidTr="00E22C88">
        <w:trPr>
          <w:trHeight w:val="254"/>
        </w:trPr>
        <w:tc>
          <w:tcPr>
            <w:tcW w:w="2303" w:type="dxa"/>
            <w:vMerge w:val="restart"/>
          </w:tcPr>
          <w:p w:rsidR="00CE0549" w:rsidRPr="00CE0549" w:rsidRDefault="00CE0549" w:rsidP="00CE0549">
            <w:pPr>
              <w:tabs>
                <w:tab w:val="left" w:pos="426"/>
              </w:tabs>
              <w:rPr>
                <w:rFonts w:ascii="Times New Roman" w:eastAsia="標楷體" w:hAnsi="Times New Roman" w:cs="Times New Roman"/>
                <w:sz w:val="18"/>
              </w:rPr>
            </w:pPr>
          </w:p>
        </w:tc>
        <w:tc>
          <w:tcPr>
            <w:tcW w:w="12693" w:type="dxa"/>
            <w:gridSpan w:val="18"/>
          </w:tcPr>
          <w:p w:rsidR="00CE0549" w:rsidRPr="00CE0549" w:rsidRDefault="00CE0549" w:rsidP="00CE0549">
            <w:pPr>
              <w:tabs>
                <w:tab w:val="left" w:pos="426"/>
              </w:tabs>
              <w:spacing w:before="35"/>
              <w:ind w:right="74"/>
              <w:jc w:val="center"/>
              <w:rPr>
                <w:rFonts w:ascii="Times New Roman" w:eastAsia="標楷體" w:hAnsi="Times New Roman" w:cs="Times New Roman"/>
                <w:b/>
                <w:sz w:val="20"/>
                <w:szCs w:val="20"/>
                <w:lang w:eastAsia="zh-TW"/>
              </w:rPr>
            </w:pPr>
            <w:r w:rsidRPr="00CE0549">
              <w:rPr>
                <w:rFonts w:ascii="Times New Roman" w:eastAsia="標楷體" w:hAnsi="Times New Roman" w:cs="Times New Roman"/>
                <w:b/>
                <w:w w:val="105"/>
                <w:sz w:val="20"/>
                <w:szCs w:val="20"/>
                <w:lang w:eastAsia="zh-TW"/>
              </w:rPr>
              <w:t>與政策介入前的貧窮指標比較</w:t>
            </w:r>
          </w:p>
        </w:tc>
      </w:tr>
      <w:tr w:rsidR="00CE0549" w:rsidRPr="00CE0549" w:rsidTr="00E22C88">
        <w:trPr>
          <w:trHeight w:val="316"/>
        </w:trPr>
        <w:tc>
          <w:tcPr>
            <w:tcW w:w="2303" w:type="dxa"/>
            <w:vMerge/>
            <w:tcBorders>
              <w:top w:val="nil"/>
            </w:tcBorders>
          </w:tcPr>
          <w:p w:rsidR="00CE0549" w:rsidRPr="00CE0549" w:rsidRDefault="00CE0549" w:rsidP="00CE0549">
            <w:pPr>
              <w:tabs>
                <w:tab w:val="left" w:pos="426"/>
              </w:tabs>
              <w:rPr>
                <w:rFonts w:ascii="Times New Roman" w:eastAsia="標楷體" w:hAnsi="Times New Roman" w:cs="Times New Roman"/>
                <w:sz w:val="18"/>
                <w:szCs w:val="2"/>
                <w:lang w:eastAsia="zh-TW"/>
              </w:rPr>
            </w:pPr>
          </w:p>
        </w:tc>
        <w:tc>
          <w:tcPr>
            <w:tcW w:w="705" w:type="dxa"/>
            <w:vAlign w:val="center"/>
          </w:tcPr>
          <w:p w:rsidR="00CE0549" w:rsidRPr="00CE0549" w:rsidRDefault="00CE0549" w:rsidP="00CE0549">
            <w:pPr>
              <w:spacing w:before="71"/>
              <w:jc w:val="center"/>
              <w:rPr>
                <w:rFonts w:ascii="Times New Roman" w:eastAsia="標楷體" w:hAnsi="Times New Roman" w:cs="Times New Roman"/>
                <w:b/>
                <w:sz w:val="16"/>
                <w:szCs w:val="20"/>
              </w:rPr>
            </w:pPr>
            <w:r w:rsidRPr="00CE0549">
              <w:rPr>
                <w:rFonts w:ascii="Times New Roman" w:eastAsia="標楷體" w:hAnsi="Times New Roman" w:cs="Times New Roman"/>
                <w:b/>
                <w:w w:val="105"/>
                <w:sz w:val="16"/>
                <w:szCs w:val="20"/>
              </w:rPr>
              <w:t>增減</w:t>
            </w:r>
          </w:p>
        </w:tc>
        <w:tc>
          <w:tcPr>
            <w:tcW w:w="705" w:type="dxa"/>
            <w:vAlign w:val="center"/>
          </w:tcPr>
          <w:p w:rsidR="00CE0549" w:rsidRPr="00CE0549" w:rsidRDefault="00CE0549" w:rsidP="00CE0549">
            <w:pPr>
              <w:tabs>
                <w:tab w:val="left" w:pos="426"/>
              </w:tabs>
              <w:spacing w:line="164" w:lineRule="exact"/>
              <w:jc w:val="center"/>
              <w:rPr>
                <w:rFonts w:ascii="Times New Roman" w:eastAsia="標楷體" w:hAnsi="Times New Roman" w:cs="Times New Roman"/>
                <w:b/>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5"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6"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5"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5"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6"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5"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5" w:type="dxa"/>
            <w:vAlign w:val="center"/>
          </w:tcPr>
          <w:p w:rsidR="00CE0549" w:rsidRPr="00CE0549" w:rsidRDefault="00CE0549" w:rsidP="00CE0549">
            <w:pPr>
              <w:spacing w:line="164" w:lineRule="exact"/>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c>
          <w:tcPr>
            <w:tcW w:w="705" w:type="dxa"/>
            <w:vAlign w:val="center"/>
          </w:tcPr>
          <w:p w:rsidR="00CE0549" w:rsidRPr="00CE0549" w:rsidRDefault="00CE0549" w:rsidP="00CE0549">
            <w:pPr>
              <w:spacing w:before="71"/>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w:t>
            </w:r>
          </w:p>
        </w:tc>
        <w:tc>
          <w:tcPr>
            <w:tcW w:w="706" w:type="dxa"/>
            <w:vAlign w:val="center"/>
          </w:tcPr>
          <w:p w:rsidR="00CE0549" w:rsidRPr="00CE0549" w:rsidRDefault="00CE0549" w:rsidP="00CE0549">
            <w:pPr>
              <w:spacing w:before="76"/>
              <w:jc w:val="center"/>
              <w:rPr>
                <w:rFonts w:ascii="Times New Roman" w:eastAsia="標楷體" w:hAnsi="Times New Roman" w:cs="Times New Roman"/>
                <w:b/>
                <w:w w:val="105"/>
                <w:sz w:val="16"/>
                <w:szCs w:val="20"/>
              </w:rPr>
            </w:pPr>
            <w:r w:rsidRPr="00CE0549">
              <w:rPr>
                <w:rFonts w:ascii="Times New Roman" w:eastAsia="標楷體" w:hAnsi="Times New Roman" w:cs="Times New Roman"/>
                <w:b/>
                <w:w w:val="105"/>
                <w:sz w:val="16"/>
                <w:szCs w:val="20"/>
              </w:rPr>
              <w:t>增減率</w:t>
            </w:r>
            <w:r w:rsidRPr="00CE0549">
              <w:rPr>
                <w:rFonts w:ascii="Times New Roman" w:eastAsia="標楷體" w:hAnsi="Times New Roman" w:cs="Times New Roman"/>
                <w:b/>
                <w:w w:val="105"/>
                <w:sz w:val="16"/>
                <w:szCs w:val="20"/>
              </w:rPr>
              <w:t>(%)</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貧窮住戶</w:t>
            </w:r>
            <w:r w:rsidRPr="00CE0549">
              <w:rPr>
                <w:rFonts w:ascii="Times New Roman" w:eastAsia="標楷體" w:hAnsi="Times New Roman" w:cs="Times New Roman"/>
                <w:w w:val="105"/>
                <w:sz w:val="18"/>
              </w:rPr>
              <w:t>('000)</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-134.8</w:t>
            </w:r>
          </w:p>
        </w:tc>
        <w:tc>
          <w:tcPr>
            <w:tcW w:w="705" w:type="dxa"/>
          </w:tcPr>
          <w:p w:rsidR="00CE0549" w:rsidRPr="00CE0549" w:rsidRDefault="00CE0549" w:rsidP="00CE0549">
            <w:pPr>
              <w:tabs>
                <w:tab w:val="left" w:pos="426"/>
              </w:tabs>
              <w:spacing w:before="51"/>
              <w:ind w:rightChars="18" w:right="5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-24.9</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-130.2</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-24.3</w:t>
            </w:r>
          </w:p>
        </w:tc>
        <w:tc>
          <w:tcPr>
            <w:tcW w:w="705" w:type="dxa"/>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-131.5</w:t>
            </w:r>
          </w:p>
        </w:tc>
        <w:tc>
          <w:tcPr>
            <w:tcW w:w="706"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-24.8</w:t>
            </w:r>
          </w:p>
        </w:tc>
        <w:tc>
          <w:tcPr>
            <w:tcW w:w="705"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-137.6</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-25.5</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-170.1</w:t>
            </w:r>
          </w:p>
        </w:tc>
        <w:tc>
          <w:tcPr>
            <w:tcW w:w="705" w:type="dxa"/>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-30.7</w:t>
            </w:r>
          </w:p>
        </w:tc>
        <w:tc>
          <w:tcPr>
            <w:tcW w:w="705"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-172.6</w:t>
            </w:r>
          </w:p>
        </w:tc>
        <w:tc>
          <w:tcPr>
            <w:tcW w:w="706"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-31.1</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-177.4</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-31.1</w:t>
            </w:r>
          </w:p>
        </w:tc>
        <w:tc>
          <w:tcPr>
            <w:tcW w:w="705" w:type="dxa"/>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-169.8</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-29.2</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-174.2</w:t>
            </w:r>
          </w:p>
        </w:tc>
        <w:tc>
          <w:tcPr>
            <w:tcW w:w="706" w:type="dxa"/>
          </w:tcPr>
          <w:p w:rsidR="00CE0549" w:rsidRPr="00CE0549" w:rsidRDefault="00CE0549" w:rsidP="00CE0549">
            <w:pPr>
              <w:tabs>
                <w:tab w:val="left" w:pos="426"/>
              </w:tabs>
              <w:spacing w:before="51"/>
              <w:ind w:right="3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-29.3</w:t>
            </w: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貧窮人口</w:t>
            </w:r>
            <w:r w:rsidRPr="00CE0549">
              <w:rPr>
                <w:rFonts w:ascii="Times New Roman" w:eastAsia="標楷體" w:hAnsi="Times New Roman" w:cs="Times New Roman"/>
                <w:w w:val="105"/>
                <w:sz w:val="18"/>
              </w:rPr>
              <w:t>('000)</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-305.0</w:t>
            </w:r>
          </w:p>
        </w:tc>
        <w:tc>
          <w:tcPr>
            <w:tcW w:w="705" w:type="dxa"/>
          </w:tcPr>
          <w:p w:rsidR="00CE0549" w:rsidRPr="00CE0549" w:rsidRDefault="00CE0549" w:rsidP="00CE0549">
            <w:pPr>
              <w:tabs>
                <w:tab w:val="left" w:pos="426"/>
              </w:tabs>
              <w:spacing w:before="51"/>
              <w:ind w:rightChars="18" w:right="5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-22.6</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-291.4</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-22.0</w:t>
            </w:r>
          </w:p>
        </w:tc>
        <w:tc>
          <w:tcPr>
            <w:tcW w:w="705" w:type="dxa"/>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-289.6</w:t>
            </w:r>
          </w:p>
        </w:tc>
        <w:tc>
          <w:tcPr>
            <w:tcW w:w="706"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-22.4</w:t>
            </w:r>
          </w:p>
        </w:tc>
        <w:tc>
          <w:tcPr>
            <w:tcW w:w="705"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-294.5</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-22.4</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-364.0</w:t>
            </w:r>
          </w:p>
        </w:tc>
        <w:tc>
          <w:tcPr>
            <w:tcW w:w="705" w:type="dxa"/>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-27.2</w:t>
            </w:r>
          </w:p>
        </w:tc>
        <w:tc>
          <w:tcPr>
            <w:tcW w:w="705"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-362.7</w:t>
            </w:r>
          </w:p>
        </w:tc>
        <w:tc>
          <w:tcPr>
            <w:tcW w:w="706"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-27.4</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-373.5</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-27.8</w:t>
            </w:r>
          </w:p>
        </w:tc>
        <w:tc>
          <w:tcPr>
            <w:tcW w:w="705" w:type="dxa"/>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-356.6</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-26.4</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-367.9</w:t>
            </w:r>
          </w:p>
        </w:tc>
        <w:tc>
          <w:tcPr>
            <w:tcW w:w="706" w:type="dxa"/>
          </w:tcPr>
          <w:p w:rsidR="00CE0549" w:rsidRPr="00CE0549" w:rsidRDefault="00CE0549" w:rsidP="00CE0549">
            <w:pPr>
              <w:tabs>
                <w:tab w:val="left" w:pos="426"/>
              </w:tabs>
              <w:spacing w:before="51"/>
              <w:ind w:right="3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-26.7</w:t>
            </w: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III.</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貧窮率</w:t>
            </w:r>
            <w:r w:rsidRPr="00CE0549">
              <w:rPr>
                <w:rFonts w:ascii="Times New Roman" w:eastAsia="標楷體" w:hAnsi="Times New Roman" w:cs="Times New Roman"/>
                <w:w w:val="105"/>
                <w:sz w:val="18"/>
              </w:rPr>
              <w:t>(%)</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-4.6</w:t>
            </w:r>
          </w:p>
        </w:tc>
        <w:tc>
          <w:tcPr>
            <w:tcW w:w="705" w:type="dxa"/>
          </w:tcPr>
          <w:p w:rsidR="00CE0549" w:rsidRPr="00CE0549" w:rsidRDefault="00CE0549" w:rsidP="00CE0549">
            <w:pPr>
              <w:tabs>
                <w:tab w:val="left" w:pos="426"/>
              </w:tabs>
              <w:spacing w:before="51"/>
              <w:ind w:rightChars="18" w:right="50"/>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-4.4</w:t>
            </w:r>
          </w:p>
        </w:tc>
        <w:tc>
          <w:tcPr>
            <w:tcW w:w="705" w:type="dxa"/>
          </w:tcPr>
          <w:p w:rsidR="00CE0549" w:rsidRPr="00CE0549" w:rsidRDefault="00CE0549" w:rsidP="00CE0549">
            <w:pPr>
              <w:tabs>
                <w:tab w:val="left" w:pos="426"/>
              </w:tabs>
              <w:spacing w:before="51"/>
              <w:ind w:right="5"/>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-4.4</w:t>
            </w:r>
          </w:p>
        </w:tc>
        <w:tc>
          <w:tcPr>
            <w:tcW w:w="706" w:type="dxa"/>
          </w:tcPr>
          <w:p w:rsidR="00CE0549" w:rsidRPr="00CE0549" w:rsidRDefault="00CE0549" w:rsidP="00CE0549">
            <w:pPr>
              <w:tabs>
                <w:tab w:val="left" w:pos="426"/>
              </w:tabs>
              <w:spacing w:before="51"/>
              <w:ind w:right="4"/>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-4.4</w:t>
            </w:r>
          </w:p>
        </w:tc>
        <w:tc>
          <w:tcPr>
            <w:tcW w:w="705" w:type="dxa"/>
          </w:tcPr>
          <w:p w:rsidR="00CE0549" w:rsidRPr="00CE0549" w:rsidRDefault="00CE0549" w:rsidP="00CE0549">
            <w:pPr>
              <w:tabs>
                <w:tab w:val="left" w:pos="426"/>
              </w:tabs>
              <w:spacing w:before="51"/>
              <w:ind w:right="4"/>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-5.4</w:t>
            </w:r>
          </w:p>
        </w:tc>
        <w:tc>
          <w:tcPr>
            <w:tcW w:w="705" w:type="dxa"/>
          </w:tcPr>
          <w:p w:rsidR="00CE0549" w:rsidRPr="00CE0549" w:rsidRDefault="00CE0549" w:rsidP="00CE0549">
            <w:pPr>
              <w:tabs>
                <w:tab w:val="left" w:pos="426"/>
              </w:tabs>
              <w:spacing w:before="51"/>
              <w:ind w:right="1"/>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-5.3</w:t>
            </w:r>
          </w:p>
        </w:tc>
        <w:tc>
          <w:tcPr>
            <w:tcW w:w="706" w:type="dxa"/>
          </w:tcPr>
          <w:p w:rsidR="00CE0549" w:rsidRPr="00CE0549" w:rsidRDefault="00CE0549" w:rsidP="00CE0549">
            <w:pPr>
              <w:tabs>
                <w:tab w:val="left" w:pos="426"/>
              </w:tabs>
              <w:spacing w:before="51"/>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-5.4</w:t>
            </w:r>
          </w:p>
        </w:tc>
        <w:tc>
          <w:tcPr>
            <w:tcW w:w="705" w:type="dxa"/>
          </w:tcPr>
          <w:p w:rsidR="00CE0549" w:rsidRPr="00CE0549" w:rsidRDefault="00CE0549" w:rsidP="00CE0549">
            <w:pPr>
              <w:tabs>
                <w:tab w:val="left" w:pos="426"/>
              </w:tabs>
              <w:spacing w:before="51"/>
              <w:ind w:right="1"/>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-5.2</w:t>
            </w:r>
          </w:p>
        </w:tc>
        <w:tc>
          <w:tcPr>
            <w:tcW w:w="705" w:type="dxa"/>
          </w:tcPr>
          <w:p w:rsidR="00CE0549" w:rsidRPr="00CE0549" w:rsidRDefault="00CE0549" w:rsidP="00CE0549">
            <w:pPr>
              <w:tabs>
                <w:tab w:val="left" w:pos="426"/>
              </w:tabs>
              <w:spacing w:before="51"/>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-5.4</w:t>
            </w:r>
          </w:p>
        </w:tc>
        <w:tc>
          <w:tcPr>
            <w:tcW w:w="706" w:type="dxa"/>
          </w:tcPr>
          <w:p w:rsidR="00CE0549" w:rsidRPr="00CE0549" w:rsidRDefault="00CE0549" w:rsidP="00CE0549">
            <w:pPr>
              <w:tabs>
                <w:tab w:val="left" w:pos="426"/>
              </w:tabs>
              <w:spacing w:before="51"/>
              <w:ind w:right="-15"/>
              <w:jc w:val="right"/>
              <w:rPr>
                <w:rFonts w:ascii="Times New Roman" w:eastAsia="標楷體" w:hAnsi="Times New Roman" w:cs="Times New Roman"/>
                <w:sz w:val="16"/>
                <w:szCs w:val="16"/>
              </w:rPr>
            </w:pPr>
            <w:r w:rsidRPr="00CE0549">
              <w:rPr>
                <w:rFonts w:ascii="Times New Roman" w:eastAsia="標楷體" w:hAnsi="Times New Roman" w:cs="Times New Roman"/>
                <w:w w:val="103"/>
                <w:sz w:val="16"/>
                <w:szCs w:val="16"/>
              </w:rPr>
              <w:t>-</w:t>
            </w:r>
          </w:p>
        </w:tc>
      </w:tr>
      <w:tr w:rsidR="00CE0549" w:rsidRPr="00CE0549" w:rsidTr="00E22C88">
        <w:trPr>
          <w:trHeight w:val="254"/>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IV.</w:t>
            </w: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貧窮差距</w:t>
            </w:r>
          </w:p>
        </w:tc>
        <w:tc>
          <w:tcPr>
            <w:tcW w:w="12693" w:type="dxa"/>
            <w:gridSpan w:val="18"/>
          </w:tcPr>
          <w:p w:rsidR="00CE0549" w:rsidRPr="00CE0549" w:rsidRDefault="00CE0549" w:rsidP="00CE0549">
            <w:pPr>
              <w:tabs>
                <w:tab w:val="left" w:pos="426"/>
              </w:tabs>
              <w:rPr>
                <w:rFonts w:ascii="Times New Roman" w:eastAsia="標楷體" w:hAnsi="Times New Roman" w:cs="Times New Roman"/>
                <w:sz w:val="16"/>
                <w:szCs w:val="16"/>
              </w:rPr>
            </w:pP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每年總差距</w:t>
            </w:r>
            <w:r w:rsidRPr="00CE0549">
              <w:rPr>
                <w:rFonts w:ascii="Times New Roman" w:eastAsia="標楷體" w:hAnsi="Times New Roman" w:cs="Times New Roman"/>
                <w:w w:val="105"/>
                <w:sz w:val="18"/>
              </w:rPr>
              <w:t>(</w:t>
            </w:r>
            <w:r w:rsidRPr="00CE0549">
              <w:rPr>
                <w:rFonts w:ascii="Times New Roman" w:eastAsia="標楷體" w:hAnsi="Times New Roman" w:cs="Times New Roman"/>
                <w:w w:val="105"/>
                <w:sz w:val="18"/>
              </w:rPr>
              <w:t>百萬港元</w:t>
            </w:r>
            <w:r w:rsidRPr="00CE0549">
              <w:rPr>
                <w:rFonts w:ascii="Times New Roman" w:eastAsia="標楷體" w:hAnsi="Times New Roman" w:cs="Times New Roman"/>
                <w:w w:val="105"/>
                <w:sz w:val="18"/>
              </w:rPr>
              <w:t>)</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-12,634.4</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-49.7</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-13,113.2</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-50.5</w:t>
            </w:r>
          </w:p>
        </w:tc>
        <w:tc>
          <w:tcPr>
            <w:tcW w:w="705" w:type="dxa"/>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-13,190.5</w:t>
            </w:r>
          </w:p>
        </w:tc>
        <w:tc>
          <w:tcPr>
            <w:tcW w:w="706"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-49.1</w:t>
            </w:r>
          </w:p>
        </w:tc>
        <w:tc>
          <w:tcPr>
            <w:tcW w:w="705"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-13,990.8</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-48.6</w:t>
            </w:r>
          </w:p>
        </w:tc>
        <w:tc>
          <w:tcPr>
            <w:tcW w:w="705" w:type="dxa"/>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-15,620.9</w:t>
            </w:r>
          </w:p>
        </w:tc>
        <w:tc>
          <w:tcPr>
            <w:tcW w:w="705" w:type="dxa"/>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-51.0</w:t>
            </w:r>
          </w:p>
        </w:tc>
        <w:tc>
          <w:tcPr>
            <w:tcW w:w="705"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-16,965.6</w:t>
            </w:r>
          </w:p>
        </w:tc>
        <w:tc>
          <w:tcPr>
            <w:tcW w:w="706"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-51.7</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-17,392.6</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-48.9</w:t>
            </w:r>
          </w:p>
        </w:tc>
        <w:tc>
          <w:tcPr>
            <w:tcW w:w="705" w:type="dxa"/>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-18,573.3</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-48.2</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-20,881.3</w:t>
            </w:r>
          </w:p>
        </w:tc>
        <w:tc>
          <w:tcPr>
            <w:tcW w:w="706" w:type="dxa"/>
          </w:tcPr>
          <w:p w:rsidR="00CE0549" w:rsidRPr="00CE0549" w:rsidRDefault="00CE0549" w:rsidP="00CE0549">
            <w:pPr>
              <w:tabs>
                <w:tab w:val="left" w:pos="426"/>
              </w:tabs>
              <w:spacing w:before="51"/>
              <w:ind w:right="3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-50.4</w:t>
            </w:r>
          </w:p>
        </w:tc>
      </w:tr>
      <w:tr w:rsidR="00CE0549" w:rsidRPr="00CE0549" w:rsidTr="00E22C88">
        <w:trPr>
          <w:trHeight w:val="253"/>
        </w:trPr>
        <w:tc>
          <w:tcPr>
            <w:tcW w:w="2303" w:type="dxa"/>
          </w:tcPr>
          <w:p w:rsidR="00CE0549" w:rsidRPr="00CE0549" w:rsidRDefault="00CE0549" w:rsidP="00CE0549">
            <w:pPr>
              <w:tabs>
                <w:tab w:val="left" w:pos="309"/>
                <w:tab w:val="left" w:pos="426"/>
              </w:tabs>
              <w:spacing w:before="42"/>
              <w:rPr>
                <w:rFonts w:ascii="Times New Roman" w:eastAsia="標楷體" w:hAnsi="Times New Roman" w:cs="Times New Roman"/>
                <w:w w:val="105"/>
                <w:sz w:val="18"/>
              </w:rPr>
            </w:pPr>
            <w:r w:rsidRPr="00CE0549">
              <w:rPr>
                <w:rFonts w:ascii="Times New Roman" w:eastAsia="標楷體" w:hAnsi="Times New Roman" w:cs="Times New Roman"/>
                <w:w w:val="105"/>
                <w:sz w:val="18"/>
              </w:rPr>
              <w:tab/>
            </w:r>
            <w:r w:rsidRPr="00CE0549">
              <w:rPr>
                <w:rFonts w:ascii="Times New Roman" w:eastAsia="標楷體" w:hAnsi="Times New Roman" w:cs="Times New Roman"/>
                <w:w w:val="105"/>
                <w:sz w:val="18"/>
              </w:rPr>
              <w:t>每月平均差距</w:t>
            </w:r>
            <w:r w:rsidRPr="00CE0549">
              <w:rPr>
                <w:rFonts w:ascii="Times New Roman" w:eastAsia="標楷體" w:hAnsi="Times New Roman" w:cs="Times New Roman"/>
                <w:w w:val="105"/>
                <w:sz w:val="18"/>
              </w:rPr>
              <w:t>(</w:t>
            </w:r>
            <w:r w:rsidRPr="00CE0549">
              <w:rPr>
                <w:rFonts w:ascii="Times New Roman" w:eastAsia="標楷體" w:hAnsi="Times New Roman" w:cs="Times New Roman"/>
                <w:w w:val="105"/>
                <w:sz w:val="18"/>
              </w:rPr>
              <w:t>港元</w:t>
            </w:r>
            <w:r w:rsidRPr="00CE0549">
              <w:rPr>
                <w:rFonts w:ascii="Times New Roman" w:eastAsia="標楷體" w:hAnsi="Times New Roman" w:cs="Times New Roman"/>
                <w:w w:val="105"/>
                <w:sz w:val="18"/>
              </w:rPr>
              <w:t>)</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-1,300</w:t>
            </w:r>
          </w:p>
        </w:tc>
        <w:tc>
          <w:tcPr>
            <w:tcW w:w="705" w:type="dxa"/>
          </w:tcPr>
          <w:p w:rsidR="00CE0549" w:rsidRPr="00CE0549" w:rsidRDefault="00CE0549" w:rsidP="00CE0549">
            <w:pPr>
              <w:tabs>
                <w:tab w:val="left" w:pos="426"/>
              </w:tabs>
              <w:spacing w:before="51"/>
              <w:ind w:right="4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-33.0</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-1,400</w:t>
            </w:r>
          </w:p>
        </w:tc>
        <w:tc>
          <w:tcPr>
            <w:tcW w:w="705" w:type="dxa"/>
          </w:tcPr>
          <w:p w:rsidR="00CE0549" w:rsidRPr="00CE0549" w:rsidRDefault="00CE0549" w:rsidP="00CE0549">
            <w:pPr>
              <w:tabs>
                <w:tab w:val="left" w:pos="426"/>
              </w:tabs>
              <w:spacing w:before="51"/>
              <w:ind w:right="39"/>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-34.7</w:t>
            </w:r>
          </w:p>
        </w:tc>
        <w:tc>
          <w:tcPr>
            <w:tcW w:w="705" w:type="dxa"/>
          </w:tcPr>
          <w:p w:rsidR="00CE0549" w:rsidRPr="00CE0549" w:rsidRDefault="00CE0549" w:rsidP="00CE0549">
            <w:pPr>
              <w:tabs>
                <w:tab w:val="left" w:pos="426"/>
              </w:tabs>
              <w:spacing w:before="51"/>
              <w:ind w:right="38"/>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-1,400</w:t>
            </w:r>
          </w:p>
        </w:tc>
        <w:tc>
          <w:tcPr>
            <w:tcW w:w="706"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-32.3</w:t>
            </w:r>
          </w:p>
        </w:tc>
        <w:tc>
          <w:tcPr>
            <w:tcW w:w="705" w:type="dxa"/>
          </w:tcPr>
          <w:p w:rsidR="00CE0549" w:rsidRPr="00CE0549" w:rsidRDefault="00CE0549" w:rsidP="00CE0549">
            <w:pPr>
              <w:tabs>
                <w:tab w:val="left" w:pos="426"/>
              </w:tabs>
              <w:spacing w:before="51"/>
              <w:ind w:right="37"/>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-1,400</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-31.0</w:t>
            </w:r>
          </w:p>
        </w:tc>
        <w:tc>
          <w:tcPr>
            <w:tcW w:w="705" w:type="dxa"/>
          </w:tcPr>
          <w:p w:rsidR="00CE0549" w:rsidRPr="00CE0549" w:rsidRDefault="00CE0549" w:rsidP="00CE0549">
            <w:pPr>
              <w:tabs>
                <w:tab w:val="left" w:pos="426"/>
              </w:tabs>
              <w:spacing w:before="51"/>
              <w:ind w:right="36"/>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-1,300</w:t>
            </w:r>
          </w:p>
        </w:tc>
        <w:tc>
          <w:tcPr>
            <w:tcW w:w="705" w:type="dxa"/>
          </w:tcPr>
          <w:p w:rsidR="00CE0549" w:rsidRPr="00CE0549" w:rsidRDefault="00CE0549" w:rsidP="00CE0549">
            <w:pPr>
              <w:tabs>
                <w:tab w:val="left" w:pos="426"/>
              </w:tabs>
              <w:spacing w:before="51"/>
              <w:ind w:right="35"/>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-29.3</w:t>
            </w:r>
          </w:p>
        </w:tc>
        <w:tc>
          <w:tcPr>
            <w:tcW w:w="705"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-1,500</w:t>
            </w:r>
          </w:p>
        </w:tc>
        <w:tc>
          <w:tcPr>
            <w:tcW w:w="706" w:type="dxa"/>
          </w:tcPr>
          <w:p w:rsidR="00CE0549" w:rsidRPr="00CE0549" w:rsidRDefault="00CE0549" w:rsidP="00CE0549">
            <w:pPr>
              <w:tabs>
                <w:tab w:val="left" w:pos="426"/>
              </w:tabs>
              <w:spacing w:before="51"/>
              <w:ind w:right="34"/>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-30.0</w:t>
            </w:r>
          </w:p>
        </w:tc>
        <w:tc>
          <w:tcPr>
            <w:tcW w:w="705" w:type="dxa"/>
          </w:tcPr>
          <w:p w:rsidR="00CE0549" w:rsidRPr="00CE0549" w:rsidRDefault="00CE0549" w:rsidP="00CE0549">
            <w:pPr>
              <w:tabs>
                <w:tab w:val="left" w:pos="426"/>
              </w:tabs>
              <w:spacing w:before="51"/>
              <w:ind w:right="33"/>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-1,300</w:t>
            </w:r>
          </w:p>
        </w:tc>
        <w:tc>
          <w:tcPr>
            <w:tcW w:w="705" w:type="dxa"/>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-25.8</w:t>
            </w:r>
          </w:p>
        </w:tc>
        <w:tc>
          <w:tcPr>
            <w:tcW w:w="705" w:type="dxa"/>
          </w:tcPr>
          <w:p w:rsidR="00CE0549" w:rsidRPr="00CE0549" w:rsidRDefault="00CE0549" w:rsidP="00CE0549">
            <w:pPr>
              <w:tabs>
                <w:tab w:val="left" w:pos="426"/>
              </w:tabs>
              <w:spacing w:before="51"/>
              <w:ind w:right="32"/>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-1,500</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-26.9</w:t>
            </w:r>
          </w:p>
        </w:tc>
        <w:tc>
          <w:tcPr>
            <w:tcW w:w="705" w:type="dxa"/>
          </w:tcPr>
          <w:p w:rsidR="00CE0549" w:rsidRPr="00CE0549" w:rsidRDefault="00CE0549" w:rsidP="00CE0549">
            <w:pPr>
              <w:tabs>
                <w:tab w:val="left" w:pos="426"/>
              </w:tabs>
              <w:spacing w:before="51"/>
              <w:ind w:right="31"/>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-1,700</w:t>
            </w:r>
          </w:p>
        </w:tc>
        <w:tc>
          <w:tcPr>
            <w:tcW w:w="706" w:type="dxa"/>
          </w:tcPr>
          <w:p w:rsidR="00CE0549" w:rsidRPr="00CE0549" w:rsidRDefault="00CE0549" w:rsidP="00CE0549">
            <w:pPr>
              <w:tabs>
                <w:tab w:val="left" w:pos="426"/>
              </w:tabs>
              <w:spacing w:before="51"/>
              <w:ind w:right="30"/>
              <w:jc w:val="right"/>
              <w:rPr>
                <w:rFonts w:ascii="Times New Roman" w:eastAsia="標楷體" w:hAnsi="Times New Roman" w:cs="Times New Roman"/>
                <w:sz w:val="16"/>
                <w:szCs w:val="16"/>
              </w:rPr>
            </w:pPr>
            <w:r w:rsidRPr="00CE0549">
              <w:rPr>
                <w:rFonts w:ascii="Times New Roman" w:eastAsia="標楷體" w:hAnsi="Times New Roman" w:cs="Times New Roman"/>
                <w:sz w:val="16"/>
                <w:szCs w:val="16"/>
              </w:rPr>
              <w:t>-29.8</w:t>
            </w:r>
          </w:p>
        </w:tc>
      </w:tr>
    </w:tbl>
    <w:p w:rsidR="00CE0549" w:rsidRPr="00CE0549" w:rsidRDefault="00CE0549" w:rsidP="00CE0549">
      <w:pPr>
        <w:tabs>
          <w:tab w:val="left" w:pos="426"/>
        </w:tabs>
        <w:autoSpaceDE w:val="0"/>
        <w:autoSpaceDN w:val="0"/>
        <w:ind w:left="90"/>
        <w:rPr>
          <w:rFonts w:cs="Times New Roman"/>
          <w:kern w:val="0"/>
          <w:sz w:val="20"/>
          <w:szCs w:val="20"/>
        </w:rPr>
      </w:pPr>
      <w:r w:rsidRPr="00CE0549">
        <w:rPr>
          <w:rFonts w:cs="Times New Roman"/>
          <w:w w:val="105"/>
          <w:kern w:val="0"/>
          <w:sz w:val="20"/>
          <w:szCs w:val="20"/>
        </w:rPr>
        <w:t>註：</w:t>
      </w:r>
    </w:p>
    <w:p w:rsidR="00CE0549" w:rsidRPr="00CE0549" w:rsidRDefault="00CE0549" w:rsidP="00CE0549">
      <w:pPr>
        <w:tabs>
          <w:tab w:val="left" w:pos="426"/>
        </w:tabs>
        <w:autoSpaceDE w:val="0"/>
        <w:autoSpaceDN w:val="0"/>
        <w:ind w:left="90"/>
        <w:rPr>
          <w:rFonts w:cs="Times New Roman"/>
          <w:kern w:val="0"/>
          <w:sz w:val="20"/>
          <w:szCs w:val="20"/>
        </w:rPr>
      </w:pPr>
      <w:r w:rsidRPr="00CE0549">
        <w:rPr>
          <w:rFonts w:cs="Times New Roman"/>
          <w:w w:val="105"/>
          <w:kern w:val="0"/>
          <w:sz w:val="20"/>
          <w:szCs w:val="20"/>
        </w:rPr>
        <w:t>(-)</w:t>
      </w:r>
      <w:r w:rsidRPr="00CE0549">
        <w:rPr>
          <w:rFonts w:cs="Times New Roman"/>
          <w:w w:val="105"/>
          <w:kern w:val="0"/>
          <w:sz w:val="20"/>
          <w:szCs w:val="20"/>
        </w:rPr>
        <w:tab/>
      </w:r>
      <w:r w:rsidRPr="00CE0549">
        <w:rPr>
          <w:rFonts w:cs="Times New Roman"/>
          <w:w w:val="105"/>
          <w:kern w:val="0"/>
          <w:sz w:val="20"/>
          <w:szCs w:val="20"/>
        </w:rPr>
        <w:t>不適用。</w:t>
      </w:r>
    </w:p>
    <w:p w:rsidR="00CE0549" w:rsidRPr="00CE0549" w:rsidRDefault="00CE0549" w:rsidP="00CE0549">
      <w:pPr>
        <w:tabs>
          <w:tab w:val="left" w:pos="426"/>
        </w:tabs>
        <w:autoSpaceDE w:val="0"/>
        <w:autoSpaceDN w:val="0"/>
        <w:ind w:left="90" w:right="3758"/>
        <w:rPr>
          <w:rFonts w:cs="Times New Roman"/>
          <w:kern w:val="0"/>
          <w:sz w:val="20"/>
          <w:szCs w:val="20"/>
        </w:rPr>
      </w:pPr>
      <w:r w:rsidRPr="00CE0549">
        <w:rPr>
          <w:rFonts w:cs="Times New Roman"/>
          <w:kern w:val="0"/>
          <w:sz w:val="20"/>
          <w:szCs w:val="20"/>
        </w:rPr>
        <w:t>除了貧窮率外，所有數據的增減均以未經進位的數字計算。</w:t>
      </w:r>
    </w:p>
    <w:p w:rsidR="00CE0549" w:rsidRPr="00CE0549" w:rsidRDefault="00CE0549" w:rsidP="00CE0549">
      <w:pPr>
        <w:tabs>
          <w:tab w:val="left" w:pos="426"/>
        </w:tabs>
        <w:autoSpaceDE w:val="0"/>
        <w:autoSpaceDN w:val="0"/>
        <w:ind w:left="90" w:right="3758"/>
        <w:rPr>
          <w:rFonts w:cs="Times New Roman"/>
          <w:kern w:val="0"/>
          <w:sz w:val="20"/>
          <w:szCs w:val="20"/>
        </w:rPr>
      </w:pPr>
      <w:r w:rsidRPr="00CE0549">
        <w:rPr>
          <w:rFonts w:cs="Times New Roman"/>
          <w:w w:val="105"/>
          <w:kern w:val="0"/>
          <w:sz w:val="20"/>
          <w:szCs w:val="20"/>
        </w:rPr>
        <w:t>增減率以未經進位的數字計算。</w:t>
      </w:r>
    </w:p>
    <w:p w:rsidR="00CE0549" w:rsidRPr="00CE0549" w:rsidRDefault="00CE0549" w:rsidP="00CE0549">
      <w:pPr>
        <w:tabs>
          <w:tab w:val="left" w:pos="426"/>
        </w:tabs>
        <w:autoSpaceDE w:val="0"/>
        <w:autoSpaceDN w:val="0"/>
        <w:ind w:left="90"/>
        <w:rPr>
          <w:rFonts w:cs="Times New Roman"/>
          <w:kern w:val="0"/>
          <w:sz w:val="20"/>
          <w:szCs w:val="20"/>
        </w:rPr>
      </w:pPr>
    </w:p>
    <w:p w:rsidR="00CE0549" w:rsidRPr="00CE0549" w:rsidRDefault="00CE0549" w:rsidP="00CE0549">
      <w:pPr>
        <w:tabs>
          <w:tab w:val="left" w:pos="426"/>
        </w:tabs>
        <w:autoSpaceDE w:val="0"/>
        <w:autoSpaceDN w:val="0"/>
        <w:ind w:left="90"/>
        <w:rPr>
          <w:rFonts w:cs="Times New Roman"/>
          <w:kern w:val="0"/>
          <w:sz w:val="20"/>
          <w:szCs w:val="20"/>
        </w:rPr>
      </w:pPr>
      <w:r w:rsidRPr="00CE0549">
        <w:rPr>
          <w:rFonts w:cs="Times New Roman"/>
          <w:w w:val="105"/>
          <w:kern w:val="0"/>
          <w:sz w:val="20"/>
          <w:szCs w:val="20"/>
        </w:rPr>
        <w:t>資料來源：</w:t>
      </w:r>
    </w:p>
    <w:p w:rsidR="00CE0549" w:rsidRPr="00CE0549" w:rsidRDefault="00CE0549" w:rsidP="00CE0549">
      <w:pPr>
        <w:tabs>
          <w:tab w:val="left" w:pos="426"/>
        </w:tabs>
        <w:autoSpaceDE w:val="0"/>
        <w:autoSpaceDN w:val="0"/>
        <w:ind w:left="90"/>
        <w:rPr>
          <w:rFonts w:cs="Times New Roman"/>
          <w:w w:val="105"/>
          <w:kern w:val="0"/>
          <w:sz w:val="20"/>
          <w:szCs w:val="20"/>
        </w:rPr>
      </w:pPr>
      <w:r w:rsidRPr="00CE0549">
        <w:rPr>
          <w:rFonts w:cs="Times New Roman"/>
          <w:w w:val="105"/>
          <w:kern w:val="0"/>
          <w:sz w:val="20"/>
          <w:szCs w:val="20"/>
        </w:rPr>
        <w:t>政府統計處結合政府統計處綜合住戶統計調查數據及福利轉移的行政記錄。</w:t>
      </w:r>
    </w:p>
    <w:p w:rsidR="00CE0549" w:rsidRPr="00CE0549" w:rsidRDefault="00CE0549" w:rsidP="00CE0549">
      <w:pPr>
        <w:autoSpaceDE w:val="0"/>
        <w:autoSpaceDN w:val="0"/>
        <w:rPr>
          <w:rFonts w:cs="Times New Roman"/>
          <w:w w:val="105"/>
          <w:kern w:val="0"/>
          <w:sz w:val="20"/>
          <w:szCs w:val="20"/>
        </w:rPr>
        <w:sectPr w:rsidR="00CE0549" w:rsidRPr="00CE0549" w:rsidSect="00CE0549">
          <w:headerReference w:type="even" r:id="rId55"/>
          <w:headerReference w:type="default" r:id="rId56"/>
          <w:footerReference w:type="even" r:id="rId57"/>
          <w:footerReference w:type="default" r:id="rId58"/>
          <w:headerReference w:type="first" r:id="rId59"/>
          <w:footerReference w:type="first" r:id="rId60"/>
          <w:pgSz w:w="16840" w:h="11910" w:orient="landscape"/>
          <w:pgMar w:top="1040" w:right="800" w:bottom="280" w:left="800" w:header="720" w:footer="720" w:gutter="0"/>
          <w:pgNumType w:start="2"/>
          <w:cols w:space="720"/>
          <w:titlePg/>
          <w:docGrid w:linePitch="299"/>
        </w:sectPr>
      </w:pPr>
    </w:p>
    <w:p w:rsidR="00CE0549" w:rsidRPr="00CE0549" w:rsidRDefault="00CE0549" w:rsidP="00CE0549">
      <w:pPr>
        <w:autoSpaceDE w:val="0"/>
        <w:autoSpaceDN w:val="0"/>
        <w:rPr>
          <w:rFonts w:cs="Times New Roman"/>
          <w:b/>
          <w:w w:val="105"/>
          <w:kern w:val="0"/>
          <w:sz w:val="20"/>
          <w:szCs w:val="20"/>
        </w:rPr>
      </w:pPr>
      <w:r w:rsidRPr="00CE0549">
        <w:rPr>
          <w:rFonts w:cs="Times New Roman" w:hint="eastAsia"/>
          <w:b/>
          <w:w w:val="105"/>
          <w:kern w:val="0"/>
          <w:sz w:val="20"/>
          <w:szCs w:val="20"/>
        </w:rPr>
        <w:lastRenderedPageBreak/>
        <w:t>表</w:t>
      </w:r>
      <w:r w:rsidRPr="00CE0549">
        <w:rPr>
          <w:rFonts w:cs="Times New Roman"/>
          <w:b/>
          <w:w w:val="105"/>
          <w:kern w:val="0"/>
          <w:sz w:val="20"/>
          <w:szCs w:val="20"/>
        </w:rPr>
        <w:t>2</w:t>
      </w:r>
      <w:r w:rsidRPr="00CE0549">
        <w:rPr>
          <w:rFonts w:cs="Times New Roman" w:hint="eastAsia"/>
          <w:b/>
          <w:w w:val="105"/>
          <w:kern w:val="0"/>
          <w:sz w:val="20"/>
          <w:szCs w:val="20"/>
        </w:rPr>
        <w:t>：</w:t>
      </w:r>
      <w:r w:rsidRPr="00CE0549">
        <w:rPr>
          <w:rFonts w:cs="Times New Roman"/>
          <w:b/>
          <w:w w:val="105"/>
          <w:kern w:val="0"/>
          <w:sz w:val="20"/>
          <w:szCs w:val="20"/>
        </w:rPr>
        <w:t>2009-2017</w:t>
      </w:r>
      <w:r w:rsidRPr="00CE0549">
        <w:rPr>
          <w:rFonts w:cs="Times New Roman" w:hint="eastAsia"/>
          <w:b/>
          <w:w w:val="105"/>
          <w:kern w:val="0"/>
          <w:sz w:val="20"/>
          <w:szCs w:val="20"/>
        </w:rPr>
        <w:t>年貧窮人口，按選定住戶類別</w:t>
      </w:r>
      <w:r w:rsidRPr="00CE0549">
        <w:rPr>
          <w:rFonts w:cs="Times New Roman"/>
          <w:b/>
          <w:w w:val="105"/>
          <w:kern w:val="0"/>
          <w:sz w:val="20"/>
          <w:szCs w:val="20"/>
        </w:rPr>
        <w:t>*</w:t>
      </w:r>
      <w:r w:rsidRPr="00CE0549">
        <w:rPr>
          <w:rFonts w:cs="Times New Roman" w:hint="eastAsia"/>
          <w:b/>
          <w:w w:val="105"/>
          <w:kern w:val="0"/>
          <w:sz w:val="20"/>
          <w:szCs w:val="20"/>
        </w:rPr>
        <w:t>及性別劃分</w:t>
      </w:r>
    </w:p>
    <w:p w:rsidR="00CE0549" w:rsidRPr="00CE0549" w:rsidRDefault="00CE0549" w:rsidP="00CE0549">
      <w:pPr>
        <w:autoSpaceDE w:val="0"/>
        <w:autoSpaceDN w:val="0"/>
        <w:rPr>
          <w:rFonts w:cs="Times New Roman"/>
          <w:w w:val="105"/>
          <w:kern w:val="0"/>
          <w:sz w:val="20"/>
          <w:szCs w:val="20"/>
        </w:rPr>
      </w:pPr>
    </w:p>
    <w:tbl>
      <w:tblPr>
        <w:tblStyle w:val="af2"/>
        <w:tblW w:w="5000" w:type="pct"/>
        <w:tblLayout w:type="fixed"/>
        <w:tblLook w:val="04A0" w:firstRow="1" w:lastRow="0" w:firstColumn="1" w:lastColumn="0" w:noHBand="0" w:noVBand="1"/>
      </w:tblPr>
      <w:tblGrid>
        <w:gridCol w:w="365"/>
        <w:gridCol w:w="2197"/>
        <w:gridCol w:w="716"/>
        <w:gridCol w:w="718"/>
        <w:gridCol w:w="716"/>
        <w:gridCol w:w="718"/>
        <w:gridCol w:w="716"/>
        <w:gridCol w:w="718"/>
        <w:gridCol w:w="716"/>
        <w:gridCol w:w="718"/>
        <w:gridCol w:w="722"/>
      </w:tblGrid>
      <w:tr w:rsidR="00CE0549" w:rsidRPr="00CE0549" w:rsidTr="00E22C88">
        <w:trPr>
          <w:trHeight w:val="50"/>
        </w:trPr>
        <w:tc>
          <w:tcPr>
            <w:tcW w:w="1420" w:type="pct"/>
            <w:gridSpan w:val="2"/>
            <w:vMerge w:val="restart"/>
            <w:noWrap/>
            <w:vAlign w:val="center"/>
            <w:hideMark/>
          </w:tcPr>
          <w:p w:rsidR="00CE0549" w:rsidRPr="00CE0549" w:rsidRDefault="00CE0549" w:rsidP="00CE0549">
            <w:pPr>
              <w:jc w:val="center"/>
              <w:rPr>
                <w:rFonts w:ascii="Times New Roman" w:eastAsia="標楷體" w:hAnsi="Times New Roman" w:cs="Times New Roman"/>
                <w:b/>
                <w:bCs/>
                <w:w w:val="105"/>
                <w:sz w:val="20"/>
                <w:szCs w:val="20"/>
              </w:rPr>
            </w:pPr>
            <w:r w:rsidRPr="00CE0549">
              <w:rPr>
                <w:rFonts w:ascii="Times New Roman" w:eastAsia="標楷體" w:hAnsi="Times New Roman" w:cs="Times New Roman"/>
                <w:b/>
                <w:bCs/>
                <w:w w:val="105"/>
                <w:sz w:val="20"/>
                <w:szCs w:val="20"/>
              </w:rPr>
              <w:t>政策介入前</w:t>
            </w:r>
          </w:p>
        </w:tc>
        <w:tc>
          <w:tcPr>
            <w:tcW w:w="3580" w:type="pct"/>
            <w:gridSpan w:val="9"/>
            <w:vAlign w:val="center"/>
            <w:hideMark/>
          </w:tcPr>
          <w:p w:rsidR="00CE0549" w:rsidRPr="00CE0549" w:rsidRDefault="00CE0549" w:rsidP="00CE0549">
            <w:pPr>
              <w:jc w:val="center"/>
              <w:rPr>
                <w:rFonts w:ascii="Times New Roman" w:eastAsia="標楷體" w:hAnsi="Times New Roman" w:cs="Times New Roman"/>
                <w:b/>
                <w:bCs/>
                <w:w w:val="105"/>
                <w:sz w:val="20"/>
                <w:szCs w:val="20"/>
              </w:rPr>
            </w:pPr>
            <w:r w:rsidRPr="00CE0549">
              <w:rPr>
                <w:rFonts w:ascii="Times New Roman" w:eastAsia="標楷體" w:hAnsi="Times New Roman" w:cs="Times New Roman"/>
                <w:b/>
                <w:bCs/>
                <w:w w:val="105"/>
                <w:sz w:val="20"/>
                <w:szCs w:val="20"/>
              </w:rPr>
              <w:t>人數</w:t>
            </w:r>
            <w:r w:rsidRPr="00CE0549">
              <w:rPr>
                <w:rFonts w:ascii="Times New Roman" w:eastAsia="標楷體" w:hAnsi="Times New Roman" w:cs="Times New Roman"/>
                <w:b/>
                <w:bCs/>
                <w:w w:val="105"/>
                <w:sz w:val="20"/>
                <w:szCs w:val="20"/>
              </w:rPr>
              <w:t>('000)</w:t>
            </w:r>
          </w:p>
        </w:tc>
      </w:tr>
      <w:tr w:rsidR="00CE0549" w:rsidRPr="00CE0549" w:rsidTr="00E22C88">
        <w:trPr>
          <w:trHeight w:val="404"/>
        </w:trPr>
        <w:tc>
          <w:tcPr>
            <w:tcW w:w="1420" w:type="pct"/>
            <w:gridSpan w:val="2"/>
            <w:vMerge/>
            <w:vAlign w:val="center"/>
            <w:hideMark/>
          </w:tcPr>
          <w:p w:rsidR="00CE0549" w:rsidRPr="00CE0549" w:rsidRDefault="00CE0549" w:rsidP="00CE0549">
            <w:pPr>
              <w:rPr>
                <w:rFonts w:ascii="Times New Roman" w:eastAsia="標楷體" w:hAnsi="Times New Roman" w:cs="Times New Roman"/>
                <w:b/>
                <w:bCs/>
                <w:w w:val="105"/>
                <w:sz w:val="20"/>
                <w:szCs w:val="20"/>
              </w:rPr>
            </w:pP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2009</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2010</w:t>
            </w:r>
            <w:r w:rsidRPr="00CE0549">
              <w:rPr>
                <w:rFonts w:ascii="Times New Roman" w:eastAsia="標楷體" w:hAnsi="Times New Roman" w:cs="Times New Roman"/>
                <w:b/>
                <w:bCs/>
                <w:w w:val="105"/>
                <w:sz w:val="14"/>
                <w:szCs w:val="20"/>
              </w:rPr>
              <w:t>年</w:t>
            </w: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2011</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2012</w:t>
            </w:r>
            <w:r w:rsidRPr="00CE0549">
              <w:rPr>
                <w:rFonts w:ascii="Times New Roman" w:eastAsia="標楷體" w:hAnsi="Times New Roman" w:cs="Times New Roman"/>
                <w:b/>
                <w:bCs/>
                <w:w w:val="105"/>
                <w:sz w:val="14"/>
                <w:szCs w:val="20"/>
              </w:rPr>
              <w:t>年</w:t>
            </w: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2013</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2014</w:t>
            </w:r>
            <w:r w:rsidRPr="00CE0549">
              <w:rPr>
                <w:rFonts w:ascii="Times New Roman" w:eastAsia="標楷體" w:hAnsi="Times New Roman" w:cs="Times New Roman"/>
                <w:b/>
                <w:bCs/>
                <w:w w:val="105"/>
                <w:sz w:val="14"/>
                <w:szCs w:val="20"/>
              </w:rPr>
              <w:t>年</w:t>
            </w: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2015</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2016</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2017</w:t>
            </w:r>
            <w:r w:rsidRPr="00CE0549">
              <w:rPr>
                <w:rFonts w:ascii="Times New Roman" w:eastAsia="標楷體" w:hAnsi="Times New Roman" w:cs="Times New Roman"/>
                <w:b/>
                <w:bCs/>
                <w:w w:val="105"/>
                <w:sz w:val="14"/>
                <w:szCs w:val="20"/>
              </w:rPr>
              <w:t>年</w:t>
            </w:r>
          </w:p>
        </w:tc>
      </w:tr>
      <w:tr w:rsidR="00CE0549" w:rsidRPr="00CE0549" w:rsidTr="00C9106F">
        <w:trPr>
          <w:trHeight w:val="50"/>
        </w:trPr>
        <w:tc>
          <w:tcPr>
            <w:tcW w:w="1420" w:type="pct"/>
            <w:gridSpan w:val="2"/>
            <w:noWrap/>
            <w:hideMark/>
          </w:tcPr>
          <w:p w:rsidR="00CE0549" w:rsidRPr="00CE0549" w:rsidRDefault="00CE0549" w:rsidP="00CE0549">
            <w:pPr>
              <w:rPr>
                <w:rFonts w:ascii="Times New Roman" w:eastAsia="標楷體" w:hAnsi="Times New Roman" w:cs="Times New Roman"/>
                <w:b/>
                <w:bCs/>
                <w:w w:val="105"/>
                <w:sz w:val="20"/>
                <w:szCs w:val="20"/>
              </w:rPr>
            </w:pPr>
            <w:r w:rsidRPr="00CE0549">
              <w:rPr>
                <w:rFonts w:ascii="Times New Roman" w:eastAsia="標楷體" w:hAnsi="Times New Roman" w:cs="Times New Roman"/>
                <w:b/>
                <w:bCs/>
                <w:w w:val="105"/>
                <w:sz w:val="20"/>
                <w:szCs w:val="20"/>
              </w:rPr>
              <w:t>整體</w:t>
            </w:r>
          </w:p>
        </w:tc>
        <w:tc>
          <w:tcPr>
            <w:tcW w:w="397"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1 348.4 </w:t>
            </w:r>
          </w:p>
        </w:tc>
        <w:tc>
          <w:tcPr>
            <w:tcW w:w="398"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1 322.0 </w:t>
            </w:r>
          </w:p>
        </w:tc>
        <w:tc>
          <w:tcPr>
            <w:tcW w:w="397"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1 295.0 </w:t>
            </w:r>
          </w:p>
        </w:tc>
        <w:tc>
          <w:tcPr>
            <w:tcW w:w="398"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1 312.3 </w:t>
            </w:r>
          </w:p>
        </w:tc>
        <w:tc>
          <w:tcPr>
            <w:tcW w:w="397"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1 336.2 </w:t>
            </w:r>
          </w:p>
        </w:tc>
        <w:tc>
          <w:tcPr>
            <w:tcW w:w="398"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1 324.8 </w:t>
            </w:r>
          </w:p>
        </w:tc>
        <w:tc>
          <w:tcPr>
            <w:tcW w:w="397"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1 345.0 </w:t>
            </w:r>
          </w:p>
        </w:tc>
        <w:tc>
          <w:tcPr>
            <w:tcW w:w="398"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1 352.5 </w:t>
            </w:r>
          </w:p>
        </w:tc>
        <w:tc>
          <w:tcPr>
            <w:tcW w:w="398" w:type="pct"/>
            <w:noWrap/>
            <w:tcMar>
              <w:left w:w="0" w:type="dxa"/>
              <w:right w:w="115" w:type="dxa"/>
            </w:tcMar>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1 376.6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 </w:t>
            </w:r>
            <w:r w:rsidRPr="00CE0549">
              <w:rPr>
                <w:rFonts w:ascii="Times New Roman" w:eastAsia="標楷體" w:hAnsi="Times New Roman" w:cs="Times New Roman"/>
                <w:b/>
                <w:bCs/>
                <w:w w:val="105"/>
                <w:sz w:val="20"/>
                <w:szCs w:val="20"/>
              </w:rPr>
              <w:t>住戶人數</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1</w:t>
            </w:r>
            <w:r w:rsidRPr="00CE0549">
              <w:rPr>
                <w:rFonts w:ascii="Times New Roman" w:eastAsia="標楷體" w:hAnsi="Times New Roman" w:cs="Times New Roman"/>
                <w:w w:val="105"/>
                <w:sz w:val="18"/>
                <w:szCs w:val="20"/>
              </w:rPr>
              <w:t>人</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133.6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137.7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141.6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146.6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146.9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152.6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161.7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174.7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175.8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2</w:t>
            </w:r>
            <w:r w:rsidRPr="00CE0549">
              <w:rPr>
                <w:rFonts w:ascii="Times New Roman" w:eastAsia="標楷體" w:hAnsi="Times New Roman" w:cs="Times New Roman"/>
                <w:w w:val="105"/>
                <w:sz w:val="18"/>
                <w:szCs w:val="20"/>
              </w:rPr>
              <w:t>人</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344.6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340.1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342.5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341.6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367.3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370.8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381.9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381.9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398.8 </w:t>
            </w:r>
          </w:p>
        </w:tc>
      </w:tr>
      <w:tr w:rsidR="00CE0549" w:rsidRPr="00CE0549" w:rsidTr="00E22C88">
        <w:trPr>
          <w:trHeight w:val="50"/>
        </w:trPr>
        <w:tc>
          <w:tcPr>
            <w:tcW w:w="202" w:type="pct"/>
            <w:tcBorders>
              <w:top w:val="single" w:sz="4" w:space="0" w:color="auto"/>
              <w:left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right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3</w:t>
            </w:r>
            <w:r w:rsidRPr="00CE0549">
              <w:rPr>
                <w:rFonts w:ascii="Times New Roman" w:eastAsia="標楷體" w:hAnsi="Times New Roman" w:cs="Times New Roman"/>
                <w:w w:val="105"/>
                <w:sz w:val="18"/>
                <w:szCs w:val="20"/>
              </w:rPr>
              <w:t>人</w:t>
            </w:r>
          </w:p>
        </w:tc>
        <w:tc>
          <w:tcPr>
            <w:tcW w:w="397" w:type="pct"/>
            <w:tcBorders>
              <w:left w:val="single" w:sz="4" w:space="0" w:color="auto"/>
            </w:tcBorders>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347.5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334.9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309.0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332.0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342.6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322.0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324.2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330.2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333.2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4</w:t>
            </w:r>
            <w:r w:rsidRPr="00CE0549">
              <w:rPr>
                <w:rFonts w:ascii="Times New Roman" w:eastAsia="標楷體" w:hAnsi="Times New Roman" w:cs="Times New Roman"/>
                <w:w w:val="105"/>
                <w:sz w:val="18"/>
                <w:szCs w:val="20"/>
              </w:rPr>
              <w:t>人</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343.4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330.7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324.2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324.9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322.9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320.2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312.7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306.8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313.3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5</w:t>
            </w:r>
            <w:r w:rsidRPr="00CE0549">
              <w:rPr>
                <w:rFonts w:ascii="Times New Roman" w:eastAsia="標楷體" w:hAnsi="Times New Roman" w:cs="Times New Roman"/>
                <w:w w:val="105"/>
                <w:sz w:val="18"/>
                <w:szCs w:val="20"/>
              </w:rPr>
              <w:t>人</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118.4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123.0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121.4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114.8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108.5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108.3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115.6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108.5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113.4 </w:t>
            </w:r>
          </w:p>
        </w:tc>
      </w:tr>
      <w:tr w:rsidR="00CE0549" w:rsidRPr="00CE0549" w:rsidTr="00E22C88">
        <w:trPr>
          <w:trHeight w:val="50"/>
        </w:trPr>
        <w:tc>
          <w:tcPr>
            <w:tcW w:w="202" w:type="pct"/>
            <w:tcBorders>
              <w:top w:val="single" w:sz="4" w:space="0" w:color="auto"/>
              <w:right w:val="nil"/>
            </w:tcBorders>
            <w:shd w:val="clear" w:color="auto" w:fill="auto"/>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tcBorders>
            <w:shd w:val="clear" w:color="auto" w:fill="auto"/>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6</w:t>
            </w:r>
            <w:r w:rsidRPr="00CE0549">
              <w:rPr>
                <w:rFonts w:ascii="Times New Roman" w:eastAsia="標楷體" w:hAnsi="Times New Roman" w:cs="Times New Roman"/>
                <w:w w:val="105"/>
                <w:sz w:val="18"/>
                <w:szCs w:val="20"/>
              </w:rPr>
              <w:t>人及以上</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55.6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42.2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II. </w:t>
            </w:r>
            <w:r w:rsidRPr="00CE0549">
              <w:rPr>
                <w:rFonts w:ascii="Times New Roman" w:eastAsia="標楷體" w:hAnsi="Times New Roman" w:cs="Times New Roman"/>
                <w:b/>
                <w:bCs/>
                <w:w w:val="105"/>
                <w:sz w:val="20"/>
                <w:szCs w:val="20"/>
              </w:rPr>
              <w:t>社會特徵</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綜援住戶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471.3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471.8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456.1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416.3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397.1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377.8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364.4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342.1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332.1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長者住戶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225.4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238.9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239.2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248.0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268.9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280.7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299.1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315.4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319.7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單親住戶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116.5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114.9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106.7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106.7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97.3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98.0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97.9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94.4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101.0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新移民住戶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133.2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108.9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115.4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119.7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103.4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95.0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86.4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79.5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85.4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有兒童住戶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670.7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630.3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612.3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613.9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587.3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575.1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567.0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547.8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559.8 </w:t>
            </w:r>
          </w:p>
        </w:tc>
      </w:tr>
      <w:tr w:rsidR="00CE0549" w:rsidRPr="00CE0549" w:rsidTr="00E22C88">
        <w:trPr>
          <w:trHeight w:val="50"/>
        </w:trPr>
        <w:tc>
          <w:tcPr>
            <w:tcW w:w="202" w:type="pct"/>
            <w:tcBorders>
              <w:top w:val="single" w:sz="4" w:space="0" w:color="auto"/>
              <w:left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right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青年住戶</w:t>
            </w:r>
          </w:p>
        </w:tc>
        <w:tc>
          <w:tcPr>
            <w:tcW w:w="397" w:type="pct"/>
            <w:tcBorders>
              <w:left w:val="single" w:sz="4" w:space="0" w:color="auto"/>
            </w:tcBorders>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3.5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III. </w:t>
            </w:r>
            <w:r w:rsidRPr="00CE0549">
              <w:rPr>
                <w:rFonts w:ascii="Times New Roman" w:eastAsia="標楷體" w:hAnsi="Times New Roman" w:cs="Times New Roman"/>
                <w:b/>
                <w:bCs/>
                <w:w w:val="105"/>
                <w:sz w:val="20"/>
                <w:szCs w:val="20"/>
              </w:rPr>
              <w:t>經濟特徵</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從事經濟活動住戶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829.4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778.5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752.6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763.4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788.8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759.2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755.2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734.6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759.3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在職住戶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725.2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694.3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685.7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702.1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729.1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705.5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704.7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680.8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706.4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失業住戶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104.2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84.3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66.9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59.7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52.9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非從事經濟活動住戶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519.0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543.4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542.4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548.9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547.4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565.6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589.8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617.9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617.3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IV. </w:t>
            </w:r>
            <w:r w:rsidRPr="00CE0549">
              <w:rPr>
                <w:rFonts w:ascii="Times New Roman" w:eastAsia="標楷體" w:hAnsi="Times New Roman" w:cs="Times New Roman"/>
                <w:b/>
                <w:bCs/>
                <w:w w:val="105"/>
                <w:sz w:val="20"/>
                <w:szCs w:val="20"/>
              </w:rPr>
              <w:t>住屋特徵</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公屋住戶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727.3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725.4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704.2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723.6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708.2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697.8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702.0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668.4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688.4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私樓租戶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111.9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100.9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95.7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103.7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116.8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116.6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126.3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135.0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136.1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自置居所住戶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479.3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467.6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463.2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451.9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474.5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471.3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482.9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510.0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509.8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－有按揭供款或借貸</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95.5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64.0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64.9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60.1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66.2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58.2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63.6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59.6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lang w:eastAsia="zh-TW"/>
              </w:rPr>
            </w:pPr>
            <w:r w:rsidRPr="00CE0549">
              <w:rPr>
                <w:rFonts w:ascii="Times New Roman" w:eastAsia="標楷體" w:hAnsi="Times New Roman" w:cs="Times New Roman"/>
                <w:w w:val="105"/>
                <w:sz w:val="18"/>
                <w:szCs w:val="20"/>
                <w:lang w:eastAsia="zh-TW"/>
              </w:rPr>
              <w:t>－沒有按揭供款及借貸</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lang w:eastAsia="zh-TW"/>
              </w:rPr>
              <w:t xml:space="preserve"> </w:t>
            </w:r>
            <w:r w:rsidRPr="00CE0549">
              <w:rPr>
                <w:rFonts w:ascii="Times New Roman" w:eastAsia="標楷體" w:hAnsi="Times New Roman" w:cs="Times New Roman"/>
                <w:w w:val="105"/>
                <w:sz w:val="16"/>
                <w:szCs w:val="20"/>
              </w:rPr>
              <w:t xml:space="preserve">383.8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403.6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398.3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391.8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408.4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413.0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426.5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446.4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450.2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V. </w:t>
            </w:r>
            <w:r w:rsidRPr="00CE0549">
              <w:rPr>
                <w:rFonts w:ascii="Times New Roman" w:eastAsia="標楷體" w:hAnsi="Times New Roman" w:cs="Times New Roman"/>
                <w:b/>
                <w:bCs/>
                <w:w w:val="105"/>
                <w:sz w:val="20"/>
                <w:szCs w:val="20"/>
              </w:rPr>
              <w:t>戶主年齡特徵</w:t>
            </w:r>
          </w:p>
        </w:tc>
      </w:tr>
      <w:tr w:rsidR="00CE0549" w:rsidRPr="00CE0549" w:rsidTr="00E22C88">
        <w:trPr>
          <w:trHeight w:val="375"/>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lang w:eastAsia="zh-TW"/>
              </w:rPr>
            </w:pPr>
            <w:r w:rsidRPr="00CE0549">
              <w:rPr>
                <w:rFonts w:ascii="Times New Roman" w:eastAsia="標楷體" w:hAnsi="Times New Roman" w:cs="Times New Roman"/>
                <w:w w:val="105"/>
                <w:sz w:val="18"/>
                <w:szCs w:val="20"/>
                <w:lang w:eastAsia="zh-TW"/>
              </w:rPr>
              <w:t>戶主為</w:t>
            </w:r>
            <w:r w:rsidRPr="00CE0549">
              <w:rPr>
                <w:rFonts w:ascii="Times New Roman" w:eastAsia="標楷體" w:hAnsi="Times New Roman" w:cs="Times New Roman"/>
                <w:w w:val="105"/>
                <w:sz w:val="18"/>
                <w:szCs w:val="20"/>
                <w:lang w:eastAsia="zh-TW"/>
              </w:rPr>
              <w:t>18-64</w:t>
            </w:r>
            <w:r w:rsidRPr="00CE0549">
              <w:rPr>
                <w:rFonts w:ascii="Times New Roman" w:eastAsia="標楷體" w:hAnsi="Times New Roman" w:cs="Times New Roman"/>
                <w:w w:val="105"/>
                <w:sz w:val="18"/>
                <w:szCs w:val="20"/>
                <w:lang w:eastAsia="zh-TW"/>
              </w:rPr>
              <w:t>歲年齡組別的住戶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lang w:eastAsia="zh-TW"/>
              </w:rPr>
              <w:t xml:space="preserve"> </w:t>
            </w:r>
            <w:r w:rsidRPr="00CE0549">
              <w:rPr>
                <w:rFonts w:ascii="Times New Roman" w:eastAsia="標楷體" w:hAnsi="Times New Roman" w:cs="Times New Roman"/>
                <w:w w:val="105"/>
                <w:sz w:val="16"/>
                <w:szCs w:val="20"/>
              </w:rPr>
              <w:t xml:space="preserve">919.0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876.4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859.4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860.9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839.9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806.9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804.8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804.2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793.5 </w:t>
            </w:r>
          </w:p>
        </w:tc>
      </w:tr>
      <w:tr w:rsidR="00CE0549" w:rsidRPr="00CE0549" w:rsidTr="00E22C88">
        <w:trPr>
          <w:trHeight w:val="375"/>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lang w:eastAsia="zh-TW"/>
              </w:rPr>
            </w:pPr>
            <w:r w:rsidRPr="00CE0549">
              <w:rPr>
                <w:rFonts w:ascii="Times New Roman" w:eastAsia="標楷體" w:hAnsi="Times New Roman" w:cs="Times New Roman"/>
                <w:w w:val="105"/>
                <w:sz w:val="18"/>
                <w:szCs w:val="20"/>
                <w:lang w:eastAsia="zh-TW"/>
              </w:rPr>
              <w:t>戶主為</w:t>
            </w:r>
            <w:r w:rsidRPr="00CE0549">
              <w:rPr>
                <w:rFonts w:ascii="Times New Roman" w:eastAsia="標楷體" w:hAnsi="Times New Roman" w:cs="Times New Roman"/>
                <w:w w:val="105"/>
                <w:sz w:val="18"/>
                <w:szCs w:val="20"/>
                <w:lang w:eastAsia="zh-TW"/>
              </w:rPr>
              <w:t>65</w:t>
            </w:r>
            <w:r w:rsidRPr="00CE0549">
              <w:rPr>
                <w:rFonts w:ascii="Times New Roman" w:eastAsia="標楷體" w:hAnsi="Times New Roman" w:cs="Times New Roman"/>
                <w:w w:val="105"/>
                <w:sz w:val="18"/>
                <w:szCs w:val="20"/>
                <w:lang w:eastAsia="zh-TW"/>
              </w:rPr>
              <w:t>歲及以上年齡組別的住戶</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lang w:eastAsia="zh-TW"/>
              </w:rPr>
              <w:t xml:space="preserve"> </w:t>
            </w:r>
            <w:r w:rsidRPr="00CE0549">
              <w:rPr>
                <w:rFonts w:ascii="Times New Roman" w:eastAsia="標楷體" w:hAnsi="Times New Roman" w:cs="Times New Roman"/>
                <w:w w:val="105"/>
                <w:sz w:val="16"/>
                <w:szCs w:val="20"/>
              </w:rPr>
              <w:t xml:space="preserve">426.7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442.5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432.7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448.9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495.0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516.6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538.4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547.2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577.8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VI. </w:t>
            </w:r>
            <w:r w:rsidRPr="00CE0549">
              <w:rPr>
                <w:rFonts w:ascii="Times New Roman" w:eastAsia="標楷體" w:hAnsi="Times New Roman" w:cs="Times New Roman"/>
                <w:b/>
                <w:bCs/>
                <w:w w:val="105"/>
                <w:sz w:val="20"/>
                <w:szCs w:val="20"/>
              </w:rPr>
              <w:t>性別</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20"/>
                <w:szCs w:val="20"/>
              </w:rPr>
            </w:pPr>
            <w:r w:rsidRPr="00CE0549">
              <w:rPr>
                <w:rFonts w:ascii="Times New Roman" w:eastAsia="標楷體" w:hAnsi="Times New Roman" w:cs="Times New Roman"/>
                <w:w w:val="105"/>
                <w:sz w:val="20"/>
                <w:szCs w:val="20"/>
              </w:rPr>
              <w:t>男性</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641.6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620.8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607.9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613.9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623.2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619.4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622.2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624.1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632.4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20"/>
                <w:szCs w:val="20"/>
              </w:rPr>
            </w:pPr>
            <w:r w:rsidRPr="00CE0549">
              <w:rPr>
                <w:rFonts w:ascii="Times New Roman" w:eastAsia="標楷體" w:hAnsi="Times New Roman" w:cs="Times New Roman"/>
                <w:w w:val="105"/>
                <w:sz w:val="20"/>
                <w:szCs w:val="20"/>
              </w:rPr>
              <w:t>女性</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706.7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701.2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687.1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698.5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713.0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705.4 </w:t>
            </w:r>
          </w:p>
        </w:tc>
        <w:tc>
          <w:tcPr>
            <w:tcW w:w="397"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722.8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728.4 </w:t>
            </w:r>
          </w:p>
        </w:tc>
        <w:tc>
          <w:tcPr>
            <w:tcW w:w="398" w:type="pct"/>
            <w:noWrap/>
            <w:hideMark/>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744.3 </w:t>
            </w:r>
          </w:p>
        </w:tc>
      </w:tr>
    </w:tbl>
    <w:p w:rsidR="00CE0549" w:rsidRPr="00CE0549" w:rsidRDefault="00CE0549" w:rsidP="00CE0549">
      <w:pPr>
        <w:autoSpaceDE w:val="0"/>
        <w:autoSpaceDN w:val="0"/>
        <w:rPr>
          <w:rFonts w:cs="Times New Roman"/>
          <w:w w:val="105"/>
          <w:kern w:val="0"/>
          <w:sz w:val="20"/>
          <w:szCs w:val="20"/>
        </w:rPr>
      </w:pPr>
    </w:p>
    <w:p w:rsidR="00CE0549" w:rsidRPr="00CE0549" w:rsidRDefault="00CE0549" w:rsidP="00CE0549">
      <w:pPr>
        <w:autoSpaceDE w:val="0"/>
        <w:autoSpaceDN w:val="0"/>
        <w:rPr>
          <w:rFonts w:cs="Times New Roman"/>
          <w:w w:val="105"/>
          <w:kern w:val="0"/>
          <w:sz w:val="20"/>
          <w:szCs w:val="20"/>
        </w:rPr>
      </w:pPr>
      <w:r w:rsidRPr="00CE0549">
        <w:rPr>
          <w:rFonts w:cs="Times New Roman" w:hint="eastAsia"/>
          <w:w w:val="105"/>
          <w:kern w:val="0"/>
          <w:sz w:val="20"/>
          <w:szCs w:val="20"/>
        </w:rPr>
        <w:t>註：</w:t>
      </w:r>
    </w:p>
    <w:p w:rsidR="00CE0549" w:rsidRPr="00CE0549" w:rsidRDefault="00CE0549" w:rsidP="00CE0549">
      <w:pPr>
        <w:tabs>
          <w:tab w:val="left" w:pos="450"/>
        </w:tabs>
        <w:autoSpaceDE w:val="0"/>
        <w:autoSpaceDN w:val="0"/>
        <w:rPr>
          <w:rFonts w:cs="Times New Roman"/>
          <w:w w:val="105"/>
          <w:kern w:val="0"/>
          <w:sz w:val="20"/>
          <w:szCs w:val="20"/>
        </w:rPr>
      </w:pPr>
      <w:r w:rsidRPr="00CE0549">
        <w:rPr>
          <w:rFonts w:cs="Times New Roman"/>
          <w:w w:val="105"/>
          <w:kern w:val="0"/>
          <w:sz w:val="20"/>
          <w:szCs w:val="20"/>
        </w:rPr>
        <w:t>(*)</w:t>
      </w:r>
      <w:r w:rsidRPr="00CE0549">
        <w:rPr>
          <w:rFonts w:cs="Times New Roman"/>
          <w:w w:val="105"/>
          <w:kern w:val="0"/>
          <w:sz w:val="20"/>
          <w:szCs w:val="20"/>
        </w:rPr>
        <w:tab/>
      </w:r>
      <w:r w:rsidRPr="00CE0549">
        <w:rPr>
          <w:rFonts w:cs="Times New Roman" w:hint="eastAsia"/>
          <w:w w:val="105"/>
          <w:kern w:val="0"/>
          <w:sz w:val="20"/>
          <w:szCs w:val="20"/>
        </w:rPr>
        <w:t>有關各個住戶組別的定義，請參考</w:t>
      </w:r>
      <w:r w:rsidRPr="00CE0549">
        <w:rPr>
          <w:rFonts w:cs="Times New Roman" w:hint="eastAsia"/>
          <w:b/>
          <w:w w:val="105"/>
          <w:kern w:val="0"/>
          <w:sz w:val="20"/>
          <w:szCs w:val="20"/>
        </w:rPr>
        <w:t>表</w:t>
      </w:r>
      <w:r w:rsidRPr="00CE0549">
        <w:rPr>
          <w:rFonts w:cs="Times New Roman"/>
          <w:b/>
          <w:w w:val="105"/>
          <w:kern w:val="0"/>
          <w:sz w:val="20"/>
          <w:szCs w:val="20"/>
        </w:rPr>
        <w:t>4</w:t>
      </w:r>
    </w:p>
    <w:p w:rsidR="00CE0549" w:rsidRPr="00CE0549" w:rsidRDefault="00CE0549" w:rsidP="00CE0549">
      <w:pPr>
        <w:tabs>
          <w:tab w:val="left" w:pos="450"/>
        </w:tabs>
        <w:autoSpaceDE w:val="0"/>
        <w:autoSpaceDN w:val="0"/>
        <w:rPr>
          <w:rFonts w:cs="Times New Roman"/>
          <w:w w:val="105"/>
          <w:kern w:val="0"/>
          <w:sz w:val="20"/>
          <w:szCs w:val="20"/>
        </w:rPr>
      </w:pPr>
      <w:r w:rsidRPr="00CE0549">
        <w:rPr>
          <w:rFonts w:cs="Times New Roman"/>
          <w:w w:val="105"/>
          <w:kern w:val="0"/>
          <w:sz w:val="20"/>
          <w:szCs w:val="20"/>
        </w:rPr>
        <w:tab/>
      </w:r>
      <w:r w:rsidRPr="00CE0549">
        <w:rPr>
          <w:rFonts w:cs="Times New Roman" w:hint="eastAsia"/>
          <w:w w:val="105"/>
          <w:kern w:val="0"/>
          <w:sz w:val="20"/>
          <w:szCs w:val="20"/>
        </w:rPr>
        <w:t>所有數據的增減均以未經進位的數字計算。</w:t>
      </w:r>
    </w:p>
    <w:p w:rsidR="00CE0549" w:rsidRPr="00CE0549" w:rsidRDefault="00CE0549" w:rsidP="00CE0549">
      <w:pPr>
        <w:autoSpaceDE w:val="0"/>
        <w:autoSpaceDN w:val="0"/>
        <w:rPr>
          <w:rFonts w:cs="Times New Roman"/>
          <w:w w:val="105"/>
          <w:kern w:val="0"/>
          <w:sz w:val="20"/>
          <w:szCs w:val="20"/>
        </w:rPr>
      </w:pPr>
    </w:p>
    <w:p w:rsidR="00CE0549" w:rsidRPr="00CE0549" w:rsidRDefault="00CE0549" w:rsidP="00CE0549">
      <w:pPr>
        <w:autoSpaceDE w:val="0"/>
        <w:autoSpaceDN w:val="0"/>
        <w:rPr>
          <w:rFonts w:cs="Times New Roman"/>
          <w:w w:val="105"/>
          <w:kern w:val="0"/>
          <w:sz w:val="20"/>
          <w:szCs w:val="20"/>
        </w:rPr>
      </w:pPr>
      <w:r w:rsidRPr="00CE0549">
        <w:rPr>
          <w:rFonts w:cs="Times New Roman" w:hint="eastAsia"/>
          <w:w w:val="105"/>
          <w:kern w:val="0"/>
          <w:sz w:val="20"/>
          <w:szCs w:val="20"/>
        </w:rPr>
        <w:t>資料來源：</w:t>
      </w:r>
    </w:p>
    <w:p w:rsidR="00CE0549" w:rsidRPr="00CE0549" w:rsidRDefault="00CE0549" w:rsidP="00CE0549">
      <w:pPr>
        <w:autoSpaceDE w:val="0"/>
        <w:autoSpaceDN w:val="0"/>
        <w:rPr>
          <w:rFonts w:cs="Times New Roman"/>
          <w:w w:val="105"/>
          <w:kern w:val="0"/>
          <w:sz w:val="20"/>
          <w:szCs w:val="20"/>
        </w:rPr>
        <w:sectPr w:rsidR="00CE0549" w:rsidRPr="00CE0549" w:rsidSect="00E22C88">
          <w:pgSz w:w="11910" w:h="16840"/>
          <w:pgMar w:top="1440" w:right="1440" w:bottom="1440" w:left="1440" w:header="720" w:footer="720" w:gutter="0"/>
          <w:cols w:space="720"/>
          <w:docGrid w:linePitch="299"/>
        </w:sectPr>
      </w:pPr>
      <w:r w:rsidRPr="00CE0549">
        <w:rPr>
          <w:rFonts w:cs="Times New Roman" w:hint="eastAsia"/>
          <w:w w:val="105"/>
          <w:kern w:val="0"/>
          <w:sz w:val="20"/>
          <w:szCs w:val="20"/>
        </w:rPr>
        <w:t>政府統計處結合政府統計處綜合住戶統計調查數據及福利轉移的行政記錄。</w:t>
      </w:r>
    </w:p>
    <w:p w:rsidR="00CE0549" w:rsidRPr="00CE0549" w:rsidRDefault="00CE0549" w:rsidP="00CE0549">
      <w:pPr>
        <w:autoSpaceDE w:val="0"/>
        <w:autoSpaceDN w:val="0"/>
        <w:rPr>
          <w:rFonts w:cs="Times New Roman"/>
          <w:b/>
          <w:w w:val="105"/>
          <w:kern w:val="0"/>
          <w:sz w:val="20"/>
          <w:szCs w:val="20"/>
        </w:rPr>
      </w:pPr>
      <w:r w:rsidRPr="00CE0549">
        <w:rPr>
          <w:rFonts w:cs="Times New Roman" w:hint="eastAsia"/>
          <w:b/>
          <w:w w:val="105"/>
          <w:kern w:val="0"/>
          <w:sz w:val="20"/>
          <w:szCs w:val="20"/>
        </w:rPr>
        <w:lastRenderedPageBreak/>
        <w:t>表</w:t>
      </w:r>
      <w:r w:rsidRPr="00CE0549">
        <w:rPr>
          <w:rFonts w:cs="Times New Roman"/>
          <w:b/>
          <w:w w:val="105"/>
          <w:kern w:val="0"/>
          <w:sz w:val="20"/>
          <w:szCs w:val="20"/>
        </w:rPr>
        <w:t>3</w:t>
      </w:r>
      <w:r w:rsidRPr="00CE0549">
        <w:rPr>
          <w:rFonts w:cs="Times New Roman" w:hint="eastAsia"/>
          <w:b/>
          <w:w w:val="105"/>
          <w:kern w:val="0"/>
          <w:sz w:val="20"/>
          <w:szCs w:val="20"/>
        </w:rPr>
        <w:t>：</w:t>
      </w:r>
      <w:r w:rsidRPr="00CE0549">
        <w:rPr>
          <w:rFonts w:cs="Times New Roman"/>
          <w:b/>
          <w:w w:val="105"/>
          <w:kern w:val="0"/>
          <w:sz w:val="20"/>
          <w:szCs w:val="20"/>
        </w:rPr>
        <w:t>2009-2017</w:t>
      </w:r>
      <w:r w:rsidRPr="00CE0549">
        <w:rPr>
          <w:rFonts w:cs="Times New Roman" w:hint="eastAsia"/>
          <w:b/>
          <w:w w:val="105"/>
          <w:kern w:val="0"/>
          <w:sz w:val="20"/>
          <w:szCs w:val="20"/>
        </w:rPr>
        <w:t>年貧窮人口，按選定住戶類別</w:t>
      </w:r>
      <w:r w:rsidRPr="00CE0549">
        <w:rPr>
          <w:rFonts w:cs="Times New Roman"/>
          <w:b/>
          <w:w w:val="105"/>
          <w:kern w:val="0"/>
          <w:sz w:val="20"/>
          <w:szCs w:val="20"/>
        </w:rPr>
        <w:t>*</w:t>
      </w:r>
      <w:r w:rsidRPr="00CE0549">
        <w:rPr>
          <w:rFonts w:cs="Times New Roman" w:hint="eastAsia"/>
          <w:b/>
          <w:w w:val="105"/>
          <w:kern w:val="0"/>
          <w:sz w:val="20"/>
          <w:szCs w:val="20"/>
        </w:rPr>
        <w:t>及性別劃分</w:t>
      </w:r>
    </w:p>
    <w:p w:rsidR="00CE0549" w:rsidRPr="00CE0549" w:rsidRDefault="00CE0549" w:rsidP="00CE0549">
      <w:pPr>
        <w:autoSpaceDE w:val="0"/>
        <w:autoSpaceDN w:val="0"/>
        <w:rPr>
          <w:rFonts w:cs="Times New Roman"/>
          <w:w w:val="105"/>
          <w:kern w:val="0"/>
          <w:sz w:val="20"/>
          <w:szCs w:val="20"/>
        </w:rPr>
      </w:pPr>
    </w:p>
    <w:tbl>
      <w:tblPr>
        <w:tblStyle w:val="af2"/>
        <w:tblW w:w="5000" w:type="pct"/>
        <w:tblLayout w:type="fixed"/>
        <w:tblLook w:val="04A0" w:firstRow="1" w:lastRow="0" w:firstColumn="1" w:lastColumn="0" w:noHBand="0" w:noVBand="1"/>
      </w:tblPr>
      <w:tblGrid>
        <w:gridCol w:w="365"/>
        <w:gridCol w:w="2197"/>
        <w:gridCol w:w="716"/>
        <w:gridCol w:w="718"/>
        <w:gridCol w:w="716"/>
        <w:gridCol w:w="718"/>
        <w:gridCol w:w="716"/>
        <w:gridCol w:w="718"/>
        <w:gridCol w:w="716"/>
        <w:gridCol w:w="718"/>
        <w:gridCol w:w="722"/>
      </w:tblGrid>
      <w:tr w:rsidR="00CE0549" w:rsidRPr="00CE0549" w:rsidTr="00E22C88">
        <w:trPr>
          <w:trHeight w:val="50"/>
        </w:trPr>
        <w:tc>
          <w:tcPr>
            <w:tcW w:w="1420" w:type="pct"/>
            <w:gridSpan w:val="2"/>
            <w:vMerge w:val="restart"/>
            <w:noWrap/>
            <w:vAlign w:val="center"/>
            <w:hideMark/>
          </w:tcPr>
          <w:p w:rsidR="00CE0549" w:rsidRPr="00CE0549" w:rsidRDefault="00CE0549" w:rsidP="00CE0549">
            <w:pPr>
              <w:jc w:val="center"/>
              <w:rPr>
                <w:rFonts w:ascii="Times New Roman" w:eastAsia="標楷體" w:hAnsi="Times New Roman" w:cs="Times New Roman"/>
                <w:b/>
                <w:bCs/>
                <w:w w:val="105"/>
                <w:sz w:val="20"/>
                <w:szCs w:val="20"/>
                <w:lang w:eastAsia="zh-TW"/>
              </w:rPr>
            </w:pPr>
            <w:r w:rsidRPr="00CE0549">
              <w:rPr>
                <w:rFonts w:ascii="Times New Roman" w:eastAsia="標楷體" w:hAnsi="Times New Roman" w:cs="Times New Roman"/>
                <w:b/>
                <w:bCs/>
                <w:w w:val="105"/>
                <w:sz w:val="20"/>
                <w:szCs w:val="20"/>
                <w:lang w:eastAsia="zh-TW"/>
              </w:rPr>
              <w:t>政策介入後（恆常現金）</w:t>
            </w:r>
          </w:p>
        </w:tc>
        <w:tc>
          <w:tcPr>
            <w:tcW w:w="3580" w:type="pct"/>
            <w:gridSpan w:val="9"/>
            <w:vAlign w:val="center"/>
            <w:hideMark/>
          </w:tcPr>
          <w:p w:rsidR="00CE0549" w:rsidRPr="00CE0549" w:rsidRDefault="00CE0549" w:rsidP="00CE0549">
            <w:pPr>
              <w:jc w:val="center"/>
              <w:rPr>
                <w:rFonts w:ascii="Times New Roman" w:eastAsia="標楷體" w:hAnsi="Times New Roman" w:cs="Times New Roman"/>
                <w:b/>
                <w:bCs/>
                <w:w w:val="105"/>
                <w:sz w:val="20"/>
                <w:szCs w:val="20"/>
              </w:rPr>
            </w:pPr>
            <w:r w:rsidRPr="00CE0549">
              <w:rPr>
                <w:rFonts w:ascii="Times New Roman" w:eastAsia="標楷體" w:hAnsi="Times New Roman" w:cs="Times New Roman"/>
                <w:b/>
                <w:bCs/>
                <w:w w:val="105"/>
                <w:sz w:val="20"/>
                <w:szCs w:val="20"/>
              </w:rPr>
              <w:t>人數</w:t>
            </w:r>
            <w:r w:rsidRPr="00CE0549">
              <w:rPr>
                <w:rFonts w:ascii="Times New Roman" w:eastAsia="標楷體" w:hAnsi="Times New Roman" w:cs="Times New Roman"/>
                <w:b/>
                <w:bCs/>
                <w:w w:val="105"/>
                <w:sz w:val="20"/>
                <w:szCs w:val="20"/>
              </w:rPr>
              <w:t>('000)</w:t>
            </w:r>
          </w:p>
        </w:tc>
      </w:tr>
      <w:tr w:rsidR="00CE0549" w:rsidRPr="00CE0549" w:rsidTr="00E22C88">
        <w:trPr>
          <w:trHeight w:val="404"/>
        </w:trPr>
        <w:tc>
          <w:tcPr>
            <w:tcW w:w="1420" w:type="pct"/>
            <w:gridSpan w:val="2"/>
            <w:vMerge/>
            <w:vAlign w:val="center"/>
            <w:hideMark/>
          </w:tcPr>
          <w:p w:rsidR="00CE0549" w:rsidRPr="00CE0549" w:rsidRDefault="00CE0549" w:rsidP="00CE0549">
            <w:pPr>
              <w:rPr>
                <w:rFonts w:ascii="Times New Roman" w:eastAsia="標楷體" w:hAnsi="Times New Roman" w:cs="Times New Roman"/>
                <w:b/>
                <w:bCs/>
                <w:w w:val="105"/>
                <w:sz w:val="20"/>
                <w:szCs w:val="20"/>
              </w:rPr>
            </w:pP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2009</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2010</w:t>
            </w:r>
            <w:r w:rsidRPr="00CE0549">
              <w:rPr>
                <w:rFonts w:ascii="Times New Roman" w:eastAsia="標楷體" w:hAnsi="Times New Roman" w:cs="Times New Roman"/>
                <w:b/>
                <w:bCs/>
                <w:w w:val="105"/>
                <w:sz w:val="14"/>
                <w:szCs w:val="20"/>
              </w:rPr>
              <w:t>年</w:t>
            </w: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2011</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2012</w:t>
            </w:r>
            <w:r w:rsidRPr="00CE0549">
              <w:rPr>
                <w:rFonts w:ascii="Times New Roman" w:eastAsia="標楷體" w:hAnsi="Times New Roman" w:cs="Times New Roman"/>
                <w:b/>
                <w:bCs/>
                <w:w w:val="105"/>
                <w:sz w:val="14"/>
                <w:szCs w:val="20"/>
              </w:rPr>
              <w:t>年</w:t>
            </w: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2013</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2014</w:t>
            </w:r>
            <w:r w:rsidRPr="00CE0549">
              <w:rPr>
                <w:rFonts w:ascii="Times New Roman" w:eastAsia="標楷體" w:hAnsi="Times New Roman" w:cs="Times New Roman"/>
                <w:b/>
                <w:bCs/>
                <w:w w:val="105"/>
                <w:sz w:val="14"/>
                <w:szCs w:val="20"/>
              </w:rPr>
              <w:t>年</w:t>
            </w:r>
          </w:p>
        </w:tc>
        <w:tc>
          <w:tcPr>
            <w:tcW w:w="397"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2015</w:t>
            </w:r>
            <w:r w:rsidRPr="00CE0549">
              <w:rPr>
                <w:rFonts w:ascii="Times New Roman" w:eastAsia="標楷體" w:hAnsi="Times New Roman" w:cs="Times New Roman"/>
                <w:b/>
                <w:bCs/>
                <w:w w:val="105"/>
                <w:sz w:val="14"/>
                <w:szCs w:val="20"/>
              </w:rPr>
              <w:t>年</w:t>
            </w:r>
          </w:p>
        </w:tc>
        <w:tc>
          <w:tcPr>
            <w:tcW w:w="398"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2016</w:t>
            </w:r>
            <w:r w:rsidRPr="00CE0549">
              <w:rPr>
                <w:rFonts w:ascii="Times New Roman" w:eastAsia="標楷體" w:hAnsi="Times New Roman" w:cs="Times New Roman"/>
                <w:b/>
                <w:bCs/>
                <w:w w:val="105"/>
                <w:sz w:val="14"/>
                <w:szCs w:val="20"/>
              </w:rPr>
              <w:t>年</w:t>
            </w:r>
          </w:p>
        </w:tc>
        <w:tc>
          <w:tcPr>
            <w:tcW w:w="400" w:type="pct"/>
            <w:tcMar>
              <w:left w:w="115" w:type="dxa"/>
              <w:right w:w="115" w:type="dxa"/>
            </w:tcMar>
            <w:vAlign w:val="center"/>
            <w:hideMark/>
          </w:tcPr>
          <w:p w:rsidR="00CE0549" w:rsidRPr="00CE0549" w:rsidRDefault="00CE0549" w:rsidP="00CE0549">
            <w:pPr>
              <w:jc w:val="center"/>
              <w:rPr>
                <w:rFonts w:ascii="Times New Roman" w:eastAsia="標楷體" w:hAnsi="Times New Roman" w:cs="Times New Roman"/>
                <w:b/>
                <w:bCs/>
                <w:w w:val="105"/>
                <w:sz w:val="14"/>
                <w:szCs w:val="20"/>
              </w:rPr>
            </w:pPr>
            <w:r w:rsidRPr="00CE0549">
              <w:rPr>
                <w:rFonts w:ascii="Times New Roman" w:eastAsia="標楷體" w:hAnsi="Times New Roman" w:cs="Times New Roman"/>
                <w:b/>
                <w:bCs/>
                <w:w w:val="105"/>
                <w:sz w:val="14"/>
                <w:szCs w:val="20"/>
              </w:rPr>
              <w:t>2017</w:t>
            </w:r>
            <w:r w:rsidRPr="00CE0549">
              <w:rPr>
                <w:rFonts w:ascii="Times New Roman" w:eastAsia="標楷體" w:hAnsi="Times New Roman" w:cs="Times New Roman"/>
                <w:b/>
                <w:bCs/>
                <w:w w:val="105"/>
                <w:sz w:val="14"/>
                <w:szCs w:val="20"/>
              </w:rPr>
              <w:t>年</w:t>
            </w:r>
          </w:p>
        </w:tc>
      </w:tr>
      <w:tr w:rsidR="00CE0549" w:rsidRPr="00CE0549" w:rsidTr="00B61B9B">
        <w:trPr>
          <w:trHeight w:val="50"/>
        </w:trPr>
        <w:tc>
          <w:tcPr>
            <w:tcW w:w="1420" w:type="pct"/>
            <w:gridSpan w:val="2"/>
            <w:noWrap/>
            <w:hideMark/>
          </w:tcPr>
          <w:p w:rsidR="00CE0549" w:rsidRPr="00CE0549" w:rsidRDefault="00CE0549" w:rsidP="00CE0549">
            <w:pPr>
              <w:rPr>
                <w:rFonts w:ascii="Times New Roman" w:eastAsia="標楷體" w:hAnsi="Times New Roman" w:cs="Times New Roman"/>
                <w:b/>
                <w:bCs/>
                <w:w w:val="105"/>
                <w:sz w:val="20"/>
                <w:szCs w:val="20"/>
              </w:rPr>
            </w:pPr>
            <w:r w:rsidRPr="00CE0549">
              <w:rPr>
                <w:rFonts w:ascii="Times New Roman" w:eastAsia="標楷體" w:hAnsi="Times New Roman" w:cs="Times New Roman"/>
                <w:b/>
                <w:bCs/>
                <w:w w:val="105"/>
                <w:sz w:val="20"/>
                <w:szCs w:val="20"/>
              </w:rPr>
              <w:t>整體</w:t>
            </w:r>
          </w:p>
        </w:tc>
        <w:tc>
          <w:tcPr>
            <w:tcW w:w="397"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1 043.4 </w:t>
            </w:r>
          </w:p>
        </w:tc>
        <w:tc>
          <w:tcPr>
            <w:tcW w:w="398"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1 030.6 </w:t>
            </w:r>
          </w:p>
        </w:tc>
        <w:tc>
          <w:tcPr>
            <w:tcW w:w="397"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1 005.4 </w:t>
            </w:r>
          </w:p>
        </w:tc>
        <w:tc>
          <w:tcPr>
            <w:tcW w:w="398"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1 017.8 </w:t>
            </w:r>
          </w:p>
        </w:tc>
        <w:tc>
          <w:tcPr>
            <w:tcW w:w="397"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972.2 </w:t>
            </w:r>
          </w:p>
        </w:tc>
        <w:tc>
          <w:tcPr>
            <w:tcW w:w="398"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962.1 </w:t>
            </w:r>
          </w:p>
        </w:tc>
        <w:tc>
          <w:tcPr>
            <w:tcW w:w="397"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971.4 </w:t>
            </w:r>
          </w:p>
        </w:tc>
        <w:tc>
          <w:tcPr>
            <w:tcW w:w="398"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995.8 </w:t>
            </w:r>
          </w:p>
        </w:tc>
        <w:tc>
          <w:tcPr>
            <w:tcW w:w="400" w:type="pct"/>
            <w:noWrap/>
            <w:tcMar>
              <w:left w:w="0" w:type="dxa"/>
              <w:right w:w="115" w:type="dxa"/>
            </w:tcMar>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1 008.8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 </w:t>
            </w:r>
            <w:r w:rsidRPr="00CE0549">
              <w:rPr>
                <w:rFonts w:ascii="Times New Roman" w:eastAsia="標楷體" w:hAnsi="Times New Roman" w:cs="Times New Roman"/>
                <w:b/>
                <w:bCs/>
                <w:w w:val="105"/>
                <w:sz w:val="20"/>
                <w:szCs w:val="20"/>
              </w:rPr>
              <w:t>住戶人數</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1</w:t>
            </w:r>
            <w:r w:rsidRPr="00CE0549">
              <w:rPr>
                <w:rFonts w:ascii="Times New Roman" w:eastAsia="標楷體" w:hAnsi="Times New Roman" w:cs="Times New Roman"/>
                <w:w w:val="105"/>
                <w:sz w:val="18"/>
                <w:szCs w:val="20"/>
              </w:rPr>
              <w:t>人</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75.8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79.0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82.4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84.2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71.3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69.5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76.7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89.4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91.2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2</w:t>
            </w:r>
            <w:r w:rsidRPr="00CE0549">
              <w:rPr>
                <w:rFonts w:ascii="Times New Roman" w:eastAsia="標楷體" w:hAnsi="Times New Roman" w:cs="Times New Roman"/>
                <w:w w:val="105"/>
                <w:sz w:val="18"/>
                <w:szCs w:val="20"/>
              </w:rPr>
              <w:t>人</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291.8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291.1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291.4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282.9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289.5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302.3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309.2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318.6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328.8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3</w:t>
            </w:r>
            <w:r w:rsidRPr="00CE0549">
              <w:rPr>
                <w:rFonts w:ascii="Times New Roman" w:eastAsia="標楷體" w:hAnsi="Times New Roman" w:cs="Times New Roman"/>
                <w:w w:val="105"/>
                <w:sz w:val="18"/>
                <w:szCs w:val="20"/>
              </w:rPr>
              <w:t>人</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282.3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277.2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244.1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265.2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266.0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253.2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251.6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269.4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261.1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4</w:t>
            </w:r>
            <w:r w:rsidRPr="00CE0549">
              <w:rPr>
                <w:rFonts w:ascii="Times New Roman" w:eastAsia="標楷體" w:hAnsi="Times New Roman" w:cs="Times New Roman"/>
                <w:w w:val="105"/>
                <w:sz w:val="18"/>
                <w:szCs w:val="20"/>
              </w:rPr>
              <w:t>人</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266.5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261.4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263.7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264.1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242.0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228.3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231.9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226.8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248.0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bottom w:val="single" w:sz="4" w:space="0" w:color="auto"/>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5</w:t>
            </w:r>
            <w:r w:rsidRPr="00CE0549">
              <w:rPr>
                <w:rFonts w:ascii="Times New Roman" w:eastAsia="標楷體" w:hAnsi="Times New Roman" w:cs="Times New Roman"/>
                <w:w w:val="105"/>
                <w:sz w:val="18"/>
                <w:szCs w:val="20"/>
              </w:rPr>
              <w:t>人</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85.3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87.1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86.4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86.5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74.5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74.8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73.6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63.3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59.1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b/>
                <w:bCs/>
                <w:w w:val="105"/>
                <w:sz w:val="20"/>
                <w:szCs w:val="20"/>
              </w:rPr>
            </w:pPr>
          </w:p>
        </w:tc>
        <w:tc>
          <w:tcPr>
            <w:tcW w:w="1218" w:type="pct"/>
            <w:tcBorders>
              <w:top w:val="single" w:sz="4" w:space="0" w:color="auto"/>
              <w:left w:val="nil"/>
            </w:tcBorders>
            <w:noWrap/>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6</w:t>
            </w:r>
            <w:r w:rsidRPr="00CE0549">
              <w:rPr>
                <w:rFonts w:ascii="Times New Roman" w:eastAsia="標楷體" w:hAnsi="Times New Roman" w:cs="Times New Roman"/>
                <w:w w:val="105"/>
                <w:sz w:val="18"/>
                <w:szCs w:val="20"/>
              </w:rPr>
              <w:t>人及以上</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37.3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35.0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28.3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20.7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II. </w:t>
            </w:r>
            <w:r w:rsidRPr="00CE0549">
              <w:rPr>
                <w:rFonts w:ascii="Times New Roman" w:eastAsia="標楷體" w:hAnsi="Times New Roman" w:cs="Times New Roman"/>
                <w:b/>
                <w:bCs/>
                <w:w w:val="105"/>
                <w:sz w:val="20"/>
                <w:szCs w:val="20"/>
              </w:rPr>
              <w:t>社會特徵</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綜援住戶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239.0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240.4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238.9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235.6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205.8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173.6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167.5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152.9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156.7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長者住戶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168.8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180.6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182.2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186.9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180.2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182.4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196.1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218.6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219.6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單親住戶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81.9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83.7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78.3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81.0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74.0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72.1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74.0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68.9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71.1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新移民住戶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125.0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103.4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110.1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110.8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94.2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83.9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73.0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65.5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71.3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有兒童住戶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521.7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498.2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487.2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500.5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455.3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438.1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433.5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407.6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420.3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青年住戶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3.1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2.6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2.7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III. </w:t>
            </w:r>
            <w:r w:rsidRPr="00CE0549">
              <w:rPr>
                <w:rFonts w:ascii="Times New Roman" w:eastAsia="標楷體" w:hAnsi="Times New Roman" w:cs="Times New Roman"/>
                <w:b/>
                <w:bCs/>
                <w:w w:val="105"/>
                <w:sz w:val="20"/>
                <w:szCs w:val="20"/>
              </w:rPr>
              <w:t>經濟特徵</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從事經濟活動住戶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634.2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600.6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568.8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584.3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564.0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536.8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520.6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522.5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527.6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在職住戶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543.3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527.5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509.4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537.5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517.1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491.7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477.4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475.2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480.8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失業住戶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90.9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73.1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59.4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46.9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47.3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46.8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非從事經濟活動住戶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409.2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430.0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436.6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433.5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408.2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425.3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450.8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473.3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481.2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IV. </w:t>
            </w:r>
            <w:r w:rsidRPr="00CE0549">
              <w:rPr>
                <w:rFonts w:ascii="Times New Roman" w:eastAsia="標楷體" w:hAnsi="Times New Roman" w:cs="Times New Roman"/>
                <w:b/>
                <w:bCs/>
                <w:w w:val="105"/>
                <w:sz w:val="20"/>
                <w:szCs w:val="20"/>
              </w:rPr>
              <w:t>住屋特徵</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公屋住戶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510.0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510.3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495.7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518.9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460.3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438.2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436.3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414.7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424.7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私樓租戶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59.7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55.4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71.8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78.8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86.4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87.2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92.0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自置居所住戶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445.6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437.4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425.7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412.9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407.5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409.8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418.4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457.4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453.7 </w:t>
            </w:r>
          </w:p>
        </w:tc>
      </w:tr>
      <w:tr w:rsidR="00CE0549" w:rsidRPr="00CE0549" w:rsidTr="00E22C88">
        <w:trPr>
          <w:trHeight w:val="50"/>
        </w:trPr>
        <w:tc>
          <w:tcPr>
            <w:tcW w:w="202" w:type="pct"/>
            <w:tcBorders>
              <w:top w:val="single" w:sz="4" w:space="0" w:color="auto"/>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rPr>
            </w:pPr>
            <w:r w:rsidRPr="00CE0549">
              <w:rPr>
                <w:rFonts w:ascii="Times New Roman" w:eastAsia="標楷體" w:hAnsi="Times New Roman" w:cs="Times New Roman"/>
                <w:w w:val="105"/>
                <w:sz w:val="18"/>
                <w:szCs w:val="20"/>
              </w:rPr>
              <w:t>－有按揭供款或借貸</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90.0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64.0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62.4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56.9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50.4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58.6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55.7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lang w:eastAsia="zh-TW"/>
              </w:rPr>
            </w:pPr>
            <w:r w:rsidRPr="00CE0549">
              <w:rPr>
                <w:rFonts w:ascii="Times New Roman" w:eastAsia="標楷體" w:hAnsi="Times New Roman" w:cs="Times New Roman"/>
                <w:w w:val="105"/>
                <w:sz w:val="18"/>
                <w:szCs w:val="20"/>
                <w:lang w:eastAsia="zh-TW"/>
              </w:rPr>
              <w:t>－沒有按揭供款及借貸</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lang w:eastAsia="zh-TW"/>
              </w:rPr>
              <w:t xml:space="preserve"> </w:t>
            </w:r>
            <w:r w:rsidRPr="00CE0549">
              <w:rPr>
                <w:rFonts w:ascii="Times New Roman" w:eastAsia="標楷體" w:hAnsi="Times New Roman" w:cs="Times New Roman"/>
                <w:w w:val="105"/>
                <w:sz w:val="16"/>
                <w:szCs w:val="20"/>
              </w:rPr>
              <w:t xml:space="preserve">355.7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373.4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363.3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356.0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349.2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357.3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368.0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398.8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398.0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V. </w:t>
            </w:r>
            <w:r w:rsidRPr="00CE0549">
              <w:rPr>
                <w:rFonts w:ascii="Times New Roman" w:eastAsia="標楷體" w:hAnsi="Times New Roman" w:cs="Times New Roman"/>
                <w:b/>
                <w:bCs/>
                <w:w w:val="105"/>
                <w:sz w:val="20"/>
                <w:szCs w:val="20"/>
              </w:rPr>
              <w:t>戶主年齡特徵</w:t>
            </w:r>
          </w:p>
        </w:tc>
      </w:tr>
      <w:tr w:rsidR="00CE0549" w:rsidRPr="00CE0549" w:rsidTr="00E22C88">
        <w:trPr>
          <w:trHeight w:val="375"/>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18"/>
                <w:szCs w:val="20"/>
                <w:lang w:eastAsia="zh-TW"/>
              </w:rPr>
            </w:pPr>
            <w:r w:rsidRPr="00CE0549">
              <w:rPr>
                <w:rFonts w:ascii="Times New Roman" w:eastAsia="標楷體" w:hAnsi="Times New Roman" w:cs="Times New Roman"/>
                <w:w w:val="105"/>
                <w:sz w:val="18"/>
                <w:szCs w:val="20"/>
                <w:lang w:eastAsia="zh-TW"/>
              </w:rPr>
              <w:t>戶主為</w:t>
            </w:r>
            <w:r w:rsidRPr="00CE0549">
              <w:rPr>
                <w:rFonts w:ascii="Times New Roman" w:eastAsia="標楷體" w:hAnsi="Times New Roman" w:cs="Times New Roman"/>
                <w:w w:val="105"/>
                <w:sz w:val="18"/>
                <w:szCs w:val="20"/>
                <w:lang w:eastAsia="zh-TW"/>
              </w:rPr>
              <w:t>18-64</w:t>
            </w:r>
            <w:r w:rsidRPr="00CE0549">
              <w:rPr>
                <w:rFonts w:ascii="Times New Roman" w:eastAsia="標楷體" w:hAnsi="Times New Roman" w:cs="Times New Roman"/>
                <w:w w:val="105"/>
                <w:sz w:val="18"/>
                <w:szCs w:val="20"/>
                <w:lang w:eastAsia="zh-TW"/>
              </w:rPr>
              <w:t>歲年齡組別的住戶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lang w:eastAsia="zh-TW"/>
              </w:rPr>
              <w:t xml:space="preserve"> </w:t>
            </w:r>
            <w:r w:rsidRPr="00CE0549">
              <w:rPr>
                <w:rFonts w:ascii="Times New Roman" w:eastAsia="標楷體" w:hAnsi="Times New Roman" w:cs="Times New Roman"/>
                <w:w w:val="105"/>
                <w:sz w:val="16"/>
                <w:szCs w:val="20"/>
              </w:rPr>
              <w:t xml:space="preserve">710.1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689.5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668.9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674.1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635.2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608.9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607.4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610.4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606.3 </w:t>
            </w:r>
          </w:p>
        </w:tc>
      </w:tr>
      <w:tr w:rsidR="00CE0549" w:rsidRPr="00CE0549" w:rsidTr="00E22C88">
        <w:trPr>
          <w:trHeight w:val="375"/>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18"/>
                <w:szCs w:val="20"/>
                <w:lang w:eastAsia="zh-TW"/>
              </w:rPr>
            </w:pPr>
            <w:r w:rsidRPr="00CE0549">
              <w:rPr>
                <w:rFonts w:ascii="Times New Roman" w:eastAsia="標楷體" w:hAnsi="Times New Roman" w:cs="Times New Roman"/>
                <w:w w:val="105"/>
                <w:sz w:val="18"/>
                <w:szCs w:val="20"/>
                <w:lang w:eastAsia="zh-TW"/>
              </w:rPr>
              <w:t>戶主為</w:t>
            </w:r>
            <w:r w:rsidRPr="00CE0549">
              <w:rPr>
                <w:rFonts w:ascii="Times New Roman" w:eastAsia="標楷體" w:hAnsi="Times New Roman" w:cs="Times New Roman"/>
                <w:w w:val="105"/>
                <w:sz w:val="18"/>
                <w:szCs w:val="20"/>
                <w:lang w:eastAsia="zh-TW"/>
              </w:rPr>
              <w:t>65</w:t>
            </w:r>
            <w:r w:rsidRPr="00CE0549">
              <w:rPr>
                <w:rFonts w:ascii="Times New Roman" w:eastAsia="標楷體" w:hAnsi="Times New Roman" w:cs="Times New Roman"/>
                <w:w w:val="105"/>
                <w:sz w:val="18"/>
                <w:szCs w:val="20"/>
                <w:lang w:eastAsia="zh-TW"/>
              </w:rPr>
              <w:t>歲及以上年齡組別的住戶</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lang w:eastAsia="zh-TW"/>
              </w:rPr>
              <w:t xml:space="preserve"> </w:t>
            </w:r>
            <w:r w:rsidRPr="00CE0549">
              <w:rPr>
                <w:rFonts w:ascii="Times New Roman" w:eastAsia="標楷體" w:hAnsi="Times New Roman" w:cs="Times New Roman"/>
                <w:w w:val="105"/>
                <w:sz w:val="16"/>
                <w:szCs w:val="20"/>
              </w:rPr>
              <w:t xml:space="preserve">331.2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338.3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334.3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342.0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335.8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352.1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362.7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384.7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397.7 </w:t>
            </w:r>
          </w:p>
        </w:tc>
      </w:tr>
      <w:tr w:rsidR="00CE0549" w:rsidRPr="00CE0549" w:rsidTr="00E22C88">
        <w:trPr>
          <w:trHeight w:val="375"/>
        </w:trPr>
        <w:tc>
          <w:tcPr>
            <w:tcW w:w="5000" w:type="pct"/>
            <w:gridSpan w:val="11"/>
            <w:noWrap/>
            <w:hideMark/>
          </w:tcPr>
          <w:p w:rsidR="00CE0549" w:rsidRPr="00CE0549" w:rsidRDefault="00CE0549" w:rsidP="00CE0549">
            <w:pPr>
              <w:rPr>
                <w:rFonts w:ascii="Times New Roman" w:eastAsia="標楷體" w:hAnsi="Times New Roman" w:cs="Times New Roman"/>
                <w:w w:val="105"/>
                <w:sz w:val="16"/>
                <w:szCs w:val="20"/>
              </w:rPr>
            </w:pPr>
            <w:r w:rsidRPr="00CE0549">
              <w:rPr>
                <w:rFonts w:ascii="Times New Roman" w:eastAsia="標楷體" w:hAnsi="Times New Roman" w:cs="Times New Roman"/>
                <w:b/>
                <w:bCs/>
                <w:w w:val="105"/>
                <w:sz w:val="20"/>
                <w:szCs w:val="20"/>
              </w:rPr>
              <w:t xml:space="preserve">VI. </w:t>
            </w:r>
            <w:r w:rsidRPr="00CE0549">
              <w:rPr>
                <w:rFonts w:ascii="Times New Roman" w:eastAsia="標楷體" w:hAnsi="Times New Roman" w:cs="Times New Roman"/>
                <w:b/>
                <w:bCs/>
                <w:w w:val="105"/>
                <w:sz w:val="20"/>
                <w:szCs w:val="20"/>
              </w:rPr>
              <w:t>性別</w:t>
            </w:r>
          </w:p>
        </w:tc>
      </w:tr>
      <w:tr w:rsidR="00CE0549" w:rsidRPr="00CE0549" w:rsidTr="00E22C88">
        <w:trPr>
          <w:trHeight w:val="50"/>
        </w:trPr>
        <w:tc>
          <w:tcPr>
            <w:tcW w:w="202" w:type="pct"/>
            <w:tcBorders>
              <w:bottom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left w:val="nil"/>
              <w:bottom w:val="single" w:sz="4" w:space="0" w:color="auto"/>
            </w:tcBorders>
            <w:hideMark/>
          </w:tcPr>
          <w:p w:rsidR="00CE0549" w:rsidRPr="00CE0549" w:rsidRDefault="00CE0549" w:rsidP="00CE0549">
            <w:pPr>
              <w:rPr>
                <w:rFonts w:ascii="Times New Roman" w:eastAsia="標楷體" w:hAnsi="Times New Roman" w:cs="Times New Roman"/>
                <w:w w:val="105"/>
                <w:sz w:val="20"/>
                <w:szCs w:val="20"/>
              </w:rPr>
            </w:pPr>
            <w:r w:rsidRPr="00CE0549">
              <w:rPr>
                <w:rFonts w:ascii="Times New Roman" w:eastAsia="標楷體" w:hAnsi="Times New Roman" w:cs="Times New Roman"/>
                <w:w w:val="105"/>
                <w:sz w:val="20"/>
                <w:szCs w:val="20"/>
              </w:rPr>
              <w:t>男性</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495.8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485.9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473.4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476.0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451.5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449.1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444.7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456.0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463.3 </w:t>
            </w:r>
          </w:p>
        </w:tc>
      </w:tr>
      <w:tr w:rsidR="00CE0549" w:rsidRPr="00CE0549" w:rsidTr="00E22C88">
        <w:trPr>
          <w:trHeight w:val="50"/>
        </w:trPr>
        <w:tc>
          <w:tcPr>
            <w:tcW w:w="202" w:type="pct"/>
            <w:tcBorders>
              <w:top w:val="single" w:sz="4" w:space="0" w:color="auto"/>
              <w:right w:val="nil"/>
            </w:tcBorders>
            <w:noWrap/>
          </w:tcPr>
          <w:p w:rsidR="00CE0549" w:rsidRPr="00CE0549" w:rsidRDefault="00CE0549" w:rsidP="00CE0549">
            <w:pPr>
              <w:rPr>
                <w:rFonts w:ascii="Times New Roman" w:eastAsia="標楷體" w:hAnsi="Times New Roman" w:cs="Times New Roman"/>
                <w:w w:val="105"/>
                <w:sz w:val="20"/>
                <w:szCs w:val="20"/>
              </w:rPr>
            </w:pPr>
          </w:p>
        </w:tc>
        <w:tc>
          <w:tcPr>
            <w:tcW w:w="1218" w:type="pct"/>
            <w:tcBorders>
              <w:top w:val="single" w:sz="4" w:space="0" w:color="auto"/>
              <w:left w:val="nil"/>
            </w:tcBorders>
            <w:hideMark/>
          </w:tcPr>
          <w:p w:rsidR="00CE0549" w:rsidRPr="00CE0549" w:rsidRDefault="00CE0549" w:rsidP="00CE0549">
            <w:pPr>
              <w:rPr>
                <w:rFonts w:ascii="Times New Roman" w:eastAsia="標楷體" w:hAnsi="Times New Roman" w:cs="Times New Roman"/>
                <w:w w:val="105"/>
                <w:sz w:val="20"/>
                <w:szCs w:val="20"/>
              </w:rPr>
            </w:pPr>
            <w:r w:rsidRPr="00CE0549">
              <w:rPr>
                <w:rFonts w:ascii="Times New Roman" w:eastAsia="標楷體" w:hAnsi="Times New Roman" w:cs="Times New Roman"/>
                <w:w w:val="105"/>
                <w:sz w:val="20"/>
                <w:szCs w:val="20"/>
              </w:rPr>
              <w:t>女性</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547.5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544.7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532.0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541.9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520.7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513.1 </w:t>
            </w:r>
          </w:p>
        </w:tc>
        <w:tc>
          <w:tcPr>
            <w:tcW w:w="397"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526.7 </w:t>
            </w:r>
          </w:p>
        </w:tc>
        <w:tc>
          <w:tcPr>
            <w:tcW w:w="398"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539.9 </w:t>
            </w:r>
          </w:p>
        </w:tc>
        <w:tc>
          <w:tcPr>
            <w:tcW w:w="400" w:type="pct"/>
            <w:noWrap/>
          </w:tcPr>
          <w:p w:rsidR="00CE0549" w:rsidRPr="00CE0549" w:rsidRDefault="00CE0549" w:rsidP="00CE0549">
            <w:pPr>
              <w:jc w:val="right"/>
              <w:rPr>
                <w:rFonts w:ascii="Times New Roman" w:eastAsia="標楷體" w:hAnsi="Times New Roman" w:cs="Times New Roman"/>
                <w:w w:val="105"/>
                <w:sz w:val="16"/>
                <w:szCs w:val="20"/>
              </w:rPr>
            </w:pPr>
            <w:r w:rsidRPr="00CE0549">
              <w:rPr>
                <w:rFonts w:ascii="Times New Roman" w:eastAsia="標楷體" w:hAnsi="Times New Roman" w:cs="Times New Roman"/>
                <w:w w:val="105"/>
                <w:sz w:val="16"/>
                <w:szCs w:val="20"/>
              </w:rPr>
              <w:t xml:space="preserve"> 545.5 </w:t>
            </w:r>
          </w:p>
        </w:tc>
      </w:tr>
    </w:tbl>
    <w:p w:rsidR="00CE0549" w:rsidRPr="00CE0549" w:rsidRDefault="00CE0549" w:rsidP="00CE0549">
      <w:pPr>
        <w:autoSpaceDE w:val="0"/>
        <w:autoSpaceDN w:val="0"/>
        <w:rPr>
          <w:rFonts w:cs="Times New Roman"/>
          <w:w w:val="105"/>
          <w:kern w:val="0"/>
          <w:sz w:val="20"/>
          <w:szCs w:val="20"/>
        </w:rPr>
      </w:pPr>
    </w:p>
    <w:p w:rsidR="00CE0549" w:rsidRPr="00CE0549" w:rsidRDefault="00CE0549" w:rsidP="00CE0549">
      <w:pPr>
        <w:autoSpaceDE w:val="0"/>
        <w:autoSpaceDN w:val="0"/>
        <w:rPr>
          <w:rFonts w:cs="Times New Roman"/>
          <w:w w:val="105"/>
          <w:kern w:val="0"/>
          <w:sz w:val="20"/>
          <w:szCs w:val="20"/>
        </w:rPr>
      </w:pPr>
      <w:r w:rsidRPr="00CE0549">
        <w:rPr>
          <w:rFonts w:cs="Times New Roman" w:hint="eastAsia"/>
          <w:w w:val="105"/>
          <w:kern w:val="0"/>
          <w:sz w:val="20"/>
          <w:szCs w:val="20"/>
        </w:rPr>
        <w:t>註：</w:t>
      </w:r>
    </w:p>
    <w:p w:rsidR="00CE0549" w:rsidRPr="00CE0549" w:rsidRDefault="00CE0549" w:rsidP="00CE0549">
      <w:pPr>
        <w:tabs>
          <w:tab w:val="left" w:pos="450"/>
        </w:tabs>
        <w:autoSpaceDE w:val="0"/>
        <w:autoSpaceDN w:val="0"/>
        <w:rPr>
          <w:rFonts w:cs="Times New Roman"/>
          <w:b/>
          <w:w w:val="105"/>
          <w:kern w:val="0"/>
          <w:sz w:val="20"/>
          <w:szCs w:val="20"/>
        </w:rPr>
      </w:pPr>
      <w:r w:rsidRPr="00CE0549">
        <w:rPr>
          <w:rFonts w:cs="Times New Roman"/>
          <w:w w:val="105"/>
          <w:kern w:val="0"/>
          <w:sz w:val="20"/>
          <w:szCs w:val="20"/>
        </w:rPr>
        <w:t>(*)</w:t>
      </w:r>
      <w:r w:rsidRPr="00CE0549">
        <w:rPr>
          <w:rFonts w:cs="Times New Roman"/>
          <w:w w:val="105"/>
          <w:kern w:val="0"/>
          <w:sz w:val="20"/>
          <w:szCs w:val="20"/>
        </w:rPr>
        <w:tab/>
      </w:r>
      <w:r w:rsidRPr="00CE0549">
        <w:rPr>
          <w:rFonts w:cs="Times New Roman" w:hint="eastAsia"/>
          <w:w w:val="105"/>
          <w:kern w:val="0"/>
          <w:sz w:val="20"/>
          <w:szCs w:val="20"/>
        </w:rPr>
        <w:t>有關各個住戶組別的定義，請參考</w:t>
      </w:r>
      <w:r w:rsidRPr="00CE0549">
        <w:rPr>
          <w:rFonts w:cs="Times New Roman" w:hint="eastAsia"/>
          <w:b/>
          <w:w w:val="105"/>
          <w:kern w:val="0"/>
          <w:sz w:val="20"/>
          <w:szCs w:val="20"/>
        </w:rPr>
        <w:t>表</w:t>
      </w:r>
      <w:r w:rsidRPr="00CE0549">
        <w:rPr>
          <w:rFonts w:cs="Times New Roman"/>
          <w:b/>
          <w:w w:val="105"/>
          <w:kern w:val="0"/>
          <w:sz w:val="20"/>
          <w:szCs w:val="20"/>
        </w:rPr>
        <w:t>4</w:t>
      </w:r>
    </w:p>
    <w:p w:rsidR="00CE0549" w:rsidRPr="00CE0549" w:rsidRDefault="00CE0549" w:rsidP="00CE0549">
      <w:pPr>
        <w:tabs>
          <w:tab w:val="left" w:pos="450"/>
        </w:tabs>
        <w:autoSpaceDE w:val="0"/>
        <w:autoSpaceDN w:val="0"/>
        <w:rPr>
          <w:rFonts w:cs="Times New Roman"/>
          <w:w w:val="105"/>
          <w:kern w:val="0"/>
          <w:sz w:val="20"/>
          <w:szCs w:val="20"/>
        </w:rPr>
      </w:pPr>
      <w:r w:rsidRPr="00CE0549">
        <w:rPr>
          <w:rFonts w:cs="Times New Roman"/>
          <w:w w:val="105"/>
          <w:kern w:val="0"/>
          <w:sz w:val="20"/>
          <w:szCs w:val="20"/>
        </w:rPr>
        <w:tab/>
      </w:r>
      <w:r w:rsidRPr="00CE0549">
        <w:rPr>
          <w:rFonts w:cs="Times New Roman" w:hint="eastAsia"/>
          <w:w w:val="105"/>
          <w:kern w:val="0"/>
          <w:sz w:val="20"/>
          <w:szCs w:val="20"/>
        </w:rPr>
        <w:t>由於四捨五入關係，個別項目的數字加起來可能與總數略有出入。</w:t>
      </w:r>
    </w:p>
    <w:p w:rsidR="00CE0549" w:rsidRPr="00CE0549" w:rsidRDefault="00CE0549" w:rsidP="00CE0549">
      <w:pPr>
        <w:tabs>
          <w:tab w:val="left" w:pos="450"/>
        </w:tabs>
        <w:autoSpaceDE w:val="0"/>
        <w:autoSpaceDN w:val="0"/>
        <w:rPr>
          <w:rFonts w:cs="Times New Roman"/>
          <w:w w:val="105"/>
          <w:kern w:val="0"/>
          <w:sz w:val="20"/>
          <w:szCs w:val="20"/>
        </w:rPr>
      </w:pPr>
      <w:r w:rsidRPr="00CE0549">
        <w:rPr>
          <w:rFonts w:cs="Times New Roman"/>
          <w:w w:val="105"/>
          <w:kern w:val="0"/>
          <w:sz w:val="20"/>
          <w:szCs w:val="20"/>
        </w:rPr>
        <w:tab/>
      </w:r>
      <w:r w:rsidRPr="00CE0549">
        <w:rPr>
          <w:rFonts w:cs="Times New Roman" w:hint="eastAsia"/>
          <w:w w:val="105"/>
          <w:kern w:val="0"/>
          <w:sz w:val="20"/>
          <w:szCs w:val="20"/>
        </w:rPr>
        <w:t>所有數據的增減及增減率均以未經進位的數字計算。</w:t>
      </w:r>
    </w:p>
    <w:p w:rsidR="00CE0549" w:rsidRPr="00CE0549" w:rsidRDefault="00CE0549" w:rsidP="00CE0549">
      <w:pPr>
        <w:autoSpaceDE w:val="0"/>
        <w:autoSpaceDN w:val="0"/>
        <w:rPr>
          <w:rFonts w:cs="Times New Roman"/>
          <w:w w:val="105"/>
          <w:kern w:val="0"/>
          <w:sz w:val="20"/>
          <w:szCs w:val="20"/>
        </w:rPr>
      </w:pPr>
    </w:p>
    <w:p w:rsidR="00CE0549" w:rsidRPr="00CE0549" w:rsidRDefault="00CE0549" w:rsidP="00CE0549">
      <w:pPr>
        <w:autoSpaceDE w:val="0"/>
        <w:autoSpaceDN w:val="0"/>
        <w:rPr>
          <w:rFonts w:cs="Times New Roman"/>
          <w:w w:val="105"/>
          <w:kern w:val="0"/>
          <w:sz w:val="20"/>
          <w:szCs w:val="20"/>
        </w:rPr>
      </w:pPr>
      <w:r w:rsidRPr="00CE0549">
        <w:rPr>
          <w:rFonts w:cs="Times New Roman" w:hint="eastAsia"/>
          <w:w w:val="105"/>
          <w:kern w:val="0"/>
          <w:sz w:val="20"/>
          <w:szCs w:val="20"/>
        </w:rPr>
        <w:t>資料來源：</w:t>
      </w:r>
    </w:p>
    <w:p w:rsidR="00CE0549" w:rsidRPr="00CE0549" w:rsidRDefault="00CE0549" w:rsidP="00CE0549">
      <w:pPr>
        <w:autoSpaceDE w:val="0"/>
        <w:autoSpaceDN w:val="0"/>
        <w:rPr>
          <w:rFonts w:cs="Times New Roman"/>
          <w:w w:val="105"/>
          <w:kern w:val="0"/>
          <w:sz w:val="20"/>
          <w:szCs w:val="20"/>
        </w:rPr>
        <w:sectPr w:rsidR="00CE0549" w:rsidRPr="00CE0549" w:rsidSect="00E22C88">
          <w:pgSz w:w="11910" w:h="16840"/>
          <w:pgMar w:top="1440" w:right="1440" w:bottom="1440" w:left="1440" w:header="720" w:footer="720" w:gutter="0"/>
          <w:cols w:space="720"/>
          <w:docGrid w:linePitch="299"/>
        </w:sectPr>
      </w:pPr>
      <w:r w:rsidRPr="00CE0549">
        <w:rPr>
          <w:rFonts w:cs="Times New Roman" w:hint="eastAsia"/>
          <w:w w:val="105"/>
          <w:kern w:val="0"/>
          <w:sz w:val="20"/>
          <w:szCs w:val="20"/>
        </w:rPr>
        <w:t>政府統計處結合政府統計處綜合住戶統計調查數據及福利轉移的行政記錄。</w:t>
      </w:r>
    </w:p>
    <w:p w:rsidR="00CE0549" w:rsidRPr="00CE0549" w:rsidRDefault="00CE0549" w:rsidP="00CE0549">
      <w:pPr>
        <w:autoSpaceDE w:val="0"/>
        <w:autoSpaceDN w:val="0"/>
        <w:rPr>
          <w:rFonts w:cs="Times New Roman"/>
          <w:b/>
          <w:w w:val="105"/>
          <w:kern w:val="0"/>
          <w:sz w:val="20"/>
          <w:szCs w:val="20"/>
        </w:rPr>
      </w:pPr>
      <w:r w:rsidRPr="00CE0549">
        <w:rPr>
          <w:rFonts w:cs="Times New Roman" w:hint="eastAsia"/>
          <w:b/>
          <w:w w:val="105"/>
          <w:kern w:val="0"/>
          <w:sz w:val="20"/>
          <w:szCs w:val="20"/>
        </w:rPr>
        <w:lastRenderedPageBreak/>
        <w:t>表</w:t>
      </w:r>
      <w:r w:rsidRPr="00CE0549">
        <w:rPr>
          <w:rFonts w:cs="Times New Roman"/>
          <w:b/>
          <w:w w:val="105"/>
          <w:kern w:val="0"/>
          <w:sz w:val="20"/>
          <w:szCs w:val="20"/>
        </w:rPr>
        <w:t>4</w:t>
      </w:r>
      <w:r w:rsidRPr="00CE0549">
        <w:rPr>
          <w:rFonts w:cs="Times New Roman" w:hint="eastAsia"/>
          <w:b/>
          <w:w w:val="105"/>
          <w:kern w:val="0"/>
          <w:sz w:val="20"/>
          <w:szCs w:val="20"/>
        </w:rPr>
        <w:t>：各個住戶類別的定義</w:t>
      </w:r>
    </w:p>
    <w:p w:rsidR="00CE0549" w:rsidRPr="00CE0549" w:rsidRDefault="00CE0549" w:rsidP="00CE0549">
      <w:pPr>
        <w:autoSpaceDE w:val="0"/>
        <w:autoSpaceDN w:val="0"/>
        <w:rPr>
          <w:rFonts w:cs="Times New Roman"/>
          <w:w w:val="105"/>
          <w:kern w:val="0"/>
          <w:sz w:val="20"/>
          <w:szCs w:val="20"/>
        </w:rPr>
      </w:pPr>
    </w:p>
    <w:tbl>
      <w:tblPr>
        <w:tblW w:w="5000" w:type="pct"/>
        <w:tblLayout w:type="fixed"/>
        <w:tblCellMar>
          <w:left w:w="28" w:type="dxa"/>
          <w:right w:w="28" w:type="dxa"/>
        </w:tblCellMar>
        <w:tblLook w:val="04A0" w:firstRow="1" w:lastRow="0" w:firstColumn="1" w:lastColumn="0" w:noHBand="0" w:noVBand="1"/>
      </w:tblPr>
      <w:tblGrid>
        <w:gridCol w:w="1974"/>
        <w:gridCol w:w="6322"/>
      </w:tblGrid>
      <w:tr w:rsidR="00CE0549" w:rsidRPr="00CE0549" w:rsidTr="001745ED">
        <w:trPr>
          <w:trHeight w:val="330"/>
        </w:trPr>
        <w:tc>
          <w:tcPr>
            <w:tcW w:w="1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549" w:rsidRPr="00CE0549" w:rsidRDefault="00CE0549" w:rsidP="001745ED">
            <w:pPr>
              <w:autoSpaceDE w:val="0"/>
              <w:autoSpaceDN w:val="0"/>
              <w:spacing w:line="0" w:lineRule="atLeast"/>
              <w:rPr>
                <w:rFonts w:cs="Times New Roman"/>
                <w:b/>
                <w:bCs/>
                <w:kern w:val="0"/>
                <w:sz w:val="20"/>
                <w:szCs w:val="20"/>
              </w:rPr>
            </w:pPr>
            <w:r w:rsidRPr="00CE0549">
              <w:rPr>
                <w:rFonts w:cs="Times New Roman"/>
                <w:b/>
                <w:bCs/>
                <w:kern w:val="0"/>
                <w:sz w:val="20"/>
                <w:szCs w:val="20"/>
              </w:rPr>
              <w:t xml:space="preserve">I. </w:t>
            </w:r>
            <w:r w:rsidRPr="00CE0549">
              <w:rPr>
                <w:rFonts w:cs="Times New Roman"/>
                <w:b/>
                <w:bCs/>
                <w:kern w:val="0"/>
                <w:sz w:val="20"/>
                <w:szCs w:val="20"/>
              </w:rPr>
              <w:t>按社會特徵劃分</w:t>
            </w:r>
          </w:p>
        </w:tc>
        <w:tc>
          <w:tcPr>
            <w:tcW w:w="3810" w:type="pct"/>
            <w:tcBorders>
              <w:top w:val="single" w:sz="4" w:space="0" w:color="auto"/>
              <w:left w:val="nil"/>
              <w:bottom w:val="single" w:sz="4" w:space="0" w:color="auto"/>
              <w:right w:val="single" w:sz="4" w:space="0" w:color="auto"/>
            </w:tcBorders>
            <w:shd w:val="clear" w:color="auto" w:fill="auto"/>
            <w:noWrap/>
            <w:vAlign w:val="center"/>
            <w:hideMark/>
          </w:tcPr>
          <w:p w:rsidR="00CE0549" w:rsidRPr="00CE0549" w:rsidRDefault="00CE0549" w:rsidP="001745ED">
            <w:pPr>
              <w:autoSpaceDE w:val="0"/>
              <w:autoSpaceDN w:val="0"/>
              <w:spacing w:line="0" w:lineRule="atLeast"/>
              <w:rPr>
                <w:rFonts w:cs="Times New Roman"/>
                <w:b/>
                <w:bCs/>
                <w:kern w:val="0"/>
                <w:sz w:val="20"/>
                <w:szCs w:val="20"/>
              </w:rPr>
            </w:pPr>
            <w:r w:rsidRPr="00CE0549">
              <w:rPr>
                <w:rFonts w:cs="Times New Roman"/>
                <w:b/>
                <w:bCs/>
                <w:kern w:val="0"/>
                <w:sz w:val="20"/>
                <w:szCs w:val="20"/>
              </w:rPr>
              <w:t>定義</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綜援住戶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1745ED">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指領取綜合社會保障援助的家庭住戶</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長者住戶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1745ED">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指家庭住戶內所有成員皆為</w:t>
            </w:r>
            <w:r w:rsidRPr="00CE0549">
              <w:rPr>
                <w:rFonts w:cs="Times New Roman"/>
                <w:bCs/>
                <w:kern w:val="0"/>
                <w:sz w:val="20"/>
                <w:szCs w:val="20"/>
              </w:rPr>
              <w:t>65</w:t>
            </w:r>
            <w:r w:rsidRPr="00CE0549">
              <w:rPr>
                <w:rFonts w:cs="Times New Roman"/>
                <w:bCs/>
                <w:kern w:val="0"/>
                <w:sz w:val="20"/>
                <w:szCs w:val="20"/>
              </w:rPr>
              <w:t>歲及以上長者</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單親住戶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181"/>
              <w:jc w:val="both"/>
              <w:rPr>
                <w:rFonts w:cs="Times New Roman"/>
                <w:bCs/>
                <w:kern w:val="0"/>
                <w:sz w:val="20"/>
                <w:szCs w:val="20"/>
              </w:rPr>
            </w:pPr>
            <w:r w:rsidRPr="00CE0549">
              <w:rPr>
                <w:rFonts w:cs="Times New Roman"/>
                <w:bCs/>
                <w:kern w:val="0"/>
                <w:sz w:val="20"/>
                <w:szCs w:val="20"/>
              </w:rPr>
              <w:t>指家庭住戶內至少有一名成員喪偶、離婚、分居或從未結婚，並與</w:t>
            </w:r>
            <w:r w:rsidRPr="00CE0549">
              <w:rPr>
                <w:rFonts w:cs="Times New Roman"/>
                <w:bCs/>
                <w:kern w:val="0"/>
                <w:sz w:val="20"/>
                <w:szCs w:val="20"/>
              </w:rPr>
              <w:t>18</w:t>
            </w:r>
            <w:r w:rsidRPr="00CE0549">
              <w:rPr>
                <w:rFonts w:cs="Times New Roman"/>
                <w:bCs/>
                <w:kern w:val="0"/>
                <w:sz w:val="20"/>
                <w:szCs w:val="20"/>
              </w:rPr>
              <w:t>歲以下子女同住</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新移民住戶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指家庭住戶內有至少一名成員持單程證來港並定居少於七年</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有兒童住戶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指家庭住戶內至少有一名成員為</w:t>
            </w:r>
            <w:r w:rsidRPr="00CE0549">
              <w:rPr>
                <w:rFonts w:cs="Times New Roman"/>
                <w:bCs/>
                <w:kern w:val="0"/>
                <w:sz w:val="20"/>
                <w:szCs w:val="20"/>
              </w:rPr>
              <w:t>18</w:t>
            </w:r>
            <w:r w:rsidRPr="00CE0549">
              <w:rPr>
                <w:rFonts w:cs="Times New Roman"/>
                <w:bCs/>
                <w:kern w:val="0"/>
                <w:sz w:val="20"/>
                <w:szCs w:val="20"/>
              </w:rPr>
              <w:t>歲以下兒童</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青年住戶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指家庭住戶內所有成員皆介乎</w:t>
            </w:r>
            <w:r w:rsidRPr="00CE0549">
              <w:rPr>
                <w:rFonts w:cs="Times New Roman"/>
                <w:bCs/>
                <w:kern w:val="0"/>
                <w:sz w:val="20"/>
                <w:szCs w:val="20"/>
              </w:rPr>
              <w:t>18</w:t>
            </w:r>
            <w:r w:rsidRPr="00CE0549">
              <w:rPr>
                <w:rFonts w:cs="Times New Roman"/>
                <w:bCs/>
                <w:kern w:val="0"/>
                <w:sz w:val="20"/>
                <w:szCs w:val="20"/>
              </w:rPr>
              <w:t>至</w:t>
            </w:r>
            <w:r w:rsidRPr="00CE0549">
              <w:rPr>
                <w:rFonts w:cs="Times New Roman"/>
                <w:bCs/>
                <w:kern w:val="0"/>
                <w:sz w:val="20"/>
                <w:szCs w:val="20"/>
              </w:rPr>
              <w:t>29</w:t>
            </w:r>
            <w:r w:rsidRPr="00CE0549">
              <w:rPr>
                <w:rFonts w:cs="Times New Roman"/>
                <w:bCs/>
                <w:kern w:val="0"/>
                <w:sz w:val="20"/>
                <w:szCs w:val="20"/>
              </w:rPr>
              <w:t>歲</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noWrap/>
            <w:vAlign w:val="center"/>
            <w:hideMark/>
          </w:tcPr>
          <w:p w:rsidR="00CE0549" w:rsidRPr="00CE0549" w:rsidRDefault="00CE0549" w:rsidP="001745ED">
            <w:pPr>
              <w:autoSpaceDE w:val="0"/>
              <w:autoSpaceDN w:val="0"/>
              <w:spacing w:line="0" w:lineRule="atLeast"/>
              <w:rPr>
                <w:rFonts w:cs="Times New Roman"/>
                <w:b/>
                <w:bCs/>
                <w:kern w:val="0"/>
                <w:sz w:val="20"/>
                <w:szCs w:val="20"/>
              </w:rPr>
            </w:pPr>
            <w:r w:rsidRPr="00CE0549">
              <w:rPr>
                <w:rFonts w:cs="Times New Roman"/>
                <w:b/>
                <w:bCs/>
                <w:kern w:val="0"/>
                <w:sz w:val="20"/>
                <w:szCs w:val="20"/>
              </w:rPr>
              <w:t>II.</w:t>
            </w:r>
            <w:r w:rsidRPr="00CE0549">
              <w:rPr>
                <w:rFonts w:cs="Times New Roman"/>
                <w:b/>
                <w:bCs/>
                <w:kern w:val="0"/>
                <w:sz w:val="20"/>
                <w:szCs w:val="20"/>
              </w:rPr>
              <w:t>按經濟特徵劃分</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從事經濟活動住戶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指家庭住戶內除外籍家庭傭工外，至少一名成員從事經濟活動</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在職住戶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指家庭住戶內除外籍家庭傭工外，至少一名成員為就業人士</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失業住戶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指家庭住戶內所有從事經濟活動的成員均為失業人士</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非從事經濟活動住戶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指家庭住戶內所有成員皆非從事經濟活動</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noWrap/>
            <w:vAlign w:val="center"/>
            <w:hideMark/>
          </w:tcPr>
          <w:p w:rsidR="00CE0549" w:rsidRPr="00CE0549" w:rsidRDefault="00CE0549" w:rsidP="001745ED">
            <w:pPr>
              <w:autoSpaceDE w:val="0"/>
              <w:autoSpaceDN w:val="0"/>
              <w:spacing w:line="0" w:lineRule="atLeast"/>
              <w:rPr>
                <w:rFonts w:cs="Times New Roman"/>
                <w:b/>
                <w:bCs/>
                <w:kern w:val="0"/>
                <w:sz w:val="20"/>
                <w:szCs w:val="20"/>
              </w:rPr>
            </w:pPr>
            <w:r w:rsidRPr="00CE0549">
              <w:rPr>
                <w:rFonts w:cs="Times New Roman"/>
                <w:b/>
                <w:bCs/>
                <w:kern w:val="0"/>
                <w:sz w:val="20"/>
                <w:szCs w:val="20"/>
              </w:rPr>
              <w:t>III.</w:t>
            </w:r>
            <w:r w:rsidRPr="00CE0549">
              <w:rPr>
                <w:rFonts w:cs="Times New Roman"/>
                <w:b/>
                <w:bCs/>
                <w:kern w:val="0"/>
                <w:sz w:val="20"/>
                <w:szCs w:val="20"/>
              </w:rPr>
              <w:t>按住屋特徵劃分</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公屋住戶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指居住於公共租住房屋的家庭住戶</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私樓租戶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kern w:val="0"/>
                <w:sz w:val="20"/>
                <w:szCs w:val="20"/>
              </w:rPr>
            </w:pPr>
            <w:r w:rsidRPr="00CE0549">
              <w:rPr>
                <w:rFonts w:cs="Times New Roman"/>
                <w:bCs/>
                <w:kern w:val="0"/>
                <w:sz w:val="20"/>
                <w:szCs w:val="20"/>
              </w:rPr>
              <w:t>指租住私人永久性房屋或臨時房屋的家庭住戶</w:t>
            </w:r>
          </w:p>
        </w:tc>
      </w:tr>
      <w:tr w:rsidR="00CE0549" w:rsidRPr="00CE0549" w:rsidTr="001745ED">
        <w:trPr>
          <w:trHeight w:val="3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CE0549" w:rsidRPr="00CE0549" w:rsidRDefault="00CE0549" w:rsidP="001745ED">
            <w:pPr>
              <w:autoSpaceDE w:val="0"/>
              <w:autoSpaceDN w:val="0"/>
              <w:spacing w:line="0" w:lineRule="atLeast"/>
              <w:rPr>
                <w:rFonts w:cs="Times New Roman"/>
                <w:bCs/>
                <w:kern w:val="0"/>
                <w:sz w:val="20"/>
                <w:szCs w:val="20"/>
              </w:rPr>
            </w:pPr>
            <w:r w:rsidRPr="00CE0549">
              <w:rPr>
                <w:rFonts w:cs="Times New Roman"/>
                <w:bCs/>
                <w:kern w:val="0"/>
                <w:sz w:val="20"/>
                <w:szCs w:val="20"/>
              </w:rPr>
              <w:t>自置居所住戶</w:t>
            </w:r>
          </w:p>
        </w:tc>
        <w:tc>
          <w:tcPr>
            <w:tcW w:w="3810" w:type="pct"/>
            <w:tcBorders>
              <w:top w:val="nil"/>
              <w:left w:val="nil"/>
              <w:bottom w:val="single" w:sz="4" w:space="0" w:color="auto"/>
              <w:right w:val="single" w:sz="4" w:space="0" w:color="auto"/>
            </w:tcBorders>
            <w:shd w:val="clear" w:color="auto" w:fill="auto"/>
            <w:noWrap/>
            <w:vAlign w:val="center"/>
            <w:hideMark/>
          </w:tcPr>
          <w:p w:rsidR="00CE0549" w:rsidRPr="00CE0549" w:rsidRDefault="00CE0549" w:rsidP="004D2512">
            <w:pPr>
              <w:autoSpaceDE w:val="0"/>
              <w:autoSpaceDN w:val="0"/>
              <w:spacing w:line="0" w:lineRule="atLeast"/>
              <w:ind w:rightChars="95" w:right="266"/>
              <w:jc w:val="both"/>
              <w:rPr>
                <w:rFonts w:cs="Times New Roman"/>
                <w:bCs/>
                <w:spacing w:val="-2"/>
                <w:kern w:val="0"/>
                <w:sz w:val="20"/>
                <w:szCs w:val="20"/>
              </w:rPr>
            </w:pPr>
            <w:r w:rsidRPr="00CE0549">
              <w:rPr>
                <w:rFonts w:cs="Times New Roman"/>
                <w:bCs/>
                <w:spacing w:val="-2"/>
                <w:kern w:val="0"/>
                <w:sz w:val="20"/>
                <w:szCs w:val="20"/>
              </w:rPr>
              <w:t>指家庭住戶擁有其居住的資助自置居所房屋、私人永久性房屋或臨時房屋的業權</w:t>
            </w:r>
          </w:p>
        </w:tc>
      </w:tr>
    </w:tbl>
    <w:p w:rsidR="00FA1F76" w:rsidRDefault="00FA1F76" w:rsidP="001745ED">
      <w:pPr>
        <w:tabs>
          <w:tab w:val="left" w:pos="1440"/>
          <w:tab w:val="left" w:pos="1680"/>
        </w:tabs>
        <w:adjustRightInd w:val="0"/>
        <w:snapToGrid w:val="0"/>
        <w:spacing w:line="400" w:lineRule="atLeast"/>
        <w:ind w:right="-154"/>
        <w:jc w:val="both"/>
        <w:rPr>
          <w:rFonts w:cs="Times New Roman"/>
          <w:bCs/>
          <w:kern w:val="0"/>
          <w:szCs w:val="28"/>
          <w:lang w:val="en-GB"/>
        </w:rPr>
        <w:sectPr w:rsidR="00FA1F76" w:rsidSect="00FA1F76">
          <w:footnotePr>
            <w:numRestart w:val="eachSect"/>
          </w:footnotePr>
          <w:pgSz w:w="11906" w:h="16838"/>
          <w:pgMar w:top="1440" w:right="1800" w:bottom="1440" w:left="1800" w:header="720" w:footer="720" w:gutter="0"/>
          <w:pgNumType w:start="5"/>
          <w:cols w:space="425"/>
          <w:docGrid w:type="lines" w:linePitch="381"/>
        </w:sectPr>
      </w:pPr>
    </w:p>
    <w:p w:rsidR="00CE7CFC" w:rsidRDefault="00CE7CFC" w:rsidP="00CE7CFC">
      <w:pPr>
        <w:snapToGrid w:val="0"/>
        <w:spacing w:line="400" w:lineRule="atLeast"/>
        <w:jc w:val="right"/>
        <w:rPr>
          <w:rFonts w:cs="Times New Roman"/>
          <w:b/>
          <w:szCs w:val="28"/>
          <w:lang w:val="en-GB"/>
        </w:rPr>
      </w:pPr>
      <w:r w:rsidRPr="009D1F79">
        <w:rPr>
          <w:rFonts w:cs="Times New Roman"/>
          <w:b/>
          <w:szCs w:val="28"/>
          <w:lang w:val="en-GB" w:eastAsia="zh-HK"/>
        </w:rPr>
        <w:lastRenderedPageBreak/>
        <w:t>附件</w:t>
      </w:r>
      <w:r w:rsidRPr="009D1F79">
        <w:rPr>
          <w:rFonts w:cs="Times New Roman"/>
          <w:b/>
          <w:szCs w:val="28"/>
          <w:lang w:val="en-GB"/>
        </w:rPr>
        <w:t>11</w:t>
      </w:r>
      <w:r>
        <w:rPr>
          <w:rFonts w:cs="Times New Roman"/>
          <w:b/>
          <w:szCs w:val="28"/>
          <w:lang w:val="en-GB"/>
        </w:rPr>
        <w:t>C</w:t>
      </w:r>
    </w:p>
    <w:p w:rsidR="00CE7CFC" w:rsidRDefault="00CE7CFC" w:rsidP="00CE7CFC">
      <w:pPr>
        <w:snapToGrid w:val="0"/>
        <w:spacing w:line="400" w:lineRule="atLeast"/>
        <w:jc w:val="right"/>
        <w:rPr>
          <w:rFonts w:cs="Times New Roman"/>
          <w:b/>
          <w:szCs w:val="28"/>
          <w:lang w:val="en-GB"/>
        </w:rPr>
      </w:pPr>
    </w:p>
    <w:p w:rsidR="00CE7CFC" w:rsidRPr="00930B81" w:rsidRDefault="00CE7CFC" w:rsidP="00CE7CFC">
      <w:pPr>
        <w:tabs>
          <w:tab w:val="left" w:pos="1440"/>
        </w:tabs>
        <w:adjustRightInd w:val="0"/>
        <w:snapToGrid w:val="0"/>
        <w:spacing w:line="400" w:lineRule="atLeast"/>
        <w:jc w:val="center"/>
        <w:rPr>
          <w:rFonts w:cs="Times New Roman"/>
          <w:b/>
          <w:szCs w:val="28"/>
          <w:lang w:val="en-GB"/>
        </w:rPr>
      </w:pPr>
      <w:r w:rsidRPr="00930B81">
        <w:rPr>
          <w:rFonts w:cs="Times New Roman" w:hint="eastAsia"/>
          <w:b/>
          <w:szCs w:val="28"/>
          <w:lang w:val="en-GB"/>
        </w:rPr>
        <w:t>在職家庭津貼計劃</w:t>
      </w:r>
    </w:p>
    <w:p w:rsidR="00CE7CFC" w:rsidRPr="00930B81" w:rsidRDefault="00CE7CFC" w:rsidP="00CE7CFC">
      <w:pPr>
        <w:tabs>
          <w:tab w:val="left" w:pos="1440"/>
        </w:tabs>
        <w:adjustRightInd w:val="0"/>
        <w:snapToGrid w:val="0"/>
        <w:spacing w:line="400" w:lineRule="atLeast"/>
        <w:jc w:val="both"/>
        <w:rPr>
          <w:rFonts w:cs="Times New Roman"/>
          <w:szCs w:val="28"/>
          <w:lang w:val="en-GB"/>
        </w:rPr>
      </w:pPr>
    </w:p>
    <w:p w:rsidR="00CE7CFC" w:rsidRPr="00930B81" w:rsidRDefault="00CE7CFC" w:rsidP="00CE7CFC">
      <w:pPr>
        <w:tabs>
          <w:tab w:val="left" w:pos="1440"/>
        </w:tabs>
        <w:adjustRightInd w:val="0"/>
        <w:snapToGrid w:val="0"/>
        <w:spacing w:line="400" w:lineRule="atLeast"/>
        <w:jc w:val="both"/>
        <w:rPr>
          <w:rFonts w:cs="Times New Roman"/>
          <w:szCs w:val="28"/>
          <w:lang w:val="en-GB"/>
        </w:rPr>
      </w:pPr>
      <w:r>
        <w:rPr>
          <w:rFonts w:cs="Times New Roman" w:hint="eastAsia"/>
          <w:szCs w:val="28"/>
          <w:lang w:val="en-GB"/>
        </w:rPr>
        <w:t>1.</w:t>
      </w:r>
      <w:r w:rsidRPr="00930B81">
        <w:rPr>
          <w:rFonts w:cs="Times New Roman" w:hint="eastAsia"/>
          <w:szCs w:val="28"/>
          <w:lang w:val="en-GB"/>
        </w:rPr>
        <w:tab/>
      </w:r>
      <w:r w:rsidRPr="00930B81">
        <w:rPr>
          <w:rFonts w:cs="Times New Roman" w:hint="eastAsia"/>
          <w:szCs w:val="28"/>
          <w:lang w:val="en-GB"/>
        </w:rPr>
        <w:t>繼香港特區政府就委員會對上一次報告所提出</w:t>
      </w:r>
      <w:r w:rsidRPr="00930B81">
        <w:rPr>
          <w:rFonts w:cs="Times New Roman" w:hint="eastAsia"/>
          <w:szCs w:val="28"/>
          <w:lang w:val="en-GB" w:eastAsia="zh-HK"/>
        </w:rPr>
        <w:t>的</w:t>
      </w:r>
      <w:r w:rsidRPr="00930B81">
        <w:rPr>
          <w:rFonts w:cs="Times New Roman" w:hint="eastAsia"/>
          <w:szCs w:val="28"/>
          <w:lang w:val="en-GB"/>
        </w:rPr>
        <w:t>事項的</w:t>
      </w:r>
      <w:r w:rsidRPr="00930B81">
        <w:rPr>
          <w:rFonts w:cs="Times New Roman" w:hint="eastAsia"/>
          <w:szCs w:val="28"/>
          <w:lang w:val="en-GB" w:eastAsia="zh-HK"/>
        </w:rPr>
        <w:t>回</w:t>
      </w:r>
      <w:r w:rsidRPr="00930B81">
        <w:rPr>
          <w:rFonts w:cs="Times New Roman" w:hint="eastAsia"/>
          <w:szCs w:val="28"/>
          <w:lang w:val="en-GB"/>
        </w:rPr>
        <w:t>應第</w:t>
      </w:r>
      <w:r w:rsidRPr="00930B81">
        <w:rPr>
          <w:rFonts w:cs="Times New Roman" w:hint="eastAsia"/>
          <w:szCs w:val="28"/>
          <w:lang w:val="en-GB"/>
        </w:rPr>
        <w:t>54.7</w:t>
      </w:r>
      <w:r w:rsidRPr="00930B81">
        <w:rPr>
          <w:rFonts w:cs="Times New Roman" w:hint="eastAsia"/>
          <w:szCs w:val="28"/>
          <w:lang w:val="en-GB"/>
        </w:rPr>
        <w:t>段中所述，政府已於</w:t>
      </w:r>
      <w:r w:rsidRPr="00930B81">
        <w:rPr>
          <w:rFonts w:cs="Times New Roman" w:hint="eastAsia"/>
          <w:szCs w:val="28"/>
          <w:lang w:val="en-GB"/>
        </w:rPr>
        <w:t>2016</w:t>
      </w:r>
      <w:r w:rsidRPr="00930B81">
        <w:rPr>
          <w:rFonts w:cs="Times New Roman" w:hint="eastAsia"/>
          <w:szCs w:val="28"/>
          <w:lang w:val="en-GB"/>
        </w:rPr>
        <w:t>年</w:t>
      </w:r>
      <w:r w:rsidRPr="00930B81">
        <w:rPr>
          <w:rFonts w:cs="Times New Roman" w:hint="eastAsia"/>
          <w:szCs w:val="28"/>
          <w:lang w:val="en-GB"/>
        </w:rPr>
        <w:t>5</w:t>
      </w:r>
      <w:r w:rsidRPr="00930B81">
        <w:rPr>
          <w:rFonts w:cs="Times New Roman" w:hint="eastAsia"/>
          <w:szCs w:val="28"/>
          <w:lang w:val="en-GB"/>
        </w:rPr>
        <w:t>月推出低收入在職家庭津貼（低津）計劃。計劃是根據貧窮線框架所訂定具針對性的措施，旨在向沒有領取綜援的低收入在職家庭提供財政支援。計劃的津貼金額和住戶的入息及工時掛勾，以鼓勵自力更生，並設有兒童津貼，聚焦支援有兒童及青少年的合資格住戶，紓緩跨代貧窮。</w:t>
      </w:r>
    </w:p>
    <w:p w:rsidR="00CE7CFC" w:rsidRPr="00930B81" w:rsidRDefault="00CE7CFC" w:rsidP="00CE7CFC">
      <w:pPr>
        <w:tabs>
          <w:tab w:val="left" w:pos="1440"/>
        </w:tabs>
        <w:adjustRightInd w:val="0"/>
        <w:snapToGrid w:val="0"/>
        <w:spacing w:line="400" w:lineRule="atLeast"/>
        <w:jc w:val="both"/>
        <w:rPr>
          <w:rFonts w:cs="Times New Roman"/>
          <w:szCs w:val="28"/>
          <w:lang w:val="en-GB"/>
        </w:rPr>
      </w:pPr>
    </w:p>
    <w:p w:rsidR="00CE7CFC" w:rsidRDefault="00CE7CFC" w:rsidP="00CE7CFC">
      <w:pPr>
        <w:tabs>
          <w:tab w:val="left" w:pos="1440"/>
        </w:tabs>
        <w:adjustRightInd w:val="0"/>
        <w:snapToGrid w:val="0"/>
        <w:spacing w:line="400" w:lineRule="atLeast"/>
        <w:jc w:val="both"/>
      </w:pPr>
      <w:r>
        <w:rPr>
          <w:rFonts w:cs="Times New Roman" w:hint="eastAsia"/>
          <w:szCs w:val="28"/>
          <w:lang w:val="en-GB"/>
        </w:rPr>
        <w:t>2.</w:t>
      </w:r>
      <w:r w:rsidRPr="00930B81">
        <w:rPr>
          <w:rFonts w:cs="Times New Roman" w:hint="eastAsia"/>
          <w:szCs w:val="28"/>
          <w:lang w:val="en-GB"/>
        </w:rPr>
        <w:tab/>
      </w:r>
      <w:r w:rsidRPr="00930B81">
        <w:rPr>
          <w:rFonts w:cs="Times New Roman" w:hint="eastAsia"/>
          <w:szCs w:val="28"/>
          <w:lang w:val="en-GB"/>
        </w:rPr>
        <w:t>為加強計劃的扶貧和防貧功能，政府於</w:t>
      </w:r>
      <w:r w:rsidRPr="00930B81">
        <w:rPr>
          <w:rFonts w:cs="Times New Roman" w:hint="eastAsia"/>
          <w:szCs w:val="28"/>
          <w:lang w:val="en-GB"/>
        </w:rPr>
        <w:t>2017</w:t>
      </w:r>
      <w:r w:rsidRPr="00930B81">
        <w:rPr>
          <w:rFonts w:cs="Times New Roman" w:hint="eastAsia"/>
          <w:szCs w:val="28"/>
          <w:lang w:val="en-GB"/>
        </w:rPr>
        <w:t>年就低津計劃進行全面檢討，並於</w:t>
      </w:r>
      <w:r w:rsidRPr="00930B81">
        <w:rPr>
          <w:rFonts w:cs="Times New Roman" w:hint="eastAsia"/>
          <w:szCs w:val="28"/>
          <w:lang w:val="en-GB"/>
        </w:rPr>
        <w:t>2018</w:t>
      </w:r>
      <w:r w:rsidRPr="00930B81">
        <w:rPr>
          <w:rFonts w:cs="Times New Roman" w:hint="eastAsia"/>
          <w:szCs w:val="28"/>
          <w:lang w:val="en-GB"/>
        </w:rPr>
        <w:t>年</w:t>
      </w:r>
      <w:r w:rsidRPr="00930B81">
        <w:rPr>
          <w:rFonts w:cs="Times New Roman" w:hint="eastAsia"/>
          <w:szCs w:val="28"/>
          <w:lang w:val="en-GB"/>
        </w:rPr>
        <w:t>4</w:t>
      </w:r>
      <w:r w:rsidRPr="00930B81">
        <w:rPr>
          <w:rFonts w:cs="Times New Roman" w:hint="eastAsia"/>
          <w:szCs w:val="28"/>
          <w:lang w:val="en-GB"/>
        </w:rPr>
        <w:t>月推出在職家庭津貼（職津）計劃，以落實一系列的優化措施，當中包括放寬入息限額及全面調高津貼金額。截至</w:t>
      </w:r>
      <w:r w:rsidRPr="00930B81">
        <w:rPr>
          <w:rFonts w:cs="Times New Roman" w:hint="eastAsia"/>
          <w:szCs w:val="28"/>
          <w:lang w:val="en-GB"/>
        </w:rPr>
        <w:t>2018</w:t>
      </w:r>
      <w:r w:rsidRPr="00930B81">
        <w:rPr>
          <w:rFonts w:cs="Times New Roman" w:hint="eastAsia"/>
          <w:szCs w:val="28"/>
          <w:lang w:val="en-GB"/>
        </w:rPr>
        <w:t>年</w:t>
      </w:r>
      <w:r w:rsidRPr="00930B81">
        <w:rPr>
          <w:rFonts w:cs="Times New Roman" w:hint="eastAsia"/>
          <w:szCs w:val="28"/>
          <w:lang w:val="en-GB"/>
        </w:rPr>
        <w:t>12</w:t>
      </w:r>
      <w:r w:rsidRPr="00930B81">
        <w:rPr>
          <w:rFonts w:cs="Times New Roman" w:hint="eastAsia"/>
          <w:szCs w:val="28"/>
          <w:lang w:val="en-GB"/>
        </w:rPr>
        <w:t>月底，共收到由約</w:t>
      </w:r>
      <w:r w:rsidRPr="00930B81">
        <w:rPr>
          <w:rFonts w:cs="Times New Roman" w:hint="eastAsia"/>
          <w:szCs w:val="28"/>
          <w:lang w:val="en-GB"/>
        </w:rPr>
        <w:t>51</w:t>
      </w:r>
      <w:r w:rsidRPr="00930B81">
        <w:rPr>
          <w:rFonts w:cs="Times New Roman"/>
          <w:szCs w:val="28"/>
          <w:lang w:val="en-GB"/>
        </w:rPr>
        <w:t> </w:t>
      </w:r>
      <w:r w:rsidRPr="00930B81">
        <w:rPr>
          <w:rFonts w:cs="Times New Roman" w:hint="eastAsia"/>
          <w:szCs w:val="28"/>
          <w:lang w:val="en-GB"/>
        </w:rPr>
        <w:t>000</w:t>
      </w:r>
      <w:r w:rsidRPr="00930B81">
        <w:rPr>
          <w:rFonts w:cs="Times New Roman" w:hint="eastAsia"/>
          <w:szCs w:val="28"/>
          <w:lang w:val="en-GB"/>
        </w:rPr>
        <w:t>個住戶提交的職津申請，當中包括接近</w:t>
      </w:r>
      <w:r w:rsidRPr="00930B81">
        <w:rPr>
          <w:rFonts w:cs="Times New Roman" w:hint="eastAsia"/>
          <w:szCs w:val="28"/>
          <w:lang w:val="en-GB"/>
        </w:rPr>
        <w:t>22</w:t>
      </w:r>
      <w:r w:rsidRPr="00930B81">
        <w:rPr>
          <w:rFonts w:cs="Times New Roman"/>
          <w:szCs w:val="28"/>
          <w:lang w:val="en-GB"/>
        </w:rPr>
        <w:t> </w:t>
      </w:r>
      <w:r w:rsidRPr="00930B81">
        <w:rPr>
          <w:rFonts w:cs="Times New Roman" w:hint="eastAsia"/>
          <w:szCs w:val="28"/>
          <w:lang w:val="en-GB"/>
        </w:rPr>
        <w:t>000</w:t>
      </w:r>
      <w:r w:rsidRPr="00930B81">
        <w:rPr>
          <w:rFonts w:cs="Times New Roman" w:hint="eastAsia"/>
          <w:szCs w:val="28"/>
          <w:lang w:val="en-GB"/>
        </w:rPr>
        <w:t>個未曾申請低津的住戶。在這些住戶當中，約有</w:t>
      </w:r>
      <w:r w:rsidRPr="00930B81">
        <w:rPr>
          <w:rFonts w:cs="Times New Roman" w:hint="eastAsia"/>
          <w:szCs w:val="28"/>
          <w:lang w:val="en-GB"/>
        </w:rPr>
        <w:t>45</w:t>
      </w:r>
      <w:r w:rsidRPr="00930B81">
        <w:rPr>
          <w:rFonts w:cs="Times New Roman"/>
          <w:szCs w:val="28"/>
          <w:lang w:val="en-GB"/>
        </w:rPr>
        <w:t> </w:t>
      </w:r>
      <w:r w:rsidRPr="00930B81">
        <w:rPr>
          <w:rFonts w:cs="Times New Roman" w:hint="eastAsia"/>
          <w:szCs w:val="28"/>
          <w:lang w:val="en-GB"/>
        </w:rPr>
        <w:t>000</w:t>
      </w:r>
      <w:r w:rsidRPr="00930B81">
        <w:rPr>
          <w:rFonts w:cs="Times New Roman" w:hint="eastAsia"/>
          <w:szCs w:val="28"/>
          <w:lang w:val="en-GB"/>
        </w:rPr>
        <w:t>戶成功獲批職津，受惠人數超過</w:t>
      </w:r>
      <w:r w:rsidRPr="00930B81">
        <w:rPr>
          <w:rFonts w:cs="Times New Roman" w:hint="eastAsia"/>
          <w:szCs w:val="28"/>
          <w:lang w:val="en-GB"/>
        </w:rPr>
        <w:t>151</w:t>
      </w:r>
      <w:r w:rsidRPr="00930B81">
        <w:rPr>
          <w:rFonts w:cs="Times New Roman"/>
          <w:szCs w:val="28"/>
          <w:lang w:val="en-GB"/>
        </w:rPr>
        <w:t> </w:t>
      </w:r>
      <w:r w:rsidRPr="00930B81">
        <w:rPr>
          <w:rFonts w:cs="Times New Roman" w:hint="eastAsia"/>
          <w:szCs w:val="28"/>
          <w:lang w:val="en-GB"/>
        </w:rPr>
        <w:t>000</w:t>
      </w:r>
      <w:r w:rsidRPr="00930B81">
        <w:rPr>
          <w:rFonts w:cs="Times New Roman" w:hint="eastAsia"/>
          <w:szCs w:val="28"/>
          <w:lang w:val="en-GB"/>
        </w:rPr>
        <w:t>人（包括超過</w:t>
      </w:r>
      <w:r w:rsidRPr="00930B81">
        <w:rPr>
          <w:rFonts w:cs="Times New Roman" w:hint="eastAsia"/>
          <w:szCs w:val="28"/>
          <w:lang w:val="en-GB"/>
        </w:rPr>
        <w:t>63</w:t>
      </w:r>
      <w:r w:rsidRPr="00930B81">
        <w:rPr>
          <w:rFonts w:cs="Times New Roman"/>
          <w:szCs w:val="28"/>
          <w:lang w:val="en-GB"/>
        </w:rPr>
        <w:t> </w:t>
      </w:r>
      <w:r w:rsidRPr="00930B81">
        <w:rPr>
          <w:rFonts w:cs="Times New Roman" w:hint="eastAsia"/>
          <w:szCs w:val="28"/>
          <w:lang w:val="en-GB"/>
        </w:rPr>
        <w:t>000</w:t>
      </w:r>
      <w:r w:rsidRPr="00930B81">
        <w:rPr>
          <w:rFonts w:cs="Times New Roman" w:hint="eastAsia"/>
          <w:szCs w:val="28"/>
          <w:lang w:val="en-GB"/>
        </w:rPr>
        <w:t>名兒童或青少年），而在計劃推出首九個月發放的津貼金額，則超過</w:t>
      </w:r>
      <w:r w:rsidRPr="00930B81">
        <w:rPr>
          <w:rFonts w:cs="Times New Roman" w:hint="eastAsia"/>
          <w:szCs w:val="28"/>
          <w:lang w:val="en-GB"/>
        </w:rPr>
        <w:t>7</w:t>
      </w:r>
      <w:r w:rsidRPr="00930B81">
        <w:rPr>
          <w:rFonts w:cs="Times New Roman"/>
          <w:szCs w:val="28"/>
          <w:lang w:val="en-GB"/>
        </w:rPr>
        <w:t>‍</w:t>
      </w:r>
      <w:r w:rsidRPr="00930B81">
        <w:rPr>
          <w:rFonts w:cs="Times New Roman" w:hint="eastAsia"/>
          <w:szCs w:val="28"/>
          <w:lang w:val="en-GB"/>
        </w:rPr>
        <w:t>億</w:t>
      </w:r>
      <w:r w:rsidRPr="00930B81">
        <w:rPr>
          <w:rFonts w:cs="Times New Roman" w:hint="eastAsia"/>
          <w:szCs w:val="28"/>
          <w:lang w:val="en-GB"/>
        </w:rPr>
        <w:t>9</w:t>
      </w:r>
      <w:r w:rsidRPr="00930B81">
        <w:rPr>
          <w:rFonts w:cs="Times New Roman"/>
          <w:szCs w:val="28"/>
          <w:lang w:val="en-GB"/>
        </w:rPr>
        <w:t> </w:t>
      </w:r>
      <w:r w:rsidRPr="00930B81">
        <w:rPr>
          <w:rFonts w:cs="Times New Roman" w:hint="eastAsia"/>
          <w:szCs w:val="28"/>
          <w:lang w:val="en-GB"/>
        </w:rPr>
        <w:t>000</w:t>
      </w:r>
      <w:r w:rsidRPr="00930B81">
        <w:rPr>
          <w:rFonts w:cs="Times New Roman" w:hint="eastAsia"/>
          <w:szCs w:val="28"/>
          <w:lang w:val="en-GB"/>
        </w:rPr>
        <w:t>萬元。我們相信職津計劃的新安排能令更多在職低收入住戶受惠。</w:t>
      </w:r>
    </w:p>
    <w:p w:rsidR="00CE7CFC" w:rsidRDefault="00CE7CFC" w:rsidP="001745ED">
      <w:pPr>
        <w:tabs>
          <w:tab w:val="left" w:pos="1440"/>
          <w:tab w:val="left" w:pos="1680"/>
        </w:tabs>
        <w:adjustRightInd w:val="0"/>
        <w:snapToGrid w:val="0"/>
        <w:spacing w:line="400" w:lineRule="atLeast"/>
        <w:ind w:right="-154"/>
        <w:jc w:val="both"/>
        <w:rPr>
          <w:rFonts w:cs="Times New Roman"/>
          <w:bCs/>
          <w:kern w:val="0"/>
          <w:szCs w:val="28"/>
        </w:rPr>
        <w:sectPr w:rsidR="00CE7CFC" w:rsidSect="00CE7CFC">
          <w:footerReference w:type="default" r:id="rId61"/>
          <w:pgSz w:w="11906" w:h="16838"/>
          <w:pgMar w:top="1440" w:right="1800" w:bottom="1440" w:left="1800" w:header="720" w:footer="720" w:gutter="0"/>
          <w:pgNumType w:start="1"/>
          <w:cols w:space="425"/>
          <w:docGrid w:type="lines" w:linePitch="381"/>
        </w:sectPr>
      </w:pPr>
    </w:p>
    <w:p w:rsidR="00BE6C12" w:rsidRDefault="00BE6C12" w:rsidP="00BE6C12">
      <w:pPr>
        <w:snapToGrid w:val="0"/>
        <w:spacing w:line="400" w:lineRule="atLeast"/>
        <w:jc w:val="right"/>
        <w:rPr>
          <w:b/>
          <w:szCs w:val="28"/>
        </w:rPr>
      </w:pPr>
      <w:r w:rsidRPr="00C330D2">
        <w:rPr>
          <w:rFonts w:hint="eastAsia"/>
          <w:b/>
          <w:szCs w:val="28"/>
          <w:lang w:eastAsia="zh-HK"/>
        </w:rPr>
        <w:lastRenderedPageBreak/>
        <w:t>附件</w:t>
      </w:r>
      <w:r>
        <w:rPr>
          <w:rFonts w:hint="eastAsia"/>
          <w:b/>
          <w:szCs w:val="28"/>
        </w:rPr>
        <w:t>11D</w:t>
      </w:r>
    </w:p>
    <w:p w:rsidR="00BE6C12" w:rsidRDefault="00BE6C12" w:rsidP="00BE6C12">
      <w:pPr>
        <w:snapToGrid w:val="0"/>
        <w:spacing w:line="400" w:lineRule="atLeast"/>
        <w:jc w:val="center"/>
        <w:rPr>
          <w:b/>
          <w:szCs w:val="28"/>
        </w:rPr>
      </w:pPr>
    </w:p>
    <w:p w:rsidR="00BE6C12" w:rsidRDefault="00BE6C12" w:rsidP="00BE6C12">
      <w:pPr>
        <w:snapToGrid w:val="0"/>
        <w:spacing w:line="400" w:lineRule="atLeast"/>
        <w:jc w:val="center"/>
        <w:rPr>
          <w:b/>
          <w:szCs w:val="28"/>
        </w:rPr>
      </w:pPr>
      <w:r w:rsidRPr="002E06C5">
        <w:rPr>
          <w:rFonts w:hint="eastAsia"/>
          <w:b/>
          <w:szCs w:val="28"/>
          <w:lang w:eastAsia="zh-HK"/>
        </w:rPr>
        <w:t>在食物和用水的供應，以及增加房屋土地供應方面的工作</w:t>
      </w:r>
    </w:p>
    <w:p w:rsidR="00BE6C12" w:rsidRDefault="00BE6C12" w:rsidP="00BE6C12">
      <w:pPr>
        <w:adjustRightInd w:val="0"/>
        <w:snapToGrid w:val="0"/>
        <w:spacing w:line="400" w:lineRule="atLeast"/>
        <w:contextualSpacing/>
        <w:jc w:val="both"/>
        <w:rPr>
          <w:rFonts w:cs="Times New Roman"/>
          <w:szCs w:val="28"/>
        </w:rPr>
      </w:pPr>
    </w:p>
    <w:p w:rsidR="00BE6C12" w:rsidRPr="00CC5A54" w:rsidRDefault="00BE6C12" w:rsidP="00BE6C12">
      <w:pPr>
        <w:adjustRightInd w:val="0"/>
        <w:snapToGrid w:val="0"/>
        <w:spacing w:line="400" w:lineRule="atLeast"/>
        <w:contextualSpacing/>
        <w:jc w:val="both"/>
        <w:rPr>
          <w:b/>
          <w:szCs w:val="28"/>
          <w:lang w:eastAsia="zh-HK"/>
        </w:rPr>
      </w:pPr>
      <w:r w:rsidRPr="002E06C5">
        <w:rPr>
          <w:rFonts w:hint="eastAsia"/>
          <w:b/>
          <w:szCs w:val="28"/>
          <w:lang w:eastAsia="zh-HK"/>
        </w:rPr>
        <w:t>食物供應</w:t>
      </w:r>
    </w:p>
    <w:p w:rsidR="00BE6C12" w:rsidRPr="00D552EE" w:rsidRDefault="00BE6C12" w:rsidP="00BE6C12">
      <w:pPr>
        <w:adjustRightInd w:val="0"/>
        <w:snapToGrid w:val="0"/>
        <w:spacing w:line="400" w:lineRule="atLeast"/>
        <w:contextualSpacing/>
        <w:jc w:val="both"/>
        <w:rPr>
          <w:rFonts w:cs="Times New Roman"/>
          <w:szCs w:val="28"/>
        </w:rPr>
      </w:pPr>
    </w:p>
    <w:p w:rsidR="00BE6C12"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1.</w:t>
      </w:r>
      <w:r w:rsidRPr="00D552EE">
        <w:rPr>
          <w:rFonts w:cs="Times New Roman" w:hint="eastAsia"/>
          <w:szCs w:val="28"/>
        </w:rPr>
        <w:tab/>
      </w:r>
      <w:r w:rsidRPr="002E06C5">
        <w:rPr>
          <w:rFonts w:cs="Times New Roman" w:hint="eastAsia"/>
          <w:szCs w:val="28"/>
        </w:rPr>
        <w:t>政府致力透過開放、公平、有效率及具競爭性的食品市場及貿易以維持穩定及多元化的食物供應，讓市民能按其個人需要、喜好及經濟能力享用食物。</w:t>
      </w:r>
    </w:p>
    <w:p w:rsidR="00BE6C12" w:rsidRDefault="00BE6C12" w:rsidP="00BE6C12">
      <w:pPr>
        <w:tabs>
          <w:tab w:val="left" w:pos="1440"/>
        </w:tabs>
        <w:adjustRightInd w:val="0"/>
        <w:snapToGrid w:val="0"/>
        <w:spacing w:line="400" w:lineRule="atLeast"/>
        <w:contextualSpacing/>
        <w:jc w:val="both"/>
        <w:rPr>
          <w:rFonts w:cs="Times New Roman"/>
          <w:szCs w:val="28"/>
        </w:rPr>
      </w:pPr>
    </w:p>
    <w:p w:rsidR="00BE6C12"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2.</w:t>
      </w:r>
      <w:r>
        <w:rPr>
          <w:rFonts w:cs="Times New Roman"/>
          <w:szCs w:val="28"/>
        </w:rPr>
        <w:tab/>
      </w:r>
      <w:r w:rsidRPr="002E06C5">
        <w:rPr>
          <w:rFonts w:cs="Times New Roman" w:hint="eastAsia"/>
          <w:szCs w:val="28"/>
        </w:rPr>
        <w:t>為達此目標，我們在保障食物安全的同時，致力促進食物多元化，以及提升市場效率及透明度。</w:t>
      </w:r>
    </w:p>
    <w:p w:rsidR="00BE6C12" w:rsidRPr="00D552EE" w:rsidRDefault="00BE6C12" w:rsidP="00BE6C12">
      <w:pPr>
        <w:tabs>
          <w:tab w:val="left" w:pos="1440"/>
        </w:tabs>
        <w:adjustRightInd w:val="0"/>
        <w:snapToGrid w:val="0"/>
        <w:spacing w:line="400" w:lineRule="atLeast"/>
        <w:contextualSpacing/>
        <w:jc w:val="both"/>
        <w:rPr>
          <w:rFonts w:cs="Times New Roman"/>
          <w:szCs w:val="28"/>
        </w:rPr>
      </w:pPr>
    </w:p>
    <w:p w:rsidR="00BE6C12" w:rsidRPr="00D552EE"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3.</w:t>
      </w:r>
      <w:r>
        <w:rPr>
          <w:rFonts w:cs="Times New Roman"/>
          <w:szCs w:val="28"/>
        </w:rPr>
        <w:tab/>
      </w:r>
      <w:r w:rsidRPr="002E06C5">
        <w:rPr>
          <w:rFonts w:cs="Times New Roman" w:hint="eastAsia"/>
          <w:szCs w:val="28"/>
        </w:rPr>
        <w:t>香港只有小規模的初級生產，超過九成的食物皆為進口。秉持自由貿易的原則，來自世界各地的食品，只要適宜供人食用及符合我們的食物安全標準，均可輸入香港並分銷。</w:t>
      </w:r>
    </w:p>
    <w:p w:rsidR="00BE6C12" w:rsidRDefault="00BE6C12" w:rsidP="00BE6C12">
      <w:pPr>
        <w:snapToGrid w:val="0"/>
        <w:spacing w:line="400" w:lineRule="atLeast"/>
        <w:jc w:val="both"/>
        <w:rPr>
          <w:b/>
          <w:szCs w:val="28"/>
        </w:rPr>
      </w:pPr>
    </w:p>
    <w:p w:rsidR="00BE6C12" w:rsidRPr="00D552EE"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4.</w:t>
      </w:r>
      <w:r>
        <w:rPr>
          <w:rFonts w:cs="Times New Roman"/>
          <w:szCs w:val="28"/>
        </w:rPr>
        <w:tab/>
      </w:r>
      <w:r w:rsidRPr="002E06C5">
        <w:rPr>
          <w:rFonts w:cs="Times New Roman" w:hint="eastAsia"/>
          <w:szCs w:val="28"/>
        </w:rPr>
        <w:t>為提升食品貿易的市場透明度，政府密切監察主要鮮活食品的供應。豬、牛、家禽、魚、蔬菜及蛋類等鮮活食品的供應資訊以及批發價格，均會每日更新並於政府網頁向公眾發放。</w:t>
      </w:r>
    </w:p>
    <w:p w:rsidR="00BE6C12" w:rsidRDefault="00BE6C12" w:rsidP="00BE6C12">
      <w:pPr>
        <w:snapToGrid w:val="0"/>
        <w:spacing w:line="400" w:lineRule="atLeast"/>
        <w:jc w:val="both"/>
        <w:rPr>
          <w:b/>
          <w:szCs w:val="28"/>
        </w:rPr>
      </w:pPr>
    </w:p>
    <w:p w:rsidR="00BE6C12"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5.</w:t>
      </w:r>
      <w:r>
        <w:rPr>
          <w:rFonts w:cs="Times New Roman"/>
          <w:szCs w:val="28"/>
        </w:rPr>
        <w:tab/>
      </w:r>
      <w:r w:rsidRPr="002E06C5">
        <w:rPr>
          <w:rFonts w:cs="Times New Roman" w:hint="eastAsia"/>
          <w:szCs w:val="28"/>
        </w:rPr>
        <w:t>政府會繼續與主要食品出口經濟體緊密合作，以確保穩定</w:t>
      </w:r>
      <w:r w:rsidR="007C0E55">
        <w:rPr>
          <w:rFonts w:cs="Times New Roman"/>
          <w:szCs w:val="28"/>
        </w:rPr>
        <w:t>‌</w:t>
      </w:r>
      <w:r w:rsidRPr="002E06C5">
        <w:rPr>
          <w:rFonts w:cs="Times New Roman" w:hint="eastAsia"/>
          <w:szCs w:val="28"/>
        </w:rPr>
        <w:t>、高質素及安全的食物供應。</w:t>
      </w:r>
    </w:p>
    <w:p w:rsidR="00BE6C12" w:rsidRDefault="00BE6C12" w:rsidP="00BE6C12">
      <w:pPr>
        <w:tabs>
          <w:tab w:val="left" w:pos="1440"/>
        </w:tabs>
        <w:adjustRightInd w:val="0"/>
        <w:snapToGrid w:val="0"/>
        <w:spacing w:line="400" w:lineRule="atLeast"/>
        <w:contextualSpacing/>
        <w:jc w:val="both"/>
        <w:rPr>
          <w:rFonts w:cs="Times New Roman"/>
          <w:szCs w:val="28"/>
        </w:rPr>
      </w:pPr>
    </w:p>
    <w:p w:rsidR="00BE6C12" w:rsidRDefault="00BE6C12" w:rsidP="00BE6C12">
      <w:pPr>
        <w:tabs>
          <w:tab w:val="left" w:pos="1440"/>
        </w:tabs>
        <w:adjustRightInd w:val="0"/>
        <w:snapToGrid w:val="0"/>
        <w:spacing w:line="400" w:lineRule="atLeast"/>
        <w:contextualSpacing/>
        <w:jc w:val="both"/>
        <w:rPr>
          <w:rFonts w:cs="Times New Roman"/>
          <w:b/>
          <w:szCs w:val="28"/>
        </w:rPr>
      </w:pPr>
      <w:r w:rsidRPr="002E06C5">
        <w:rPr>
          <w:rFonts w:cs="Times New Roman" w:hint="eastAsia"/>
          <w:b/>
          <w:szCs w:val="28"/>
        </w:rPr>
        <w:t>享有用水的權利</w:t>
      </w:r>
    </w:p>
    <w:p w:rsidR="00BE6C12" w:rsidRDefault="00BE6C12" w:rsidP="00BE6C12">
      <w:pPr>
        <w:tabs>
          <w:tab w:val="left" w:pos="1440"/>
        </w:tabs>
        <w:adjustRightInd w:val="0"/>
        <w:snapToGrid w:val="0"/>
        <w:spacing w:line="400" w:lineRule="atLeast"/>
        <w:contextualSpacing/>
        <w:jc w:val="both"/>
        <w:rPr>
          <w:rFonts w:cs="Times New Roman"/>
          <w:b/>
          <w:szCs w:val="28"/>
        </w:rPr>
      </w:pPr>
    </w:p>
    <w:p w:rsidR="00BE6C12" w:rsidRPr="002E06C5" w:rsidRDefault="00BE6C12" w:rsidP="00BE6C12">
      <w:pPr>
        <w:tabs>
          <w:tab w:val="left" w:pos="1440"/>
        </w:tabs>
        <w:adjustRightInd w:val="0"/>
        <w:snapToGrid w:val="0"/>
        <w:spacing w:line="400" w:lineRule="atLeast"/>
        <w:contextualSpacing/>
        <w:jc w:val="both"/>
        <w:rPr>
          <w:rFonts w:cs="Times New Roman"/>
          <w:b/>
          <w:szCs w:val="28"/>
        </w:rPr>
      </w:pPr>
      <w:r w:rsidRPr="00DA3CC9">
        <w:rPr>
          <w:rFonts w:hint="eastAsia"/>
          <w:szCs w:val="28"/>
          <w:u w:val="single"/>
        </w:rPr>
        <w:t>有足夠和負擔得起的水可供使用</w:t>
      </w:r>
    </w:p>
    <w:p w:rsidR="00BE6C12" w:rsidRDefault="00BE6C12" w:rsidP="00BE6C12">
      <w:pPr>
        <w:tabs>
          <w:tab w:val="left" w:pos="1440"/>
        </w:tabs>
        <w:adjustRightInd w:val="0"/>
        <w:snapToGrid w:val="0"/>
        <w:spacing w:line="400" w:lineRule="atLeast"/>
        <w:contextualSpacing/>
        <w:jc w:val="both"/>
        <w:rPr>
          <w:rFonts w:cs="Times New Roman"/>
          <w:szCs w:val="28"/>
        </w:rPr>
      </w:pPr>
    </w:p>
    <w:p w:rsidR="00BE6C12"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6.</w:t>
      </w:r>
      <w:r>
        <w:rPr>
          <w:rFonts w:cs="Times New Roman"/>
          <w:szCs w:val="28"/>
        </w:rPr>
        <w:tab/>
      </w:r>
      <w:r w:rsidRPr="002E06C5">
        <w:rPr>
          <w:rFonts w:cs="Times New Roman" w:hint="eastAsia"/>
          <w:szCs w:val="28"/>
        </w:rPr>
        <w:t>與上一次報告第</w:t>
      </w:r>
      <w:r w:rsidRPr="002E06C5">
        <w:rPr>
          <w:rFonts w:cs="Times New Roman"/>
          <w:szCs w:val="28"/>
        </w:rPr>
        <w:t>11.31</w:t>
      </w:r>
      <w:r w:rsidRPr="002E06C5">
        <w:rPr>
          <w:rFonts w:cs="Times New Roman" w:hint="eastAsia"/>
          <w:szCs w:val="28"/>
        </w:rPr>
        <w:t>至</w:t>
      </w:r>
      <w:r w:rsidRPr="002E06C5">
        <w:rPr>
          <w:rFonts w:cs="Times New Roman"/>
          <w:szCs w:val="28"/>
        </w:rPr>
        <w:t>11.32</w:t>
      </w:r>
      <w:r w:rsidRPr="002E06C5">
        <w:rPr>
          <w:rFonts w:cs="Times New Roman" w:hint="eastAsia"/>
          <w:szCs w:val="28"/>
        </w:rPr>
        <w:t>段所述的相同，香港擁有全球其中一個最安全可靠的供水系統。飲用水全年</w:t>
      </w:r>
      <w:r w:rsidRPr="002E06C5">
        <w:rPr>
          <w:rFonts w:cs="Times New Roman"/>
          <w:szCs w:val="28"/>
        </w:rPr>
        <w:t>24</w:t>
      </w:r>
      <w:r w:rsidRPr="002E06C5">
        <w:rPr>
          <w:rFonts w:cs="Times New Roman" w:hint="eastAsia"/>
          <w:szCs w:val="28"/>
        </w:rPr>
        <w:t>小時不停輸送到每個家庭。香港有足夠水務設施儲存、處理及輸送食水，當中包括</w:t>
      </w:r>
      <w:r w:rsidRPr="002E06C5">
        <w:rPr>
          <w:rFonts w:cs="Times New Roman"/>
          <w:szCs w:val="28"/>
        </w:rPr>
        <w:t>17</w:t>
      </w:r>
      <w:r w:rsidRPr="002E06C5">
        <w:rPr>
          <w:rFonts w:cs="Times New Roman" w:hint="eastAsia"/>
          <w:szCs w:val="28"/>
        </w:rPr>
        <w:t>個水塘、</w:t>
      </w:r>
      <w:r w:rsidRPr="002E06C5">
        <w:rPr>
          <w:rFonts w:cs="Times New Roman"/>
          <w:szCs w:val="28"/>
        </w:rPr>
        <w:t>21</w:t>
      </w:r>
      <w:r w:rsidRPr="002E06C5">
        <w:rPr>
          <w:rFonts w:cs="Times New Roman" w:hint="eastAsia"/>
          <w:szCs w:val="28"/>
        </w:rPr>
        <w:t>座濾水廠、</w:t>
      </w:r>
      <w:r w:rsidRPr="002E06C5">
        <w:rPr>
          <w:rFonts w:cs="Times New Roman"/>
          <w:szCs w:val="28"/>
        </w:rPr>
        <w:t>172</w:t>
      </w:r>
      <w:r w:rsidRPr="002E06C5">
        <w:rPr>
          <w:rFonts w:cs="Times New Roman" w:hint="eastAsia"/>
          <w:szCs w:val="28"/>
        </w:rPr>
        <w:t>個食水配水庫、</w:t>
      </w:r>
      <w:r w:rsidRPr="002E06C5">
        <w:rPr>
          <w:rFonts w:cs="Times New Roman"/>
          <w:szCs w:val="28"/>
        </w:rPr>
        <w:t>153</w:t>
      </w:r>
      <w:r w:rsidRPr="002E06C5">
        <w:rPr>
          <w:rFonts w:cs="Times New Roman" w:hint="eastAsia"/>
          <w:szCs w:val="28"/>
        </w:rPr>
        <w:t>座食水抽水站及約</w:t>
      </w:r>
      <w:r w:rsidRPr="002E06C5">
        <w:rPr>
          <w:rFonts w:cs="Times New Roman"/>
          <w:szCs w:val="28"/>
        </w:rPr>
        <w:t>6</w:t>
      </w:r>
      <w:r>
        <w:rPr>
          <w:rFonts w:cs="Times New Roman"/>
          <w:szCs w:val="28"/>
        </w:rPr>
        <w:t> </w:t>
      </w:r>
      <w:r w:rsidRPr="002E06C5">
        <w:rPr>
          <w:rFonts w:cs="Times New Roman"/>
          <w:szCs w:val="28"/>
        </w:rPr>
        <w:t>900</w:t>
      </w:r>
      <w:r w:rsidRPr="002E06C5">
        <w:rPr>
          <w:rFonts w:cs="Times New Roman" w:hint="eastAsia"/>
          <w:szCs w:val="28"/>
        </w:rPr>
        <w:t>公里的食水輸送管。</w:t>
      </w:r>
    </w:p>
    <w:p w:rsidR="00BE6C12" w:rsidRPr="00CC5A54" w:rsidRDefault="00BE6C12" w:rsidP="00BE6C12">
      <w:pPr>
        <w:tabs>
          <w:tab w:val="left" w:pos="1440"/>
        </w:tabs>
        <w:adjustRightInd w:val="0"/>
        <w:snapToGrid w:val="0"/>
        <w:spacing w:line="400" w:lineRule="atLeast"/>
        <w:contextualSpacing/>
        <w:jc w:val="both"/>
        <w:rPr>
          <w:rFonts w:cs="Times New Roman"/>
          <w:szCs w:val="28"/>
        </w:rPr>
      </w:pPr>
    </w:p>
    <w:p w:rsidR="00BE6C12"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lastRenderedPageBreak/>
        <w:t>7.</w:t>
      </w:r>
      <w:r>
        <w:rPr>
          <w:rFonts w:cs="Times New Roman"/>
          <w:szCs w:val="28"/>
        </w:rPr>
        <w:tab/>
      </w:r>
      <w:r w:rsidRPr="002E06C5">
        <w:rPr>
          <w:rFonts w:cs="Times New Roman" w:hint="eastAsia"/>
          <w:szCs w:val="28"/>
        </w:rPr>
        <w:t>政府對供應市民的家用食水作出補貼。香港家庭所支付的水費及排污費相對低廉，約佔每月平均家居總開支的</w:t>
      </w:r>
      <w:r w:rsidRPr="002E06C5">
        <w:rPr>
          <w:rFonts w:cs="Times New Roman" w:hint="eastAsia"/>
          <w:szCs w:val="28"/>
        </w:rPr>
        <w:t>0.3%</w:t>
      </w:r>
      <w:r w:rsidRPr="002E06C5">
        <w:rPr>
          <w:rFonts w:cs="Times New Roman" w:hint="eastAsia"/>
          <w:szCs w:val="28"/>
        </w:rPr>
        <w:t>。</w:t>
      </w:r>
    </w:p>
    <w:p w:rsidR="00BE6C12" w:rsidRDefault="00BE6C12" w:rsidP="00BE6C12">
      <w:pPr>
        <w:snapToGrid w:val="0"/>
        <w:spacing w:line="400" w:lineRule="atLeast"/>
        <w:jc w:val="both"/>
        <w:rPr>
          <w:b/>
          <w:szCs w:val="28"/>
        </w:rPr>
      </w:pPr>
    </w:p>
    <w:p w:rsidR="00BE6C12" w:rsidRDefault="00BE6C12" w:rsidP="00BE6C12">
      <w:pPr>
        <w:tabs>
          <w:tab w:val="left" w:pos="1440"/>
        </w:tabs>
        <w:adjustRightInd w:val="0"/>
        <w:snapToGrid w:val="0"/>
        <w:spacing w:line="400" w:lineRule="atLeast"/>
        <w:contextualSpacing/>
        <w:jc w:val="both"/>
        <w:rPr>
          <w:rFonts w:cs="Times New Roman"/>
          <w:szCs w:val="28"/>
        </w:rPr>
      </w:pPr>
      <w:r>
        <w:rPr>
          <w:rFonts w:cs="Times New Roman" w:hint="eastAsia"/>
          <w:szCs w:val="28"/>
        </w:rPr>
        <w:t>8.</w:t>
      </w:r>
      <w:r>
        <w:rPr>
          <w:rFonts w:cs="Times New Roman"/>
          <w:szCs w:val="28"/>
        </w:rPr>
        <w:tab/>
      </w:r>
      <w:r w:rsidRPr="002E06C5">
        <w:rPr>
          <w:rFonts w:cs="Times New Roman" w:hint="eastAsia"/>
          <w:szCs w:val="28"/>
        </w:rPr>
        <w:t>政府就確保食水安全衞生、推廣節約用水及保護水資源的工作見</w:t>
      </w:r>
      <w:r w:rsidRPr="002D4826">
        <w:rPr>
          <w:rFonts w:cs="Times New Roman" w:hint="eastAsia"/>
          <w:b/>
          <w:szCs w:val="28"/>
        </w:rPr>
        <w:t>附</w:t>
      </w:r>
      <w:r w:rsidRPr="002D4826">
        <w:rPr>
          <w:rFonts w:cs="Times New Roman" w:hint="eastAsia"/>
          <w:b/>
          <w:szCs w:val="28"/>
          <w:lang w:eastAsia="zh-HK"/>
        </w:rPr>
        <w:t>錄</w:t>
      </w:r>
      <w:r w:rsidRPr="002D4826">
        <w:rPr>
          <w:rFonts w:cs="Times New Roman" w:hint="eastAsia"/>
          <w:b/>
          <w:szCs w:val="28"/>
        </w:rPr>
        <w:t>1</w:t>
      </w:r>
      <w:r w:rsidRPr="002E06C5">
        <w:rPr>
          <w:rFonts w:cs="Times New Roman" w:hint="eastAsia"/>
          <w:szCs w:val="28"/>
        </w:rPr>
        <w:t>。</w:t>
      </w:r>
    </w:p>
    <w:p w:rsidR="00BE6C12" w:rsidRDefault="00BE6C12" w:rsidP="00BE6C12">
      <w:pPr>
        <w:tabs>
          <w:tab w:val="left" w:pos="1440"/>
        </w:tabs>
        <w:adjustRightInd w:val="0"/>
        <w:snapToGrid w:val="0"/>
        <w:spacing w:line="400" w:lineRule="atLeast"/>
        <w:contextualSpacing/>
        <w:jc w:val="both"/>
        <w:rPr>
          <w:rFonts w:cs="Times New Roman"/>
          <w:szCs w:val="28"/>
        </w:rPr>
      </w:pPr>
    </w:p>
    <w:p w:rsidR="00BE6C12" w:rsidRDefault="00BE6C12" w:rsidP="00BE6C12">
      <w:pPr>
        <w:tabs>
          <w:tab w:val="left" w:pos="1440"/>
        </w:tabs>
        <w:adjustRightInd w:val="0"/>
        <w:snapToGrid w:val="0"/>
        <w:spacing w:line="400" w:lineRule="atLeast"/>
        <w:contextualSpacing/>
        <w:jc w:val="both"/>
        <w:rPr>
          <w:rFonts w:cs="Times New Roman"/>
          <w:b/>
          <w:szCs w:val="28"/>
        </w:rPr>
      </w:pPr>
      <w:r w:rsidRPr="002E06C5">
        <w:rPr>
          <w:rFonts w:cs="Times New Roman" w:hint="eastAsia"/>
          <w:b/>
          <w:szCs w:val="28"/>
        </w:rPr>
        <w:t>享有適當住屋的權利</w:t>
      </w:r>
    </w:p>
    <w:p w:rsidR="00BE6C12" w:rsidRDefault="00BE6C12" w:rsidP="00BE6C12">
      <w:pPr>
        <w:tabs>
          <w:tab w:val="left" w:pos="1440"/>
        </w:tabs>
        <w:adjustRightInd w:val="0"/>
        <w:snapToGrid w:val="0"/>
        <w:spacing w:line="400" w:lineRule="atLeast"/>
        <w:contextualSpacing/>
        <w:jc w:val="both"/>
        <w:rPr>
          <w:rFonts w:cs="Times New Roman"/>
          <w:b/>
          <w:szCs w:val="28"/>
        </w:rPr>
      </w:pPr>
    </w:p>
    <w:p w:rsidR="00BE6C12" w:rsidRPr="002E06C5" w:rsidRDefault="00BE6C12" w:rsidP="00BE6C12">
      <w:pPr>
        <w:tabs>
          <w:tab w:val="left" w:pos="1440"/>
        </w:tabs>
        <w:adjustRightInd w:val="0"/>
        <w:snapToGrid w:val="0"/>
        <w:spacing w:line="400" w:lineRule="atLeast"/>
        <w:contextualSpacing/>
        <w:jc w:val="both"/>
        <w:rPr>
          <w:rFonts w:cs="Times New Roman"/>
          <w:szCs w:val="28"/>
          <w:u w:val="single"/>
        </w:rPr>
      </w:pPr>
      <w:r w:rsidRPr="002E06C5">
        <w:rPr>
          <w:rFonts w:cs="Times New Roman" w:hint="eastAsia"/>
          <w:szCs w:val="28"/>
          <w:u w:val="single"/>
        </w:rPr>
        <w:t>增加房屋土地供應</w:t>
      </w:r>
    </w:p>
    <w:p w:rsidR="00BE6C12" w:rsidRDefault="00BE6C12" w:rsidP="00BE6C12">
      <w:pPr>
        <w:snapToGrid w:val="0"/>
        <w:spacing w:line="400" w:lineRule="atLeast"/>
        <w:jc w:val="both"/>
        <w:rPr>
          <w:b/>
          <w:szCs w:val="28"/>
        </w:rPr>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9.</w:t>
      </w:r>
      <w:r w:rsidR="007C0E55">
        <w:rPr>
          <w:rFonts w:cs="Times New Roman"/>
          <w:szCs w:val="28"/>
        </w:rPr>
        <w:tab/>
      </w:r>
      <w:r w:rsidRPr="002E06C5">
        <w:rPr>
          <w:rFonts w:cs="Times New Roman" w:hint="eastAsia"/>
          <w:szCs w:val="28"/>
        </w:rPr>
        <w:t>覓得足夠土地</w:t>
      </w:r>
      <w:proofErr w:type="gramStart"/>
      <w:r w:rsidRPr="002E06C5">
        <w:rPr>
          <w:rFonts w:cs="Times New Roman" w:hint="eastAsia"/>
          <w:szCs w:val="28"/>
        </w:rPr>
        <w:t>提供具質素</w:t>
      </w:r>
      <w:proofErr w:type="gramEnd"/>
      <w:r w:rsidRPr="002E06C5">
        <w:rPr>
          <w:rFonts w:cs="Times New Roman" w:hint="eastAsia"/>
          <w:szCs w:val="28"/>
        </w:rPr>
        <w:t>及可負擔的房屋以應對人口增長，一直是政府政策綱領的優先工作。我們覓地、造地和建立土地儲備的決心不會因短期的經濟環境變化或樓市價格的波動而動搖。</w:t>
      </w:r>
    </w:p>
    <w:p w:rsidR="00BE6C12" w:rsidRDefault="00BE6C12" w:rsidP="00BE6C12">
      <w:pPr>
        <w:snapToGrid w:val="0"/>
        <w:spacing w:line="400" w:lineRule="atLeast"/>
        <w:jc w:val="both"/>
        <w:rPr>
          <w:rFonts w:cs="Times New Roman"/>
          <w:szCs w:val="28"/>
        </w:rPr>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10.</w:t>
      </w:r>
      <w:r w:rsidR="007C0E55">
        <w:rPr>
          <w:rFonts w:cs="Times New Roman"/>
          <w:szCs w:val="28"/>
        </w:rPr>
        <w:tab/>
      </w:r>
      <w:r w:rsidRPr="002E06C5">
        <w:rPr>
          <w:rFonts w:cs="Times New Roman" w:hint="eastAsia"/>
          <w:szCs w:val="28"/>
        </w:rPr>
        <w:t>短中期方面，最立竿見影和有效的增加房屋土地供應方法</w:t>
      </w:r>
      <w:r w:rsidR="007C0E55">
        <w:rPr>
          <w:rFonts w:cs="Times New Roman"/>
          <w:szCs w:val="28"/>
        </w:rPr>
        <w:t>‌</w:t>
      </w:r>
      <w:r w:rsidRPr="002E06C5">
        <w:rPr>
          <w:rFonts w:cs="Times New Roman" w:hint="eastAsia"/>
          <w:szCs w:val="28"/>
        </w:rPr>
        <w:t>，是透過改變土地用途和在規劃條件許可時提升發展密度，以善用現有市區和新市鎮以及鄰近現有基建的土地。各主要短中期項目合共可提供超過</w:t>
      </w:r>
      <w:r w:rsidRPr="002E06C5">
        <w:rPr>
          <w:rFonts w:cs="Times New Roman" w:hint="eastAsia"/>
          <w:szCs w:val="28"/>
        </w:rPr>
        <w:t>38</w:t>
      </w:r>
      <w:r w:rsidRPr="002E06C5">
        <w:rPr>
          <w:rFonts w:cs="Times New Roman" w:hint="eastAsia"/>
          <w:szCs w:val="28"/>
        </w:rPr>
        <w:t>萬個公私營住宅單位，包括改劃</w:t>
      </w:r>
      <w:r w:rsidRPr="002E06C5">
        <w:rPr>
          <w:rFonts w:cs="Times New Roman" w:hint="eastAsia"/>
          <w:szCs w:val="28"/>
        </w:rPr>
        <w:t>210</w:t>
      </w:r>
      <w:r w:rsidRPr="002E06C5">
        <w:rPr>
          <w:rFonts w:cs="Times New Roman" w:hint="eastAsia"/>
          <w:szCs w:val="28"/>
        </w:rPr>
        <w:t>多幅用地作房屋用途可提供逾</w:t>
      </w:r>
      <w:r w:rsidRPr="002E06C5">
        <w:rPr>
          <w:rFonts w:cs="Times New Roman" w:hint="eastAsia"/>
          <w:szCs w:val="28"/>
        </w:rPr>
        <w:t>31</w:t>
      </w:r>
      <w:r w:rsidRPr="002E06C5">
        <w:rPr>
          <w:rFonts w:cs="Times New Roman" w:hint="eastAsia"/>
          <w:szCs w:val="28"/>
        </w:rPr>
        <w:t>萬個的住宅單位（超過七成為公營房屋）。</w:t>
      </w:r>
    </w:p>
    <w:p w:rsidR="00BE6C12" w:rsidRDefault="00BE6C12" w:rsidP="00BE6C12">
      <w:pPr>
        <w:snapToGrid w:val="0"/>
        <w:spacing w:line="400" w:lineRule="atLeast"/>
        <w:jc w:val="both"/>
        <w:rPr>
          <w:rFonts w:cs="Times New Roman"/>
          <w:szCs w:val="28"/>
        </w:rPr>
      </w:pPr>
    </w:p>
    <w:p w:rsidR="00BE6C12" w:rsidRPr="00CC5A54" w:rsidRDefault="00BE6C12" w:rsidP="007C0E55">
      <w:pPr>
        <w:tabs>
          <w:tab w:val="left" w:pos="1440"/>
        </w:tabs>
        <w:adjustRightInd w:val="0"/>
        <w:snapToGrid w:val="0"/>
        <w:spacing w:line="400" w:lineRule="atLeast"/>
        <w:contextualSpacing/>
        <w:jc w:val="both"/>
        <w:rPr>
          <w:b/>
          <w:szCs w:val="28"/>
        </w:rPr>
      </w:pPr>
      <w:r>
        <w:rPr>
          <w:rFonts w:cs="Times New Roman" w:hint="eastAsia"/>
          <w:szCs w:val="28"/>
        </w:rPr>
        <w:t>11.</w:t>
      </w:r>
      <w:r w:rsidR="007C0E55">
        <w:rPr>
          <w:rFonts w:cs="Times New Roman"/>
          <w:szCs w:val="28"/>
        </w:rPr>
        <w:tab/>
      </w:r>
      <w:r w:rsidRPr="002E06C5">
        <w:rPr>
          <w:rFonts w:cs="Times New Roman" w:hint="eastAsia"/>
          <w:szCs w:val="28"/>
        </w:rPr>
        <w:t>中長期方面，我們正全速推動各項主要土地供應項目，包括但不限於新發展區、擴展新市鎮和鐵路物業發展。這些長遠項目合共可提供逾</w:t>
      </w:r>
      <w:r w:rsidRPr="002E06C5">
        <w:rPr>
          <w:rFonts w:cs="Times New Roman" w:hint="eastAsia"/>
          <w:szCs w:val="28"/>
        </w:rPr>
        <w:t>23</w:t>
      </w:r>
      <w:r w:rsidRPr="002E06C5">
        <w:rPr>
          <w:rFonts w:cs="Times New Roman" w:hint="eastAsia"/>
          <w:szCs w:val="28"/>
        </w:rPr>
        <w:t>萬個住宅單位，是改善生活空間和環境的重點，並應對未來人口增長及維持經濟發展等需要。然而，即使採取了上述措施，我們仍然未能滿足預計房屋需求。</w:t>
      </w:r>
    </w:p>
    <w:p w:rsidR="00BE6C12" w:rsidRDefault="00BE6C12" w:rsidP="00BE6C12">
      <w:pPr>
        <w:snapToGrid w:val="0"/>
        <w:spacing w:line="400" w:lineRule="atLeast"/>
        <w:rPr>
          <w:b/>
          <w:szCs w:val="28"/>
        </w:rPr>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12.</w:t>
      </w:r>
      <w:r w:rsidR="007C0E55">
        <w:rPr>
          <w:rFonts w:cs="Times New Roman"/>
          <w:szCs w:val="28"/>
        </w:rPr>
        <w:tab/>
      </w:r>
      <w:r w:rsidRPr="002E06C5">
        <w:rPr>
          <w:rFonts w:cs="Times New Roman" w:hint="eastAsia"/>
          <w:szCs w:val="28"/>
        </w:rPr>
        <w:t>為推動社會共同物色可行選項以收窄土地供求差距，行政長官於</w:t>
      </w:r>
      <w:r w:rsidRPr="002E06C5">
        <w:rPr>
          <w:rFonts w:cs="Times New Roman" w:hint="eastAsia"/>
          <w:szCs w:val="28"/>
        </w:rPr>
        <w:t>2017</w:t>
      </w:r>
      <w:r w:rsidRPr="002E06C5">
        <w:rPr>
          <w:rFonts w:cs="Times New Roman" w:hint="eastAsia"/>
          <w:szCs w:val="28"/>
        </w:rPr>
        <w:t>年</w:t>
      </w:r>
      <w:r w:rsidRPr="002E06C5">
        <w:rPr>
          <w:rFonts w:cs="Times New Roman" w:hint="eastAsia"/>
          <w:szCs w:val="28"/>
        </w:rPr>
        <w:t>9</w:t>
      </w:r>
      <w:r w:rsidRPr="002E06C5">
        <w:rPr>
          <w:rFonts w:cs="Times New Roman" w:hint="eastAsia"/>
          <w:szCs w:val="28"/>
        </w:rPr>
        <w:t>月成立土地供應專責小組（專責小組），由</w:t>
      </w:r>
      <w:r w:rsidRPr="002E06C5">
        <w:rPr>
          <w:rFonts w:cs="Times New Roman" w:hint="eastAsia"/>
          <w:szCs w:val="28"/>
        </w:rPr>
        <w:t>22</w:t>
      </w:r>
      <w:r w:rsidRPr="002E06C5">
        <w:rPr>
          <w:rFonts w:cs="Times New Roman" w:hint="eastAsia"/>
          <w:szCs w:val="28"/>
        </w:rPr>
        <w:t>名非官方成員主導工作，並於</w:t>
      </w:r>
      <w:r w:rsidRPr="002E06C5">
        <w:rPr>
          <w:rFonts w:cs="Times New Roman" w:hint="eastAsia"/>
          <w:szCs w:val="28"/>
        </w:rPr>
        <w:t>2018</w:t>
      </w:r>
      <w:r w:rsidRPr="002E06C5">
        <w:rPr>
          <w:rFonts w:cs="Times New Roman" w:hint="eastAsia"/>
          <w:szCs w:val="28"/>
        </w:rPr>
        <w:t>年舉行為期五個月的公眾參與活動，邀請社會就專責小組提出的</w:t>
      </w:r>
      <w:r w:rsidRPr="002E06C5">
        <w:rPr>
          <w:rFonts w:cs="Times New Roman" w:hint="eastAsia"/>
          <w:szCs w:val="28"/>
        </w:rPr>
        <w:t>18</w:t>
      </w:r>
      <w:r w:rsidRPr="002E06C5">
        <w:rPr>
          <w:rFonts w:cs="Times New Roman" w:hint="eastAsia"/>
          <w:szCs w:val="28"/>
        </w:rPr>
        <w:t>個土地供應選項及其他議題發表意見。</w:t>
      </w:r>
    </w:p>
    <w:p w:rsidR="00BE6C12" w:rsidRDefault="00BE6C12" w:rsidP="00BE6C12">
      <w:pPr>
        <w:snapToGrid w:val="0"/>
        <w:spacing w:line="400" w:lineRule="atLeast"/>
        <w:jc w:val="both"/>
        <w:rPr>
          <w:rFonts w:cs="Times New Roman"/>
          <w:szCs w:val="28"/>
        </w:rPr>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13.</w:t>
      </w:r>
      <w:r w:rsidR="007C0E55">
        <w:rPr>
          <w:rFonts w:cs="Times New Roman"/>
          <w:szCs w:val="28"/>
        </w:rPr>
        <w:tab/>
      </w:r>
      <w:r w:rsidRPr="002E06C5">
        <w:rPr>
          <w:rFonts w:cs="Times New Roman" w:hint="eastAsia"/>
          <w:szCs w:val="28"/>
        </w:rPr>
        <w:t>專責小組於</w:t>
      </w:r>
      <w:r w:rsidRPr="002E06C5">
        <w:rPr>
          <w:rFonts w:cs="Times New Roman" w:hint="eastAsia"/>
          <w:szCs w:val="28"/>
        </w:rPr>
        <w:t>2018</w:t>
      </w:r>
      <w:r w:rsidRPr="002E06C5">
        <w:rPr>
          <w:rFonts w:cs="Times New Roman" w:hint="eastAsia"/>
          <w:szCs w:val="28"/>
        </w:rPr>
        <w:t>年</w:t>
      </w:r>
      <w:r w:rsidRPr="002E06C5">
        <w:rPr>
          <w:rFonts w:cs="Times New Roman" w:hint="eastAsia"/>
          <w:szCs w:val="28"/>
        </w:rPr>
        <w:t>12</w:t>
      </w:r>
      <w:r w:rsidRPr="002E06C5">
        <w:rPr>
          <w:rFonts w:cs="Times New Roman" w:hint="eastAsia"/>
          <w:szCs w:val="28"/>
        </w:rPr>
        <w:t>月向政府提交題為《多管齊下</w:t>
      </w:r>
      <w:r w:rsidRPr="002E06C5">
        <w:rPr>
          <w:rFonts w:cs="Times New Roman" w:hint="eastAsia"/>
          <w:szCs w:val="28"/>
        </w:rPr>
        <w:t xml:space="preserve"> </w:t>
      </w:r>
      <w:r w:rsidRPr="002E06C5">
        <w:rPr>
          <w:rFonts w:cs="Times New Roman" w:hint="eastAsia"/>
          <w:szCs w:val="28"/>
        </w:rPr>
        <w:t>同心協力》的報告，就土地供應策略及值得優先研究及推行的土地供應選項作出建議。政府全面接納該報告，並於</w:t>
      </w:r>
      <w:r w:rsidRPr="002E06C5">
        <w:rPr>
          <w:rFonts w:cs="Times New Roman" w:hint="eastAsia"/>
          <w:szCs w:val="28"/>
        </w:rPr>
        <w:t>2019</w:t>
      </w:r>
      <w:r w:rsidRPr="002E06C5">
        <w:rPr>
          <w:rFonts w:cs="Times New Roman" w:hint="eastAsia"/>
          <w:szCs w:val="28"/>
        </w:rPr>
        <w:t>年</w:t>
      </w:r>
      <w:r w:rsidRPr="002E06C5">
        <w:rPr>
          <w:rFonts w:cs="Times New Roman" w:hint="eastAsia"/>
          <w:szCs w:val="28"/>
        </w:rPr>
        <w:t>2</w:t>
      </w:r>
      <w:r w:rsidRPr="002E06C5">
        <w:rPr>
          <w:rFonts w:cs="Times New Roman" w:hint="eastAsia"/>
          <w:szCs w:val="28"/>
        </w:rPr>
        <w:t>月公布優化的</w:t>
      </w:r>
      <w:r w:rsidRPr="002E06C5">
        <w:rPr>
          <w:rFonts w:cs="Times New Roman" w:hint="eastAsia"/>
          <w:szCs w:val="28"/>
        </w:rPr>
        <w:lastRenderedPageBreak/>
        <w:t>土地供應策略，並提出清晰的行動計劃以推展各項造地措施，包括重新發展新界棕地及農地、近岸填海、推動更多新發展區項目、利用地下空間及發展岩洞等。</w:t>
      </w:r>
    </w:p>
    <w:p w:rsidR="00BE6C12" w:rsidRDefault="00BE6C12" w:rsidP="00BE6C12">
      <w:pPr>
        <w:snapToGrid w:val="0"/>
        <w:spacing w:line="400" w:lineRule="atLeast"/>
        <w:jc w:val="both"/>
        <w:rPr>
          <w:rFonts w:cs="Times New Roman"/>
          <w:szCs w:val="28"/>
        </w:rPr>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14.</w:t>
      </w:r>
      <w:r w:rsidR="007C0E55">
        <w:rPr>
          <w:rFonts w:cs="Times New Roman"/>
          <w:szCs w:val="28"/>
        </w:rPr>
        <w:tab/>
      </w:r>
      <w:r w:rsidRPr="002E06C5">
        <w:rPr>
          <w:rFonts w:cs="Times New Roman" w:hint="eastAsia"/>
          <w:szCs w:val="28"/>
        </w:rPr>
        <w:t>在政府推行的土地供應選項當中，《行政長官</w:t>
      </w:r>
      <w:r w:rsidRPr="002E06C5">
        <w:rPr>
          <w:rFonts w:cs="Times New Roman" w:hint="eastAsia"/>
          <w:szCs w:val="28"/>
        </w:rPr>
        <w:t>2018</w:t>
      </w:r>
      <w:r w:rsidRPr="002E06C5">
        <w:rPr>
          <w:rFonts w:cs="Times New Roman" w:hint="eastAsia"/>
          <w:szCs w:val="28"/>
        </w:rPr>
        <w:t>年施政報告》中提出的「明日</w:t>
      </w:r>
      <w:proofErr w:type="gramStart"/>
      <w:r w:rsidRPr="002E06C5">
        <w:rPr>
          <w:rFonts w:cs="Times New Roman" w:hint="eastAsia"/>
          <w:szCs w:val="28"/>
        </w:rPr>
        <w:t>大嶼願景</w:t>
      </w:r>
      <w:proofErr w:type="gramEnd"/>
      <w:r w:rsidRPr="002E06C5">
        <w:rPr>
          <w:rFonts w:cs="Times New Roman" w:hint="eastAsia"/>
          <w:szCs w:val="28"/>
        </w:rPr>
        <w:t>」，適時回應社會對增加土地供應的訴求。「明日大嶼」是一個跨越二、三十年的願景，包括在中部水域建立面積約</w:t>
      </w:r>
      <w:r w:rsidRPr="002E06C5">
        <w:rPr>
          <w:rFonts w:cs="Times New Roman" w:hint="eastAsia"/>
          <w:szCs w:val="28"/>
        </w:rPr>
        <w:t>1 000</w:t>
      </w:r>
      <w:r w:rsidRPr="002E06C5">
        <w:rPr>
          <w:rFonts w:cs="Times New Roman" w:hint="eastAsia"/>
          <w:szCs w:val="28"/>
        </w:rPr>
        <w:t>公頃的人工島，有效增加土地供應，開拓居住和經濟空間。單以房屋單位計，人工島可建</w:t>
      </w:r>
      <w:r w:rsidRPr="002E06C5">
        <w:rPr>
          <w:rFonts w:cs="Times New Roman" w:hint="eastAsia"/>
          <w:szCs w:val="28"/>
        </w:rPr>
        <w:t>15</w:t>
      </w:r>
      <w:r w:rsidRPr="002E06C5">
        <w:rPr>
          <w:rFonts w:cs="Times New Roman" w:hint="eastAsia"/>
          <w:szCs w:val="28"/>
        </w:rPr>
        <w:t>萬至</w:t>
      </w:r>
      <w:r w:rsidRPr="002E06C5">
        <w:rPr>
          <w:rFonts w:cs="Times New Roman" w:hint="eastAsia"/>
          <w:szCs w:val="28"/>
        </w:rPr>
        <w:t>26</w:t>
      </w:r>
      <w:r w:rsidRPr="002E06C5">
        <w:rPr>
          <w:rFonts w:cs="Times New Roman" w:hint="eastAsia"/>
          <w:szCs w:val="28"/>
        </w:rPr>
        <w:t>萬伙，當中七成（即</w:t>
      </w:r>
      <w:r w:rsidRPr="002E06C5">
        <w:rPr>
          <w:rFonts w:cs="Times New Roman" w:hint="eastAsia"/>
          <w:szCs w:val="28"/>
        </w:rPr>
        <w:t>10</w:t>
      </w:r>
      <w:r w:rsidRPr="002E06C5">
        <w:rPr>
          <w:rFonts w:cs="Times New Roman" w:hint="eastAsia"/>
          <w:szCs w:val="28"/>
        </w:rPr>
        <w:t>萬</w:t>
      </w:r>
      <w:r w:rsidRPr="002E06C5">
        <w:rPr>
          <w:rFonts w:cs="Times New Roman" w:hint="eastAsia"/>
          <w:szCs w:val="28"/>
        </w:rPr>
        <w:t>5</w:t>
      </w:r>
      <w:r w:rsidRPr="002E06C5">
        <w:rPr>
          <w:rFonts w:cs="Times New Roman" w:hint="eastAsia"/>
          <w:szCs w:val="28"/>
        </w:rPr>
        <w:t>千至</w:t>
      </w:r>
      <w:r w:rsidRPr="002E06C5">
        <w:rPr>
          <w:rFonts w:cs="Times New Roman" w:hint="eastAsia"/>
          <w:szCs w:val="28"/>
        </w:rPr>
        <w:t>18</w:t>
      </w:r>
      <w:r w:rsidRPr="002E06C5">
        <w:rPr>
          <w:rFonts w:cs="Times New Roman" w:hint="eastAsia"/>
          <w:szCs w:val="28"/>
        </w:rPr>
        <w:t>萬</w:t>
      </w:r>
      <w:r w:rsidRPr="002E06C5">
        <w:rPr>
          <w:rFonts w:cs="Times New Roman" w:hint="eastAsia"/>
          <w:szCs w:val="28"/>
        </w:rPr>
        <w:t>2</w:t>
      </w:r>
      <w:r w:rsidRPr="002E06C5">
        <w:rPr>
          <w:rFonts w:cs="Times New Roman" w:hint="eastAsia"/>
          <w:szCs w:val="28"/>
        </w:rPr>
        <w:t>千伙）為公營房屋，為</w:t>
      </w:r>
      <w:r w:rsidRPr="002E06C5">
        <w:rPr>
          <w:rFonts w:cs="Times New Roman" w:hint="eastAsia"/>
          <w:szCs w:val="28"/>
        </w:rPr>
        <w:t>40</w:t>
      </w:r>
      <w:r w:rsidRPr="002E06C5">
        <w:rPr>
          <w:rFonts w:cs="Times New Roman" w:hint="eastAsia"/>
          <w:szCs w:val="28"/>
        </w:rPr>
        <w:t>至</w:t>
      </w:r>
      <w:r w:rsidRPr="002E06C5">
        <w:rPr>
          <w:rFonts w:cs="Times New Roman" w:hint="eastAsia"/>
          <w:szCs w:val="28"/>
        </w:rPr>
        <w:t>70</w:t>
      </w:r>
      <w:r w:rsidRPr="002E06C5">
        <w:rPr>
          <w:rFonts w:cs="Times New Roman" w:hint="eastAsia"/>
          <w:szCs w:val="28"/>
        </w:rPr>
        <w:t>萬人提供住屋。政府會爭取立法會盡快撥款，開展相關研究，目標是於</w:t>
      </w:r>
      <w:r w:rsidRPr="002E06C5">
        <w:rPr>
          <w:rFonts w:cs="Times New Roman" w:hint="eastAsia"/>
          <w:szCs w:val="28"/>
        </w:rPr>
        <w:t>2025</w:t>
      </w:r>
      <w:r w:rsidRPr="002E06C5">
        <w:rPr>
          <w:rFonts w:cs="Times New Roman" w:hint="eastAsia"/>
          <w:szCs w:val="28"/>
        </w:rPr>
        <w:t>年展開填海工程，以期讓居民於</w:t>
      </w:r>
      <w:r w:rsidRPr="002E06C5">
        <w:rPr>
          <w:rFonts w:cs="Times New Roman" w:hint="eastAsia"/>
          <w:szCs w:val="28"/>
        </w:rPr>
        <w:t>2032</w:t>
      </w:r>
      <w:r w:rsidRPr="002E06C5">
        <w:rPr>
          <w:rFonts w:cs="Times New Roman" w:hint="eastAsia"/>
          <w:szCs w:val="28"/>
        </w:rPr>
        <w:t>年起開始入伙。</w:t>
      </w:r>
    </w:p>
    <w:p w:rsidR="00BE6C12" w:rsidRDefault="00BE6C12" w:rsidP="00BE6C12">
      <w:pPr>
        <w:snapToGrid w:val="0"/>
        <w:spacing w:line="400" w:lineRule="atLeast"/>
        <w:jc w:val="both"/>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15.</w:t>
      </w:r>
      <w:r w:rsidR="007C0E55">
        <w:rPr>
          <w:rFonts w:cs="Times New Roman"/>
          <w:szCs w:val="28"/>
        </w:rPr>
        <w:tab/>
      </w:r>
      <w:r w:rsidRPr="002E06C5">
        <w:rPr>
          <w:rFonts w:cs="Times New Roman" w:hint="eastAsia"/>
          <w:szCs w:val="28"/>
        </w:rPr>
        <w:t>政府在</w:t>
      </w:r>
      <w:r w:rsidRPr="002E06C5">
        <w:rPr>
          <w:rFonts w:cs="Times New Roman" w:hint="eastAsia"/>
          <w:szCs w:val="28"/>
        </w:rPr>
        <w:t>2014</w:t>
      </w:r>
      <w:r w:rsidRPr="002E06C5">
        <w:rPr>
          <w:rFonts w:cs="Times New Roman" w:hint="eastAsia"/>
          <w:szCs w:val="28"/>
        </w:rPr>
        <w:t>年</w:t>
      </w:r>
      <w:r w:rsidRPr="002E06C5">
        <w:rPr>
          <w:rFonts w:cs="Times New Roman" w:hint="eastAsia"/>
          <w:szCs w:val="28"/>
        </w:rPr>
        <w:t>12</w:t>
      </w:r>
      <w:r w:rsidRPr="002E06C5">
        <w:rPr>
          <w:rFonts w:cs="Times New Roman" w:hint="eastAsia"/>
          <w:szCs w:val="28"/>
        </w:rPr>
        <w:t>月公布《長遠房屋策略》（《長策》），採納「供應主導」及「靈活變通」的策略，務求逐步解決房屋供應問題。《長策》確立三個主要策略性方向－</w:t>
      </w:r>
    </w:p>
    <w:p w:rsidR="00BE6C12" w:rsidRDefault="00BE6C12" w:rsidP="00BE6C12">
      <w:pPr>
        <w:snapToGrid w:val="0"/>
        <w:spacing w:line="400" w:lineRule="atLeast"/>
        <w:jc w:val="both"/>
        <w:rPr>
          <w:rFonts w:cs="Times New Roman"/>
          <w:szCs w:val="28"/>
        </w:rPr>
      </w:pPr>
    </w:p>
    <w:p w:rsidR="00BE6C12" w:rsidRPr="002E06C5" w:rsidRDefault="00BE6C12" w:rsidP="007C0E55">
      <w:pPr>
        <w:adjustRightInd w:val="0"/>
        <w:snapToGrid w:val="0"/>
        <w:spacing w:line="400" w:lineRule="atLeast"/>
        <w:ind w:leftChars="299" w:left="1467" w:hangingChars="225" w:hanging="630"/>
        <w:jc w:val="both"/>
        <w:rPr>
          <w:rFonts w:cs="Times New Roman"/>
          <w:szCs w:val="28"/>
        </w:rPr>
      </w:pPr>
      <w:r w:rsidRPr="002E06C5">
        <w:rPr>
          <w:rFonts w:cs="Times New Roman"/>
          <w:szCs w:val="28"/>
        </w:rPr>
        <w:t>(a)</w:t>
      </w:r>
      <w:r w:rsidRPr="002E06C5">
        <w:rPr>
          <w:rFonts w:cs="Times New Roman"/>
          <w:szCs w:val="28"/>
        </w:rPr>
        <w:tab/>
      </w:r>
      <w:r w:rsidRPr="002E06C5">
        <w:rPr>
          <w:rFonts w:cs="Times New Roman"/>
          <w:szCs w:val="28"/>
        </w:rPr>
        <w:t>提供更多公共租住房屋（公屋）單位，並確保合理運用現有資源；</w:t>
      </w:r>
    </w:p>
    <w:p w:rsidR="00BE6C12" w:rsidRPr="002E06C5" w:rsidRDefault="00BE6C12" w:rsidP="00BE6C12">
      <w:pPr>
        <w:adjustRightInd w:val="0"/>
        <w:snapToGrid w:val="0"/>
        <w:spacing w:line="400" w:lineRule="atLeast"/>
        <w:ind w:leftChars="300" w:left="1560" w:hangingChars="257" w:hanging="720"/>
        <w:jc w:val="both"/>
        <w:rPr>
          <w:rFonts w:cs="Times New Roman"/>
          <w:szCs w:val="28"/>
        </w:rPr>
      </w:pPr>
    </w:p>
    <w:p w:rsidR="00BE6C12" w:rsidRPr="002E06C5" w:rsidRDefault="00BE6C12" w:rsidP="007C0E55">
      <w:pPr>
        <w:adjustRightInd w:val="0"/>
        <w:snapToGrid w:val="0"/>
        <w:spacing w:line="400" w:lineRule="atLeast"/>
        <w:ind w:leftChars="299" w:left="1467" w:hangingChars="225" w:hanging="630"/>
        <w:jc w:val="both"/>
        <w:rPr>
          <w:rFonts w:cs="Times New Roman"/>
          <w:szCs w:val="28"/>
        </w:rPr>
      </w:pPr>
      <w:r w:rsidRPr="002E06C5">
        <w:rPr>
          <w:rFonts w:cs="Times New Roman"/>
          <w:szCs w:val="28"/>
        </w:rPr>
        <w:t>(b)</w:t>
      </w:r>
      <w:r w:rsidRPr="002E06C5">
        <w:rPr>
          <w:rFonts w:cs="Times New Roman"/>
          <w:szCs w:val="28"/>
        </w:rPr>
        <w:tab/>
      </w:r>
      <w:r w:rsidRPr="002E06C5">
        <w:rPr>
          <w:rFonts w:cs="Times New Roman"/>
          <w:szCs w:val="28"/>
        </w:rPr>
        <w:t>提供更多資助出售單位，進一步豐富資助自置居所的形式，促進現有單位的市場流轉；以及</w:t>
      </w:r>
    </w:p>
    <w:p w:rsidR="00BE6C12" w:rsidRPr="002E06C5" w:rsidRDefault="00BE6C12" w:rsidP="00BE6C12">
      <w:pPr>
        <w:adjustRightInd w:val="0"/>
        <w:snapToGrid w:val="0"/>
        <w:spacing w:line="400" w:lineRule="atLeast"/>
        <w:ind w:leftChars="300" w:left="1560" w:hangingChars="257" w:hanging="720"/>
        <w:jc w:val="both"/>
        <w:rPr>
          <w:rFonts w:cs="Times New Roman"/>
          <w:szCs w:val="28"/>
        </w:rPr>
      </w:pPr>
    </w:p>
    <w:p w:rsidR="00BE6C12" w:rsidRPr="002E06C5" w:rsidRDefault="00BE6C12" w:rsidP="007C0E55">
      <w:pPr>
        <w:adjustRightInd w:val="0"/>
        <w:snapToGrid w:val="0"/>
        <w:spacing w:line="400" w:lineRule="atLeast"/>
        <w:ind w:leftChars="299" w:left="1467" w:hangingChars="225" w:hanging="630"/>
        <w:jc w:val="both"/>
        <w:rPr>
          <w:rFonts w:cs="Times New Roman"/>
          <w:szCs w:val="28"/>
        </w:rPr>
      </w:pPr>
      <w:r w:rsidRPr="002E06C5">
        <w:rPr>
          <w:rFonts w:cs="Times New Roman"/>
          <w:szCs w:val="28"/>
        </w:rPr>
        <w:t>(c)</w:t>
      </w:r>
      <w:r w:rsidRPr="002E06C5">
        <w:rPr>
          <w:rFonts w:cs="Times New Roman"/>
          <w:szCs w:val="28"/>
        </w:rPr>
        <w:tab/>
      </w:r>
      <w:r w:rsidRPr="002E06C5">
        <w:rPr>
          <w:rFonts w:cs="Times New Roman"/>
          <w:szCs w:val="28"/>
        </w:rPr>
        <w:t>透過持續供應土地及適當的需求管理措施，穩定住宅物業市場，並在私人住宅物業銷售和租務上推動良好做法。</w:t>
      </w:r>
    </w:p>
    <w:p w:rsidR="00BE6C12" w:rsidRDefault="00BE6C12" w:rsidP="00BE6C12">
      <w:pPr>
        <w:snapToGrid w:val="0"/>
        <w:spacing w:line="400" w:lineRule="atLeast"/>
        <w:jc w:val="both"/>
      </w:pPr>
    </w:p>
    <w:p w:rsidR="00BE6C12" w:rsidRDefault="00BE6C12" w:rsidP="007C0E55">
      <w:pPr>
        <w:tabs>
          <w:tab w:val="left" w:pos="1440"/>
        </w:tabs>
        <w:adjustRightInd w:val="0"/>
        <w:snapToGrid w:val="0"/>
        <w:spacing w:line="400" w:lineRule="atLeast"/>
        <w:contextualSpacing/>
        <w:jc w:val="both"/>
        <w:rPr>
          <w:rFonts w:cs="Times New Roman"/>
          <w:szCs w:val="28"/>
        </w:rPr>
      </w:pPr>
      <w:r>
        <w:rPr>
          <w:rFonts w:cs="Times New Roman" w:hint="eastAsia"/>
          <w:szCs w:val="28"/>
        </w:rPr>
        <w:t>16.</w:t>
      </w:r>
      <w:r w:rsidR="007C0E55">
        <w:rPr>
          <w:rFonts w:cs="Times New Roman"/>
          <w:szCs w:val="28"/>
        </w:rPr>
        <w:tab/>
      </w:r>
      <w:r w:rsidRPr="002E06C5">
        <w:rPr>
          <w:rFonts w:cs="Times New Roman" w:hint="eastAsia"/>
          <w:szCs w:val="28"/>
        </w:rPr>
        <w:t>按照</w:t>
      </w:r>
      <w:r w:rsidRPr="002E06C5">
        <w:rPr>
          <w:rFonts w:cs="Times New Roman" w:hint="eastAsia"/>
          <w:szCs w:val="28"/>
        </w:rPr>
        <w:t>2018</w:t>
      </w:r>
      <w:r w:rsidRPr="002E06C5">
        <w:rPr>
          <w:rFonts w:cs="Times New Roman" w:hint="eastAsia"/>
          <w:szCs w:val="28"/>
        </w:rPr>
        <w:t>年</w:t>
      </w:r>
      <w:r w:rsidRPr="002E06C5">
        <w:rPr>
          <w:rFonts w:cs="Times New Roman" w:hint="eastAsia"/>
          <w:szCs w:val="28"/>
        </w:rPr>
        <w:t>12</w:t>
      </w:r>
      <w:r w:rsidRPr="002E06C5">
        <w:rPr>
          <w:rFonts w:cs="Times New Roman" w:hint="eastAsia"/>
          <w:szCs w:val="28"/>
        </w:rPr>
        <w:t>月公布的房屋需求推算，</w:t>
      </w:r>
      <w:r w:rsidRPr="002E06C5">
        <w:rPr>
          <w:rFonts w:cs="Times New Roman" w:hint="eastAsia"/>
          <w:szCs w:val="28"/>
        </w:rPr>
        <w:t>2019/20</w:t>
      </w:r>
      <w:r w:rsidRPr="002E06C5">
        <w:rPr>
          <w:rFonts w:cs="Times New Roman" w:hint="eastAsia"/>
          <w:szCs w:val="28"/>
        </w:rPr>
        <w:t>至</w:t>
      </w:r>
      <w:r w:rsidRPr="002E06C5">
        <w:rPr>
          <w:rFonts w:cs="Times New Roman" w:hint="eastAsia"/>
          <w:szCs w:val="28"/>
        </w:rPr>
        <w:t>2028/29</w:t>
      </w:r>
      <w:r w:rsidRPr="002E06C5">
        <w:rPr>
          <w:rFonts w:cs="Times New Roman" w:hint="eastAsia"/>
          <w:szCs w:val="28"/>
        </w:rPr>
        <w:t>年度十年期的總房屋供應目標為</w:t>
      </w:r>
      <w:r w:rsidRPr="002E06C5">
        <w:rPr>
          <w:rFonts w:cs="Times New Roman" w:hint="eastAsia"/>
          <w:szCs w:val="28"/>
        </w:rPr>
        <w:t>450 000</w:t>
      </w:r>
      <w:r w:rsidRPr="002E06C5">
        <w:rPr>
          <w:rFonts w:cs="Times New Roman" w:hint="eastAsia"/>
          <w:szCs w:val="28"/>
        </w:rPr>
        <w:t>個單位。政府將公私營房屋供應比例由</w:t>
      </w:r>
      <w:r w:rsidRPr="002E06C5">
        <w:rPr>
          <w:rFonts w:cs="Times New Roman" w:hint="eastAsia"/>
          <w:szCs w:val="28"/>
        </w:rPr>
        <w:t>60</w:t>
      </w:r>
      <w:r w:rsidRPr="002E06C5">
        <w:rPr>
          <w:rFonts w:cs="Times New Roman" w:hint="eastAsia"/>
          <w:szCs w:val="28"/>
        </w:rPr>
        <w:t>：</w:t>
      </w:r>
      <w:r w:rsidRPr="002E06C5">
        <w:rPr>
          <w:rFonts w:cs="Times New Roman" w:hint="eastAsia"/>
          <w:szCs w:val="28"/>
        </w:rPr>
        <w:t>40</w:t>
      </w:r>
      <w:r w:rsidRPr="002E06C5">
        <w:rPr>
          <w:rFonts w:cs="Times New Roman" w:hint="eastAsia"/>
          <w:szCs w:val="28"/>
        </w:rPr>
        <w:t>調整至</w:t>
      </w:r>
      <w:r w:rsidRPr="002E06C5">
        <w:rPr>
          <w:rFonts w:cs="Times New Roman" w:hint="eastAsia"/>
          <w:szCs w:val="28"/>
        </w:rPr>
        <w:t>70:30</w:t>
      </w:r>
      <w:r w:rsidRPr="002E06C5">
        <w:rPr>
          <w:rFonts w:cs="Times New Roman" w:hint="eastAsia"/>
          <w:szCs w:val="28"/>
        </w:rPr>
        <w:t>，即上述十年期的公營房屋目標為</w:t>
      </w:r>
      <w:r w:rsidRPr="002E06C5">
        <w:rPr>
          <w:rFonts w:cs="Times New Roman" w:hint="eastAsia"/>
          <w:szCs w:val="28"/>
        </w:rPr>
        <w:t>315 000</w:t>
      </w:r>
      <w:r w:rsidRPr="002E06C5">
        <w:rPr>
          <w:rFonts w:cs="Times New Roman" w:hint="eastAsia"/>
          <w:szCs w:val="28"/>
        </w:rPr>
        <w:t>個單位，私營房屋目標則為</w:t>
      </w:r>
      <w:r w:rsidRPr="002E06C5">
        <w:rPr>
          <w:rFonts w:cs="Times New Roman" w:hint="eastAsia"/>
          <w:szCs w:val="28"/>
        </w:rPr>
        <w:t>135 000</w:t>
      </w:r>
      <w:r w:rsidRPr="002E06C5">
        <w:rPr>
          <w:rFonts w:cs="Times New Roman" w:hint="eastAsia"/>
          <w:szCs w:val="28"/>
        </w:rPr>
        <w:t>個單位。</w:t>
      </w:r>
    </w:p>
    <w:p w:rsidR="00BE6C12" w:rsidRDefault="00BE6C12" w:rsidP="00BE6C12">
      <w:pPr>
        <w:snapToGrid w:val="0"/>
        <w:spacing w:line="400" w:lineRule="atLeast"/>
        <w:jc w:val="both"/>
        <w:rPr>
          <w:rFonts w:cs="Times New Roman"/>
          <w:szCs w:val="28"/>
        </w:rPr>
      </w:pPr>
    </w:p>
    <w:p w:rsidR="00BE6C12" w:rsidRPr="00CC5A54" w:rsidRDefault="00BE6C12" w:rsidP="007C0E55">
      <w:pPr>
        <w:tabs>
          <w:tab w:val="left" w:pos="1440"/>
        </w:tabs>
        <w:adjustRightInd w:val="0"/>
        <w:snapToGrid w:val="0"/>
        <w:spacing w:line="400" w:lineRule="atLeast"/>
        <w:contextualSpacing/>
        <w:jc w:val="both"/>
      </w:pPr>
      <w:r>
        <w:rPr>
          <w:rFonts w:cs="Times New Roman" w:hint="eastAsia"/>
          <w:szCs w:val="28"/>
        </w:rPr>
        <w:t>17.</w:t>
      </w:r>
      <w:r w:rsidR="007C0E55">
        <w:rPr>
          <w:rFonts w:cs="Times New Roman"/>
          <w:szCs w:val="28"/>
        </w:rPr>
        <w:tab/>
      </w:r>
      <w:r w:rsidRPr="002E06C5">
        <w:rPr>
          <w:rFonts w:cs="Times New Roman" w:hint="eastAsia"/>
          <w:szCs w:val="28"/>
        </w:rPr>
        <w:t>《行政長官</w:t>
      </w:r>
      <w:r w:rsidRPr="002E06C5">
        <w:rPr>
          <w:rFonts w:cs="Times New Roman" w:hint="eastAsia"/>
          <w:szCs w:val="28"/>
        </w:rPr>
        <w:t>2017</w:t>
      </w:r>
      <w:r w:rsidRPr="002E06C5">
        <w:rPr>
          <w:rFonts w:cs="Times New Roman" w:hint="eastAsia"/>
          <w:szCs w:val="28"/>
        </w:rPr>
        <w:t>年施政報告》中亦提出四個元素的房屋政策：第一，房屋並非簡單的商品，在尊重自由市場經濟的同時，政府有其不可或缺的角色；第二，以置業為主導，致力建立置業階梯，</w:t>
      </w:r>
      <w:r w:rsidRPr="002E06C5">
        <w:rPr>
          <w:rFonts w:cs="Times New Roman" w:hint="eastAsia"/>
          <w:szCs w:val="28"/>
        </w:rPr>
        <w:lastRenderedPageBreak/>
        <w:t>為不同收入家庭</w:t>
      </w:r>
      <w:proofErr w:type="gramStart"/>
      <w:r w:rsidRPr="002E06C5">
        <w:rPr>
          <w:rFonts w:cs="Times New Roman" w:hint="eastAsia"/>
          <w:szCs w:val="28"/>
        </w:rPr>
        <w:t>重燃置業</w:t>
      </w:r>
      <w:proofErr w:type="gramEnd"/>
      <w:r w:rsidRPr="002E06C5">
        <w:rPr>
          <w:rFonts w:cs="Times New Roman" w:hint="eastAsia"/>
          <w:szCs w:val="28"/>
        </w:rPr>
        <w:t>希望；第三，聚焦供應，在《長策》的基礎上，增加房屋單位；第四，在新供應未到位前，善用現有房屋資源，協助長時間</w:t>
      </w:r>
      <w:proofErr w:type="gramStart"/>
      <w:r w:rsidRPr="002E06C5">
        <w:rPr>
          <w:rFonts w:cs="Times New Roman" w:hint="eastAsia"/>
          <w:szCs w:val="28"/>
        </w:rPr>
        <w:t>輪候公屋</w:t>
      </w:r>
      <w:proofErr w:type="gramEnd"/>
      <w:r w:rsidRPr="002E06C5">
        <w:rPr>
          <w:rFonts w:cs="Times New Roman" w:hint="eastAsia"/>
          <w:szCs w:val="28"/>
        </w:rPr>
        <w:t>的家庭和居住環境惡劣的居民。增加公營房屋供應，為不同收入家庭重燃置業希望，是房屋政策的重要部分。政府推行的相關措施詳見</w:t>
      </w:r>
      <w:r w:rsidRPr="002D4826">
        <w:rPr>
          <w:rFonts w:cs="Times New Roman" w:hint="eastAsia"/>
          <w:b/>
          <w:szCs w:val="28"/>
        </w:rPr>
        <w:t>附</w:t>
      </w:r>
      <w:r w:rsidRPr="002D4826">
        <w:rPr>
          <w:rFonts w:cs="Times New Roman" w:hint="eastAsia"/>
          <w:b/>
          <w:szCs w:val="28"/>
          <w:lang w:eastAsia="zh-HK"/>
        </w:rPr>
        <w:t>錄</w:t>
      </w:r>
      <w:r w:rsidRPr="002D4826">
        <w:rPr>
          <w:rFonts w:cs="Times New Roman" w:hint="eastAsia"/>
          <w:b/>
          <w:szCs w:val="28"/>
        </w:rPr>
        <w:t>2</w:t>
      </w:r>
      <w:r w:rsidRPr="002E06C5">
        <w:rPr>
          <w:rFonts w:cs="Times New Roman" w:hint="eastAsia"/>
          <w:szCs w:val="28"/>
        </w:rPr>
        <w:t>。</w:t>
      </w:r>
    </w:p>
    <w:p w:rsidR="00BE6C12" w:rsidRDefault="00BE6C12" w:rsidP="00BE6C12">
      <w:pPr>
        <w:snapToGrid w:val="0"/>
        <w:spacing w:line="400" w:lineRule="atLeast"/>
        <w:jc w:val="both"/>
      </w:pPr>
    </w:p>
    <w:p w:rsidR="00BE6C12" w:rsidRDefault="00BE6C12" w:rsidP="00BE6C12">
      <w:pPr>
        <w:widowControl/>
      </w:pPr>
      <w:r>
        <w:br w:type="page"/>
      </w:r>
    </w:p>
    <w:p w:rsidR="00BE6C12" w:rsidRPr="00024DAC" w:rsidRDefault="00BE6C12" w:rsidP="00BE6C12">
      <w:pPr>
        <w:widowControl/>
        <w:jc w:val="right"/>
        <w:rPr>
          <w:b/>
          <w:szCs w:val="28"/>
          <w:lang w:eastAsia="zh-HK"/>
        </w:rPr>
      </w:pPr>
      <w:r w:rsidRPr="00024DAC">
        <w:rPr>
          <w:rFonts w:hint="eastAsia"/>
          <w:b/>
          <w:szCs w:val="28"/>
          <w:lang w:eastAsia="zh-HK"/>
        </w:rPr>
        <w:lastRenderedPageBreak/>
        <w:t>附錄</w:t>
      </w:r>
      <w:r w:rsidRPr="00024DAC">
        <w:rPr>
          <w:rFonts w:cs="Times New Roman"/>
          <w:b/>
          <w:szCs w:val="28"/>
        </w:rPr>
        <w:t>1</w:t>
      </w:r>
    </w:p>
    <w:p w:rsidR="00BE6C12" w:rsidRDefault="00BE6C12" w:rsidP="00BE6C12">
      <w:pPr>
        <w:pStyle w:val="2"/>
        <w:tabs>
          <w:tab w:val="left" w:pos="1440"/>
        </w:tabs>
        <w:adjustRightInd w:val="0"/>
        <w:snapToGrid w:val="0"/>
        <w:spacing w:after="0" w:line="400" w:lineRule="atLeast"/>
        <w:jc w:val="center"/>
        <w:rPr>
          <w:rFonts w:eastAsia="標楷體"/>
          <w:b/>
          <w:sz w:val="28"/>
          <w:szCs w:val="28"/>
          <w:lang w:eastAsia="zh-HK"/>
        </w:rPr>
      </w:pPr>
    </w:p>
    <w:p w:rsidR="00BE6C12" w:rsidRDefault="00BE6C12" w:rsidP="00BE6C12">
      <w:pPr>
        <w:snapToGrid w:val="0"/>
        <w:spacing w:line="400" w:lineRule="atLeast"/>
        <w:jc w:val="center"/>
        <w:rPr>
          <w:b/>
          <w:szCs w:val="28"/>
        </w:rPr>
      </w:pPr>
      <w:r w:rsidRPr="002E06C5">
        <w:rPr>
          <w:rFonts w:hint="eastAsia"/>
          <w:b/>
          <w:szCs w:val="28"/>
        </w:rPr>
        <w:t>確保食水安全衞生、推廣節約用水及保護水資源的工作</w:t>
      </w:r>
    </w:p>
    <w:p w:rsidR="00BE6C12" w:rsidRDefault="00BE6C12" w:rsidP="00BE6C12">
      <w:pPr>
        <w:snapToGrid w:val="0"/>
        <w:spacing w:line="400" w:lineRule="atLeast"/>
        <w:jc w:val="center"/>
        <w:rPr>
          <w:b/>
          <w:szCs w:val="28"/>
        </w:rPr>
      </w:pPr>
    </w:p>
    <w:p w:rsidR="00BE6C12" w:rsidRPr="002E06C5" w:rsidRDefault="00BE6C12" w:rsidP="00BE6C12">
      <w:pPr>
        <w:tabs>
          <w:tab w:val="left" w:pos="1440"/>
        </w:tabs>
        <w:adjustRightInd w:val="0"/>
        <w:snapToGrid w:val="0"/>
        <w:spacing w:line="400" w:lineRule="atLeast"/>
        <w:jc w:val="both"/>
        <w:rPr>
          <w:rFonts w:cs="Times New Roman"/>
          <w:szCs w:val="28"/>
          <w:u w:val="single"/>
        </w:rPr>
      </w:pPr>
      <w:r w:rsidRPr="002E06C5">
        <w:rPr>
          <w:rFonts w:cs="Times New Roman"/>
          <w:szCs w:val="28"/>
          <w:u w:val="single"/>
        </w:rPr>
        <w:t>水的質量</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rPr>
      </w:pPr>
      <w:r w:rsidRPr="002E06C5">
        <w:rPr>
          <w:rFonts w:cs="Times New Roman"/>
          <w:szCs w:val="28"/>
        </w:rPr>
        <w:t>1.</w:t>
      </w:r>
      <w:r w:rsidRPr="002E06C5">
        <w:rPr>
          <w:rFonts w:cs="Times New Roman"/>
          <w:szCs w:val="28"/>
        </w:rPr>
        <w:tab/>
      </w:r>
      <w:r w:rsidRPr="002E06C5">
        <w:rPr>
          <w:rFonts w:cs="Times New Roman"/>
          <w:szCs w:val="28"/>
        </w:rPr>
        <w:t>所有原水，包括由中國廣東省輸入的東江水及本地水塘收集的原水，均經適當及嚴格處理，確保經處理後的食水水質清潔、安全和衞生，才供應給用戶。經處理後的食水，水質均完全符合香港食水標準。水務署已根據世界衞生組織的《飲用水水質準則》制訂了包含「水安全計劃」的「食水水質管理系統」，採用預防性風險管理方式及多重屏障體系，提供一個全面的管理框架，保障從來源經過處理程序後輸送給用戶的食水水質，確保水質可供安全飲用。水務署亦推出了「建築物水安全計劃」的指引及範本，協助業主及物業管理人實施水安全計劃，以進一步保障大廈內的食水安全。</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rPr>
      </w:pPr>
      <w:r w:rsidRPr="002E06C5">
        <w:rPr>
          <w:rFonts w:cs="Times New Roman"/>
          <w:szCs w:val="28"/>
        </w:rPr>
        <w:t>2.</w:t>
      </w:r>
      <w:r w:rsidRPr="002E06C5">
        <w:rPr>
          <w:rFonts w:cs="Times New Roman"/>
          <w:szCs w:val="28"/>
        </w:rPr>
        <w:tab/>
      </w:r>
      <w:r w:rsidRPr="002E06C5">
        <w:rPr>
          <w:rFonts w:cs="Times New Roman"/>
          <w:szCs w:val="28"/>
        </w:rPr>
        <w:t>此外，水務署通過全面的水質監測計劃分別從集水區、進水口、木湖抽水站的東江水接收點、水塘、濾水廠、配水庫、食水分配系統，以及用戶的水龍頭抽取水樣本進行物理、化學、細菌學、生物學和輻射學方面的化驗，從而有系統地監測整個食水處理過程、供水及分配系統的水質，確保香港食水安全。</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rPr>
      </w:pPr>
      <w:r w:rsidRPr="002E06C5">
        <w:rPr>
          <w:rFonts w:cs="Times New Roman"/>
          <w:szCs w:val="28"/>
        </w:rPr>
        <w:t>3.</w:t>
      </w:r>
      <w:r w:rsidRPr="002E06C5">
        <w:rPr>
          <w:rFonts w:cs="Times New Roman"/>
          <w:szCs w:val="28"/>
        </w:rPr>
        <w:tab/>
      </w:r>
      <w:r w:rsidRPr="002E06C5">
        <w:rPr>
          <w:rFonts w:cs="Times New Roman"/>
          <w:szCs w:val="28"/>
        </w:rPr>
        <w:t>政府組成了兩個委員會，分別就食水安全及供水事宜向政府提供意見。「食水安全諮詢委員會」於</w:t>
      </w:r>
      <w:r w:rsidRPr="002E06C5">
        <w:rPr>
          <w:rFonts w:cs="Times New Roman"/>
          <w:szCs w:val="28"/>
        </w:rPr>
        <w:t>2018</w:t>
      </w:r>
      <w:r w:rsidRPr="002E06C5">
        <w:rPr>
          <w:rFonts w:cs="Times New Roman"/>
          <w:szCs w:val="28"/>
        </w:rPr>
        <w:t>年</w:t>
      </w:r>
      <w:r w:rsidRPr="002E06C5">
        <w:rPr>
          <w:rFonts w:cs="Times New Roman"/>
          <w:szCs w:val="28"/>
        </w:rPr>
        <w:t>1</w:t>
      </w:r>
      <w:r w:rsidRPr="002E06C5">
        <w:rPr>
          <w:rFonts w:cs="Times New Roman"/>
          <w:szCs w:val="28"/>
        </w:rPr>
        <w:t>月成立，由相關業界的學者及專家組成，就各項食水安全事宜向政府提供意見；而「水務諮詢委員會」</w:t>
      </w:r>
      <w:r w:rsidRPr="002E06C5">
        <w:rPr>
          <w:rFonts w:cs="Times New Roman"/>
          <w:szCs w:val="28"/>
          <w:lang w:val="en-GB"/>
        </w:rPr>
        <w:t>（</w:t>
      </w:r>
      <w:r w:rsidRPr="002E06C5">
        <w:rPr>
          <w:rFonts w:cs="Times New Roman"/>
          <w:szCs w:val="28"/>
        </w:rPr>
        <w:t>前身為「水質事務諮詢委員會」</w:t>
      </w:r>
      <w:r w:rsidRPr="002E06C5">
        <w:rPr>
          <w:rFonts w:cs="Times New Roman"/>
          <w:szCs w:val="28"/>
          <w:lang w:val="en-GB"/>
        </w:rPr>
        <w:t>）</w:t>
      </w:r>
      <w:r w:rsidRPr="002E06C5">
        <w:rPr>
          <w:rFonts w:cs="Times New Roman"/>
          <w:szCs w:val="28"/>
        </w:rPr>
        <w:t>則於</w:t>
      </w:r>
      <w:r w:rsidRPr="002E06C5">
        <w:rPr>
          <w:rFonts w:cs="Times New Roman"/>
          <w:szCs w:val="28"/>
        </w:rPr>
        <w:t>2000</w:t>
      </w:r>
      <w:r w:rsidRPr="002E06C5">
        <w:rPr>
          <w:rFonts w:cs="Times New Roman"/>
          <w:szCs w:val="28"/>
        </w:rPr>
        <w:t>年</w:t>
      </w:r>
      <w:r w:rsidRPr="002E06C5">
        <w:rPr>
          <w:rFonts w:cs="Times New Roman"/>
          <w:szCs w:val="28"/>
        </w:rPr>
        <w:t>4</w:t>
      </w:r>
      <w:r w:rsidRPr="002E06C5">
        <w:rPr>
          <w:rFonts w:cs="Times New Roman"/>
          <w:szCs w:val="28"/>
        </w:rPr>
        <w:t>月成立，成員包括學者及專業人士、區議員、環保人士和有關政府決策局及部門的人員，就供水事宜，包括水資源、管網管理、規管內部供水系統、節約用水、及其它運作事宜等向政府提供意見。當中，有關香港木湖原水抽水站接收之東江水水質監測數據，經「水務諮詢委員會」查考及審閱後，每半年一次在水務署網頁上發放，供市民參閱。</w:t>
      </w:r>
    </w:p>
    <w:p w:rsidR="00BE6C12" w:rsidRDefault="00BE6C12" w:rsidP="00BE6C12">
      <w:pPr>
        <w:tabs>
          <w:tab w:val="left" w:pos="1440"/>
        </w:tabs>
        <w:adjustRightInd w:val="0"/>
        <w:snapToGrid w:val="0"/>
        <w:spacing w:line="400" w:lineRule="atLeast"/>
        <w:jc w:val="both"/>
        <w:rPr>
          <w:rFonts w:cs="Times New Roman"/>
          <w:szCs w:val="28"/>
        </w:rPr>
      </w:pPr>
    </w:p>
    <w:p w:rsidR="00BE6C12"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u w:val="single"/>
        </w:rPr>
      </w:pPr>
      <w:r w:rsidRPr="002E06C5">
        <w:rPr>
          <w:rFonts w:cs="Times New Roman"/>
          <w:szCs w:val="28"/>
          <w:u w:val="single"/>
        </w:rPr>
        <w:lastRenderedPageBreak/>
        <w:t>節約用水</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rPr>
      </w:pPr>
      <w:r w:rsidRPr="002E06C5">
        <w:rPr>
          <w:rFonts w:cs="Times New Roman"/>
          <w:szCs w:val="28"/>
        </w:rPr>
        <w:t>4.</w:t>
      </w:r>
      <w:r w:rsidRPr="002E06C5">
        <w:rPr>
          <w:rFonts w:cs="Times New Roman"/>
          <w:szCs w:val="28"/>
        </w:rPr>
        <w:tab/>
      </w:r>
      <w:r w:rsidRPr="002E06C5">
        <w:rPr>
          <w:rFonts w:cs="Times New Roman"/>
          <w:szCs w:val="28"/>
        </w:rPr>
        <w:t>水務署多年來致力於社區推廣節約用水，包括推出惜水教育及設立永久水資源教育中心，在校園播下惜水種子；與高用水量行業合作（如飲食業及酒店業），制訂用水效益最佳實務指引，以推廣高效益用水；為公共屋邨住戶的水龍頭或花灑上安裝節流器，及免費派發節流器予市民；在政府大樓和學校加裝節水設備；推出自動讀錶系統，讓市民能夠適時掌握用水資料。</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rPr>
      </w:pPr>
      <w:r w:rsidRPr="002E06C5">
        <w:rPr>
          <w:rFonts w:cs="Times New Roman"/>
          <w:szCs w:val="28"/>
        </w:rPr>
        <w:t>5.</w:t>
      </w:r>
      <w:r w:rsidRPr="002E06C5">
        <w:rPr>
          <w:rFonts w:cs="Times New Roman"/>
          <w:szCs w:val="28"/>
        </w:rPr>
        <w:tab/>
        <w:t>“</w:t>
      </w:r>
      <w:r w:rsidRPr="002E06C5">
        <w:rPr>
          <w:rFonts w:cs="Times New Roman"/>
          <w:szCs w:val="28"/>
        </w:rPr>
        <w:t>用水效益標籤計劃</w:t>
      </w:r>
      <w:r w:rsidRPr="002E06C5">
        <w:rPr>
          <w:rFonts w:cs="Times New Roman"/>
          <w:szCs w:val="28"/>
        </w:rPr>
        <w:t>”</w:t>
      </w:r>
      <w:r w:rsidRPr="002E06C5">
        <w:rPr>
          <w:rFonts w:cs="Times New Roman"/>
          <w:szCs w:val="28"/>
        </w:rPr>
        <w:t>是政府為倡議節約用水而推行的其中一項重要措施，目的是要讓市民了解喉具和器具的耗水量及用水效益，藉此提升市民的節水意識。水務署計劃透過修訂法例，強制實施該標籤計劃，以進一步促進節約用水。與此同時，水務署亦牽頭為政府樓宇及學校的喉具裝置節水設備，以樹立榜樣。</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tabs>
          <w:tab w:val="left" w:pos="1440"/>
        </w:tabs>
        <w:adjustRightInd w:val="0"/>
        <w:snapToGrid w:val="0"/>
        <w:spacing w:line="400" w:lineRule="atLeast"/>
        <w:jc w:val="both"/>
        <w:rPr>
          <w:rFonts w:cs="Times New Roman"/>
          <w:szCs w:val="28"/>
          <w:u w:val="single"/>
        </w:rPr>
      </w:pPr>
      <w:r w:rsidRPr="002E06C5">
        <w:rPr>
          <w:rFonts w:cs="Times New Roman"/>
          <w:szCs w:val="28"/>
          <w:u w:val="single"/>
        </w:rPr>
        <w:t>保護水資源</w:t>
      </w:r>
    </w:p>
    <w:p w:rsidR="00BE6C12" w:rsidRPr="002E06C5" w:rsidRDefault="00BE6C12" w:rsidP="00BE6C12">
      <w:pPr>
        <w:tabs>
          <w:tab w:val="left" w:pos="1440"/>
        </w:tabs>
        <w:adjustRightInd w:val="0"/>
        <w:snapToGrid w:val="0"/>
        <w:spacing w:line="400" w:lineRule="atLeast"/>
        <w:jc w:val="both"/>
        <w:rPr>
          <w:rFonts w:cs="Times New Roman"/>
          <w:szCs w:val="28"/>
        </w:rPr>
      </w:pPr>
    </w:p>
    <w:p w:rsidR="00BE6C12" w:rsidRPr="002E06C5" w:rsidRDefault="00BE6C12" w:rsidP="00BE6C12">
      <w:pPr>
        <w:pStyle w:val="2"/>
        <w:tabs>
          <w:tab w:val="left" w:pos="1440"/>
        </w:tabs>
        <w:adjustRightInd w:val="0"/>
        <w:snapToGrid w:val="0"/>
        <w:spacing w:after="0" w:line="400" w:lineRule="atLeast"/>
        <w:jc w:val="both"/>
        <w:rPr>
          <w:rFonts w:eastAsia="標楷體"/>
          <w:sz w:val="28"/>
          <w:szCs w:val="28"/>
        </w:rPr>
      </w:pPr>
      <w:r w:rsidRPr="002E06C5">
        <w:rPr>
          <w:rFonts w:eastAsia="標楷體"/>
          <w:sz w:val="28"/>
          <w:szCs w:val="28"/>
        </w:rPr>
        <w:t>6.</w:t>
      </w:r>
      <w:r w:rsidRPr="002E06C5">
        <w:rPr>
          <w:rFonts w:eastAsia="標楷體"/>
          <w:sz w:val="28"/>
          <w:szCs w:val="28"/>
        </w:rPr>
        <w:tab/>
      </w:r>
      <w:r w:rsidRPr="002E06C5">
        <w:rPr>
          <w:rFonts w:eastAsia="標楷體"/>
          <w:sz w:val="28"/>
          <w:szCs w:val="28"/>
        </w:rPr>
        <w:t>收集本地雨水的集水區是寶貴的資源。透過密切監測和控制集水區內的發展活動，它們受到保護得以免遭污染。香港已訂有法例，保護本地水資源，包括禁止污染水務設施的食水（《水務設施條例》（第</w:t>
      </w:r>
      <w:r w:rsidRPr="002E06C5">
        <w:rPr>
          <w:rFonts w:eastAsia="標楷體"/>
          <w:sz w:val="28"/>
          <w:szCs w:val="28"/>
        </w:rPr>
        <w:t>102</w:t>
      </w:r>
      <w:r w:rsidRPr="002E06C5">
        <w:rPr>
          <w:rFonts w:eastAsia="標楷體"/>
          <w:sz w:val="28"/>
          <w:szCs w:val="28"/>
        </w:rPr>
        <w:t>章）），以及管制香港水域的污染（《水污染管制條例》（第</w:t>
      </w:r>
      <w:r w:rsidRPr="002E06C5">
        <w:rPr>
          <w:rFonts w:eastAsia="標楷體"/>
          <w:sz w:val="28"/>
          <w:szCs w:val="28"/>
        </w:rPr>
        <w:t>358</w:t>
      </w:r>
      <w:r w:rsidRPr="002E06C5">
        <w:rPr>
          <w:rFonts w:eastAsia="標楷體"/>
          <w:sz w:val="28"/>
          <w:szCs w:val="28"/>
        </w:rPr>
        <w:t>章））。</w:t>
      </w:r>
    </w:p>
    <w:p w:rsidR="00BE6C12" w:rsidRDefault="00BE6C12" w:rsidP="00BE6C12">
      <w:pPr>
        <w:pStyle w:val="2"/>
        <w:tabs>
          <w:tab w:val="left" w:pos="1440"/>
        </w:tabs>
        <w:adjustRightInd w:val="0"/>
        <w:snapToGrid w:val="0"/>
        <w:spacing w:after="0" w:line="400" w:lineRule="atLeast"/>
        <w:jc w:val="both"/>
        <w:rPr>
          <w:rFonts w:eastAsia="標楷體"/>
          <w:sz w:val="28"/>
          <w:szCs w:val="28"/>
        </w:rPr>
      </w:pPr>
    </w:p>
    <w:p w:rsidR="00BE6C12" w:rsidRDefault="00BE6C12" w:rsidP="00BE6C12">
      <w:pPr>
        <w:widowControl/>
        <w:rPr>
          <w:rFonts w:cs="Times New Roman"/>
          <w:kern w:val="0"/>
          <w:szCs w:val="28"/>
        </w:rPr>
      </w:pPr>
      <w:r>
        <w:rPr>
          <w:szCs w:val="28"/>
        </w:rPr>
        <w:br w:type="page"/>
      </w:r>
    </w:p>
    <w:p w:rsidR="00BE6C12" w:rsidRPr="00024DAC" w:rsidRDefault="00BE6C12" w:rsidP="00BE6C12">
      <w:pPr>
        <w:widowControl/>
        <w:jc w:val="right"/>
        <w:rPr>
          <w:b/>
          <w:szCs w:val="28"/>
          <w:lang w:eastAsia="zh-HK"/>
        </w:rPr>
      </w:pPr>
      <w:r w:rsidRPr="00024DAC">
        <w:rPr>
          <w:rFonts w:hint="eastAsia"/>
          <w:b/>
          <w:szCs w:val="28"/>
          <w:lang w:eastAsia="zh-HK"/>
        </w:rPr>
        <w:lastRenderedPageBreak/>
        <w:t>附錄</w:t>
      </w:r>
      <w:r w:rsidRPr="00024DAC">
        <w:rPr>
          <w:rFonts w:cs="Times New Roman"/>
          <w:b/>
          <w:szCs w:val="28"/>
        </w:rPr>
        <w:t>2</w:t>
      </w:r>
    </w:p>
    <w:p w:rsidR="00BE6C12" w:rsidRDefault="00BE6C12" w:rsidP="00BE6C12">
      <w:pPr>
        <w:pStyle w:val="2"/>
        <w:tabs>
          <w:tab w:val="left" w:pos="1440"/>
        </w:tabs>
        <w:adjustRightInd w:val="0"/>
        <w:snapToGrid w:val="0"/>
        <w:spacing w:after="0" w:line="400" w:lineRule="atLeast"/>
        <w:jc w:val="center"/>
        <w:rPr>
          <w:rFonts w:eastAsia="標楷體"/>
          <w:b/>
          <w:sz w:val="28"/>
          <w:szCs w:val="28"/>
          <w:lang w:eastAsia="zh-HK"/>
        </w:rPr>
      </w:pPr>
    </w:p>
    <w:p w:rsidR="00BE6C12" w:rsidRDefault="00BE6C12" w:rsidP="00BE6C12">
      <w:pPr>
        <w:snapToGrid w:val="0"/>
        <w:spacing w:line="400" w:lineRule="atLeast"/>
        <w:jc w:val="center"/>
        <w:rPr>
          <w:b/>
          <w:szCs w:val="28"/>
        </w:rPr>
      </w:pPr>
      <w:r>
        <w:rPr>
          <w:rFonts w:hint="eastAsia"/>
          <w:b/>
          <w:szCs w:val="28"/>
          <w:lang w:eastAsia="zh-HK"/>
        </w:rPr>
        <w:t>增加</w:t>
      </w:r>
      <w:r>
        <w:rPr>
          <w:rFonts w:hint="eastAsia"/>
          <w:b/>
          <w:szCs w:val="28"/>
        </w:rPr>
        <w:t>房</w:t>
      </w:r>
      <w:r>
        <w:rPr>
          <w:rFonts w:hint="eastAsia"/>
          <w:b/>
          <w:szCs w:val="28"/>
          <w:lang w:eastAsia="zh-HK"/>
        </w:rPr>
        <w:t>屋供</w:t>
      </w:r>
      <w:r>
        <w:rPr>
          <w:rFonts w:hint="eastAsia"/>
          <w:b/>
          <w:szCs w:val="28"/>
        </w:rPr>
        <w:t>應</w:t>
      </w:r>
      <w:r>
        <w:rPr>
          <w:rFonts w:hint="eastAsia"/>
          <w:b/>
          <w:szCs w:val="28"/>
          <w:lang w:eastAsia="zh-HK"/>
        </w:rPr>
        <w:t>的有關措</w:t>
      </w:r>
      <w:r>
        <w:rPr>
          <w:rFonts w:hint="eastAsia"/>
          <w:b/>
          <w:szCs w:val="28"/>
        </w:rPr>
        <w:t>施</w:t>
      </w:r>
    </w:p>
    <w:p w:rsidR="00BE6C12" w:rsidRDefault="00BE6C12" w:rsidP="00BE6C12">
      <w:pPr>
        <w:snapToGrid w:val="0"/>
        <w:spacing w:line="400" w:lineRule="atLeast"/>
        <w:jc w:val="center"/>
        <w:rPr>
          <w:b/>
          <w:szCs w:val="28"/>
        </w:rPr>
      </w:pPr>
    </w:p>
    <w:p w:rsidR="00BE6C12" w:rsidRPr="00A336CB" w:rsidRDefault="00BE6C12" w:rsidP="00BE6C12">
      <w:pPr>
        <w:tabs>
          <w:tab w:val="left" w:pos="1440"/>
        </w:tabs>
        <w:adjustRightInd w:val="0"/>
        <w:snapToGrid w:val="0"/>
        <w:spacing w:line="400" w:lineRule="atLeast"/>
        <w:jc w:val="both"/>
        <w:rPr>
          <w:rFonts w:cs="Times New Roman"/>
          <w:szCs w:val="28"/>
          <w:u w:val="single"/>
        </w:rPr>
      </w:pPr>
      <w:r w:rsidRPr="00A336CB">
        <w:rPr>
          <w:rFonts w:cs="Times New Roman" w:hint="eastAsia"/>
          <w:szCs w:val="28"/>
          <w:u w:val="single"/>
        </w:rPr>
        <w:t>增加公營房屋供應</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1.</w:t>
      </w:r>
      <w:r w:rsidRPr="00A336CB">
        <w:rPr>
          <w:rFonts w:cs="Times New Roman"/>
          <w:szCs w:val="28"/>
        </w:rPr>
        <w:tab/>
      </w:r>
      <w:r w:rsidRPr="00A336CB">
        <w:rPr>
          <w:rFonts w:cs="Times New Roman" w:hint="eastAsia"/>
          <w:szCs w:val="28"/>
        </w:rPr>
        <w:t>根據</w:t>
      </w:r>
      <w:r w:rsidRPr="00A336CB">
        <w:rPr>
          <w:rFonts w:cs="Times New Roman"/>
          <w:szCs w:val="28"/>
        </w:rPr>
        <w:t>2018</w:t>
      </w:r>
      <w:r w:rsidRPr="00A336CB">
        <w:rPr>
          <w:rFonts w:cs="Times New Roman" w:hint="eastAsia"/>
          <w:szCs w:val="28"/>
        </w:rPr>
        <w:t>年</w:t>
      </w:r>
      <w:r w:rsidRPr="00A336CB">
        <w:rPr>
          <w:rFonts w:cs="Times New Roman"/>
          <w:szCs w:val="28"/>
        </w:rPr>
        <w:t>12</w:t>
      </w:r>
      <w:r w:rsidRPr="00A336CB">
        <w:rPr>
          <w:rFonts w:cs="Times New Roman" w:hint="eastAsia"/>
          <w:szCs w:val="28"/>
        </w:rPr>
        <w:t>月的預測，在</w:t>
      </w:r>
      <w:r w:rsidRPr="00A336CB">
        <w:rPr>
          <w:rFonts w:cs="Times New Roman"/>
          <w:szCs w:val="28"/>
        </w:rPr>
        <w:t>2018/19</w:t>
      </w:r>
      <w:r w:rsidRPr="00A336CB">
        <w:rPr>
          <w:rFonts w:cs="Times New Roman" w:hint="eastAsia"/>
          <w:szCs w:val="28"/>
        </w:rPr>
        <w:t>至</w:t>
      </w:r>
      <w:r w:rsidRPr="00A336CB">
        <w:rPr>
          <w:rFonts w:cs="Times New Roman"/>
          <w:szCs w:val="28"/>
        </w:rPr>
        <w:t>2022/23</w:t>
      </w:r>
      <w:r w:rsidRPr="00A336CB">
        <w:rPr>
          <w:rFonts w:cs="Times New Roman" w:hint="eastAsia"/>
          <w:szCs w:val="28"/>
        </w:rPr>
        <w:t>年度的五年期内，預計香港房屋委員會（房委會）和香港房屋協會的公營房屋總建屋量合共約為</w:t>
      </w:r>
      <w:r w:rsidRPr="00A336CB">
        <w:rPr>
          <w:rFonts w:cs="Times New Roman"/>
          <w:szCs w:val="28"/>
        </w:rPr>
        <w:t>100 400</w:t>
      </w:r>
      <w:r w:rsidRPr="00A336CB">
        <w:rPr>
          <w:rFonts w:cs="Times New Roman" w:hint="eastAsia"/>
          <w:szCs w:val="28"/>
        </w:rPr>
        <w:t>個單位，當中包括約</w:t>
      </w:r>
      <w:r w:rsidRPr="00A336CB">
        <w:rPr>
          <w:rFonts w:cs="Times New Roman"/>
          <w:szCs w:val="28"/>
        </w:rPr>
        <w:t>74 200</w:t>
      </w:r>
      <w:r w:rsidRPr="00A336CB">
        <w:rPr>
          <w:rFonts w:cs="Times New Roman" w:hint="eastAsia"/>
          <w:szCs w:val="28"/>
        </w:rPr>
        <w:t>個公屋／「綠表置居計劃」（「綠置居」）單位和約</w:t>
      </w:r>
      <w:r w:rsidRPr="00A336CB">
        <w:rPr>
          <w:rFonts w:cs="Times New Roman"/>
          <w:szCs w:val="28"/>
        </w:rPr>
        <w:t>26 300</w:t>
      </w:r>
      <w:r w:rsidRPr="00A336CB">
        <w:rPr>
          <w:rFonts w:cs="Times New Roman" w:hint="eastAsia"/>
          <w:szCs w:val="28"/>
        </w:rPr>
        <w:t>個其他資助出售單位。上述</w:t>
      </w:r>
      <w:r w:rsidRPr="00A336CB">
        <w:rPr>
          <w:rFonts w:cs="Times New Roman"/>
          <w:szCs w:val="28"/>
        </w:rPr>
        <w:t>2018/19</w:t>
      </w:r>
      <w:r w:rsidRPr="00A336CB">
        <w:rPr>
          <w:rFonts w:cs="Times New Roman" w:hint="eastAsia"/>
          <w:szCs w:val="28"/>
        </w:rPr>
        <w:t>起五年期的預計公營房屋總建屋量，與之前四個五年期相比，見持續增長（見下表）：</w:t>
      </w:r>
    </w:p>
    <w:p w:rsidR="00BE6C12" w:rsidRPr="00A336CB" w:rsidRDefault="00BE6C12" w:rsidP="00BE6C12">
      <w:pPr>
        <w:tabs>
          <w:tab w:val="left" w:pos="1440"/>
        </w:tabs>
        <w:adjustRightInd w:val="0"/>
        <w:snapToGrid w:val="0"/>
        <w:spacing w:line="400" w:lineRule="atLeast"/>
        <w:jc w:val="both"/>
        <w:rPr>
          <w:rFonts w:cs="Times New Roman"/>
          <w:szCs w:val="28"/>
        </w:rPr>
      </w:pP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4"/>
        <w:gridCol w:w="4819"/>
      </w:tblGrid>
      <w:tr w:rsidR="00BE6C12" w:rsidRPr="00A336CB" w:rsidTr="00E22C88">
        <w:trPr>
          <w:cantSplit/>
          <w:trHeight w:val="454"/>
          <w:jc w:val="center"/>
        </w:trPr>
        <w:tc>
          <w:tcPr>
            <w:tcW w:w="3124" w:type="dxa"/>
            <w:shd w:val="clear" w:color="auto" w:fill="auto"/>
            <w:vAlign w:val="center"/>
          </w:tcPr>
          <w:p w:rsidR="00BE6C12" w:rsidRPr="00A336CB" w:rsidRDefault="00BE6C12" w:rsidP="00E22C88">
            <w:pPr>
              <w:tabs>
                <w:tab w:val="left" w:pos="1440"/>
              </w:tabs>
              <w:adjustRightInd w:val="0"/>
              <w:snapToGrid w:val="0"/>
              <w:jc w:val="center"/>
              <w:rPr>
                <w:rFonts w:ascii="SimSun" w:eastAsia="SimSun" w:hAnsi="SimSun" w:cs="Times New Roman"/>
                <w:b/>
                <w:kern w:val="0"/>
                <w:szCs w:val="28"/>
                <w:lang w:eastAsia="zh-CN"/>
              </w:rPr>
            </w:pPr>
            <w:r w:rsidRPr="00A336CB">
              <w:rPr>
                <w:rFonts w:cs="Times New Roman" w:hint="eastAsia"/>
                <w:b/>
                <w:kern w:val="0"/>
                <w:szCs w:val="28"/>
              </w:rPr>
              <w:t>五年期</w:t>
            </w:r>
          </w:p>
        </w:tc>
        <w:tc>
          <w:tcPr>
            <w:tcW w:w="4819" w:type="dxa"/>
            <w:vAlign w:val="center"/>
          </w:tcPr>
          <w:p w:rsidR="00BE6C12" w:rsidRPr="00A336CB" w:rsidRDefault="00BE6C12" w:rsidP="00E22C88">
            <w:pPr>
              <w:tabs>
                <w:tab w:val="left" w:pos="1440"/>
              </w:tabs>
              <w:adjustRightInd w:val="0"/>
              <w:snapToGrid w:val="0"/>
              <w:jc w:val="center"/>
              <w:rPr>
                <w:rFonts w:eastAsia="新細明體" w:cs="Times New Roman"/>
                <w:b/>
                <w:kern w:val="0"/>
                <w:szCs w:val="28"/>
              </w:rPr>
            </w:pPr>
            <w:r w:rsidRPr="00A336CB">
              <w:rPr>
                <w:rFonts w:cs="Times New Roman" w:hint="eastAsia"/>
                <w:b/>
                <w:kern w:val="0"/>
                <w:szCs w:val="28"/>
              </w:rPr>
              <w:t>總建屋量</w:t>
            </w:r>
          </w:p>
        </w:tc>
      </w:tr>
      <w:tr w:rsidR="00BE6C12" w:rsidRPr="00A336CB" w:rsidTr="00E22C88">
        <w:trPr>
          <w:cantSplit/>
          <w:trHeight w:val="454"/>
          <w:jc w:val="center"/>
        </w:trPr>
        <w:tc>
          <w:tcPr>
            <w:tcW w:w="3124" w:type="dxa"/>
            <w:shd w:val="clear" w:color="auto" w:fill="auto"/>
            <w:vAlign w:val="center"/>
          </w:tcPr>
          <w:p w:rsidR="00BE6C12" w:rsidRPr="00A336CB" w:rsidRDefault="00BE6C12" w:rsidP="00E22C88">
            <w:pPr>
              <w:tabs>
                <w:tab w:val="left" w:pos="1440"/>
              </w:tabs>
              <w:adjustRightInd w:val="0"/>
              <w:snapToGrid w:val="0"/>
              <w:jc w:val="center"/>
              <w:rPr>
                <w:rFonts w:cs="Times New Roman"/>
                <w:kern w:val="24"/>
                <w:szCs w:val="28"/>
              </w:rPr>
            </w:pPr>
            <w:r w:rsidRPr="00A336CB">
              <w:rPr>
                <w:rFonts w:cs="Times New Roman"/>
                <w:kern w:val="24"/>
                <w:szCs w:val="28"/>
              </w:rPr>
              <w:t>2014/15</w:t>
            </w:r>
            <w:r w:rsidRPr="00A336CB">
              <w:rPr>
                <w:rFonts w:cs="Times New Roman"/>
                <w:kern w:val="24"/>
                <w:szCs w:val="28"/>
              </w:rPr>
              <w:t>至</w:t>
            </w:r>
            <w:r w:rsidRPr="00A336CB">
              <w:rPr>
                <w:rFonts w:cs="Times New Roman"/>
                <w:kern w:val="24"/>
                <w:szCs w:val="28"/>
              </w:rPr>
              <w:t>2018/19</w:t>
            </w:r>
          </w:p>
        </w:tc>
        <w:tc>
          <w:tcPr>
            <w:tcW w:w="4819" w:type="dxa"/>
            <w:vAlign w:val="center"/>
          </w:tcPr>
          <w:p w:rsidR="00BE6C12" w:rsidRPr="00A336CB" w:rsidRDefault="00BE6C12" w:rsidP="00E22C88">
            <w:pPr>
              <w:tabs>
                <w:tab w:val="right" w:pos="2816"/>
              </w:tabs>
              <w:adjustRightInd w:val="0"/>
              <w:snapToGrid w:val="0"/>
              <w:rPr>
                <w:rFonts w:eastAsia="新細明體" w:cs="Times New Roman"/>
                <w:kern w:val="24"/>
                <w:szCs w:val="28"/>
              </w:rPr>
            </w:pPr>
            <w:r w:rsidRPr="00A336CB">
              <w:rPr>
                <w:rFonts w:eastAsia="新細明體" w:cs="Times New Roman"/>
                <w:kern w:val="24"/>
                <w:szCs w:val="28"/>
              </w:rPr>
              <w:tab/>
              <w:t>80 400</w:t>
            </w:r>
          </w:p>
        </w:tc>
      </w:tr>
      <w:tr w:rsidR="00BE6C12" w:rsidRPr="00A336CB" w:rsidTr="00E22C88">
        <w:trPr>
          <w:cantSplit/>
          <w:trHeight w:val="454"/>
          <w:jc w:val="center"/>
        </w:trPr>
        <w:tc>
          <w:tcPr>
            <w:tcW w:w="3124" w:type="dxa"/>
            <w:shd w:val="clear" w:color="auto" w:fill="auto"/>
            <w:vAlign w:val="center"/>
          </w:tcPr>
          <w:p w:rsidR="00BE6C12" w:rsidRPr="00A336CB" w:rsidRDefault="00BE6C12" w:rsidP="00E22C88">
            <w:pPr>
              <w:tabs>
                <w:tab w:val="left" w:pos="1440"/>
              </w:tabs>
              <w:adjustRightInd w:val="0"/>
              <w:snapToGrid w:val="0"/>
              <w:jc w:val="center"/>
              <w:rPr>
                <w:rFonts w:cs="Times New Roman"/>
                <w:kern w:val="24"/>
                <w:szCs w:val="28"/>
              </w:rPr>
            </w:pPr>
            <w:r w:rsidRPr="00A336CB">
              <w:rPr>
                <w:rFonts w:cs="Times New Roman"/>
                <w:kern w:val="24"/>
                <w:szCs w:val="28"/>
              </w:rPr>
              <w:t>2015/16</w:t>
            </w:r>
            <w:r w:rsidRPr="00A336CB">
              <w:rPr>
                <w:rFonts w:cs="Times New Roman"/>
                <w:kern w:val="24"/>
                <w:szCs w:val="28"/>
              </w:rPr>
              <w:t>至</w:t>
            </w:r>
            <w:r w:rsidRPr="00A336CB">
              <w:rPr>
                <w:rFonts w:cs="Times New Roman"/>
                <w:kern w:val="24"/>
                <w:szCs w:val="28"/>
              </w:rPr>
              <w:t>2019/20</w:t>
            </w:r>
          </w:p>
        </w:tc>
        <w:tc>
          <w:tcPr>
            <w:tcW w:w="4819" w:type="dxa"/>
            <w:vAlign w:val="center"/>
          </w:tcPr>
          <w:p w:rsidR="00BE6C12" w:rsidRPr="00A336CB" w:rsidRDefault="00BE6C12" w:rsidP="00E22C88">
            <w:pPr>
              <w:tabs>
                <w:tab w:val="right" w:pos="2816"/>
              </w:tabs>
              <w:adjustRightInd w:val="0"/>
              <w:snapToGrid w:val="0"/>
              <w:rPr>
                <w:rFonts w:eastAsia="新細明體" w:cs="Times New Roman"/>
                <w:kern w:val="24"/>
                <w:szCs w:val="28"/>
              </w:rPr>
            </w:pPr>
            <w:r w:rsidRPr="00A336CB">
              <w:rPr>
                <w:rFonts w:eastAsia="新細明體" w:cs="Times New Roman"/>
                <w:kern w:val="24"/>
                <w:szCs w:val="28"/>
              </w:rPr>
              <w:tab/>
              <w:t>91 200</w:t>
            </w:r>
          </w:p>
        </w:tc>
      </w:tr>
      <w:tr w:rsidR="00BE6C12" w:rsidRPr="00A336CB" w:rsidTr="00E22C88">
        <w:trPr>
          <w:cantSplit/>
          <w:trHeight w:val="454"/>
          <w:jc w:val="center"/>
        </w:trPr>
        <w:tc>
          <w:tcPr>
            <w:tcW w:w="3124" w:type="dxa"/>
            <w:shd w:val="clear" w:color="auto" w:fill="auto"/>
            <w:vAlign w:val="center"/>
          </w:tcPr>
          <w:p w:rsidR="00BE6C12" w:rsidRPr="00A336CB" w:rsidRDefault="00BE6C12" w:rsidP="00E22C88">
            <w:pPr>
              <w:tabs>
                <w:tab w:val="left" w:pos="1440"/>
              </w:tabs>
              <w:adjustRightInd w:val="0"/>
              <w:snapToGrid w:val="0"/>
              <w:jc w:val="center"/>
              <w:rPr>
                <w:rFonts w:cs="Times New Roman"/>
                <w:kern w:val="24"/>
                <w:szCs w:val="28"/>
              </w:rPr>
            </w:pPr>
            <w:r w:rsidRPr="00A336CB">
              <w:rPr>
                <w:rFonts w:cs="Times New Roman"/>
                <w:kern w:val="24"/>
                <w:szCs w:val="28"/>
              </w:rPr>
              <w:t>2016/17</w:t>
            </w:r>
            <w:r w:rsidRPr="00A336CB">
              <w:rPr>
                <w:rFonts w:cs="Times New Roman"/>
                <w:kern w:val="24"/>
                <w:szCs w:val="28"/>
              </w:rPr>
              <w:t>至</w:t>
            </w:r>
            <w:r w:rsidRPr="00A336CB">
              <w:rPr>
                <w:rFonts w:cs="Times New Roman"/>
                <w:kern w:val="24"/>
                <w:szCs w:val="28"/>
              </w:rPr>
              <w:t>2020/21</w:t>
            </w:r>
          </w:p>
        </w:tc>
        <w:tc>
          <w:tcPr>
            <w:tcW w:w="4819" w:type="dxa"/>
            <w:vAlign w:val="center"/>
          </w:tcPr>
          <w:p w:rsidR="00BE6C12" w:rsidRPr="00A336CB" w:rsidRDefault="00BE6C12" w:rsidP="00E22C88">
            <w:pPr>
              <w:tabs>
                <w:tab w:val="right" w:pos="2816"/>
              </w:tabs>
              <w:adjustRightInd w:val="0"/>
              <w:snapToGrid w:val="0"/>
              <w:rPr>
                <w:rFonts w:eastAsia="新細明體" w:cs="Times New Roman"/>
                <w:kern w:val="24"/>
                <w:szCs w:val="28"/>
              </w:rPr>
            </w:pPr>
            <w:r w:rsidRPr="00A336CB">
              <w:rPr>
                <w:rFonts w:eastAsia="新細明體" w:cs="Times New Roman"/>
                <w:kern w:val="24"/>
                <w:szCs w:val="28"/>
              </w:rPr>
              <w:tab/>
              <w:t>94 100</w:t>
            </w:r>
          </w:p>
        </w:tc>
      </w:tr>
      <w:tr w:rsidR="00BE6C12" w:rsidRPr="00A336CB" w:rsidTr="00E22C88">
        <w:trPr>
          <w:cantSplit/>
          <w:trHeight w:val="454"/>
          <w:jc w:val="center"/>
        </w:trPr>
        <w:tc>
          <w:tcPr>
            <w:tcW w:w="3124" w:type="dxa"/>
            <w:shd w:val="clear" w:color="auto" w:fill="auto"/>
            <w:vAlign w:val="center"/>
          </w:tcPr>
          <w:p w:rsidR="00BE6C12" w:rsidRPr="00A336CB" w:rsidRDefault="00BE6C12" w:rsidP="00E22C88">
            <w:pPr>
              <w:tabs>
                <w:tab w:val="left" w:pos="1440"/>
              </w:tabs>
              <w:adjustRightInd w:val="0"/>
              <w:snapToGrid w:val="0"/>
              <w:jc w:val="center"/>
              <w:rPr>
                <w:rFonts w:cs="Times New Roman"/>
                <w:kern w:val="24"/>
                <w:szCs w:val="28"/>
              </w:rPr>
            </w:pPr>
            <w:r w:rsidRPr="00A336CB">
              <w:rPr>
                <w:rFonts w:cs="Times New Roman"/>
                <w:kern w:val="24"/>
                <w:szCs w:val="28"/>
              </w:rPr>
              <w:t>2017/18</w:t>
            </w:r>
            <w:r w:rsidRPr="00A336CB">
              <w:rPr>
                <w:rFonts w:cs="Times New Roman"/>
                <w:kern w:val="24"/>
                <w:szCs w:val="28"/>
              </w:rPr>
              <w:t>至</w:t>
            </w:r>
            <w:r w:rsidRPr="00A336CB">
              <w:rPr>
                <w:rFonts w:cs="Times New Roman"/>
                <w:kern w:val="24"/>
                <w:szCs w:val="28"/>
              </w:rPr>
              <w:t>2021/22</w:t>
            </w:r>
          </w:p>
        </w:tc>
        <w:tc>
          <w:tcPr>
            <w:tcW w:w="4819" w:type="dxa"/>
            <w:vAlign w:val="center"/>
          </w:tcPr>
          <w:p w:rsidR="00BE6C12" w:rsidRPr="00A336CB" w:rsidRDefault="00BE6C12" w:rsidP="00E22C88">
            <w:pPr>
              <w:tabs>
                <w:tab w:val="right" w:pos="2816"/>
              </w:tabs>
              <w:adjustRightInd w:val="0"/>
              <w:snapToGrid w:val="0"/>
              <w:rPr>
                <w:rFonts w:eastAsia="新細明體" w:cs="Times New Roman"/>
                <w:kern w:val="24"/>
                <w:szCs w:val="28"/>
              </w:rPr>
            </w:pPr>
            <w:r w:rsidRPr="00A336CB">
              <w:rPr>
                <w:rFonts w:eastAsia="新細明體" w:cs="Times New Roman"/>
                <w:kern w:val="24"/>
                <w:szCs w:val="28"/>
              </w:rPr>
              <w:tab/>
              <w:t>99 700</w:t>
            </w:r>
          </w:p>
        </w:tc>
      </w:tr>
      <w:tr w:rsidR="00BE6C12" w:rsidRPr="00A336CB" w:rsidTr="00E22C88">
        <w:trPr>
          <w:cantSplit/>
          <w:trHeight w:val="454"/>
          <w:jc w:val="center"/>
        </w:trPr>
        <w:tc>
          <w:tcPr>
            <w:tcW w:w="3124" w:type="dxa"/>
            <w:shd w:val="clear" w:color="auto" w:fill="auto"/>
            <w:vAlign w:val="center"/>
          </w:tcPr>
          <w:p w:rsidR="00BE6C12" w:rsidRPr="00A336CB" w:rsidRDefault="00BE6C12" w:rsidP="00E22C88">
            <w:pPr>
              <w:tabs>
                <w:tab w:val="left" w:pos="1440"/>
              </w:tabs>
              <w:adjustRightInd w:val="0"/>
              <w:snapToGrid w:val="0"/>
              <w:jc w:val="center"/>
              <w:rPr>
                <w:rFonts w:cs="Times New Roman"/>
                <w:kern w:val="24"/>
                <w:szCs w:val="28"/>
              </w:rPr>
            </w:pPr>
            <w:r w:rsidRPr="00A336CB">
              <w:rPr>
                <w:rFonts w:cs="Times New Roman"/>
                <w:kern w:val="24"/>
                <w:szCs w:val="28"/>
              </w:rPr>
              <w:t>2018/19</w:t>
            </w:r>
            <w:r w:rsidRPr="00A336CB">
              <w:rPr>
                <w:rFonts w:cs="Times New Roman"/>
                <w:kern w:val="24"/>
                <w:szCs w:val="28"/>
              </w:rPr>
              <w:t>至</w:t>
            </w:r>
            <w:r w:rsidRPr="00A336CB">
              <w:rPr>
                <w:rFonts w:cs="Times New Roman"/>
                <w:kern w:val="24"/>
                <w:szCs w:val="28"/>
              </w:rPr>
              <w:t>2022/23</w:t>
            </w:r>
          </w:p>
        </w:tc>
        <w:tc>
          <w:tcPr>
            <w:tcW w:w="4819" w:type="dxa"/>
            <w:vAlign w:val="center"/>
          </w:tcPr>
          <w:p w:rsidR="00BE6C12" w:rsidRPr="00A336CB" w:rsidRDefault="00BE6C12" w:rsidP="00E22C88">
            <w:pPr>
              <w:tabs>
                <w:tab w:val="right" w:pos="2816"/>
              </w:tabs>
              <w:adjustRightInd w:val="0"/>
              <w:snapToGrid w:val="0"/>
              <w:rPr>
                <w:rFonts w:eastAsia="新細明體" w:cs="Times New Roman"/>
                <w:kern w:val="24"/>
                <w:szCs w:val="28"/>
              </w:rPr>
            </w:pPr>
            <w:r w:rsidRPr="00A336CB">
              <w:rPr>
                <w:rFonts w:eastAsia="新細明體" w:cs="Times New Roman"/>
                <w:kern w:val="24"/>
                <w:szCs w:val="28"/>
              </w:rPr>
              <w:tab/>
              <w:t>100 </w:t>
            </w:r>
            <w:r w:rsidRPr="00A336CB">
              <w:rPr>
                <w:rFonts w:eastAsia="新細明體" w:cs="Times New Roman" w:hint="eastAsia"/>
                <w:kern w:val="24"/>
                <w:szCs w:val="28"/>
              </w:rPr>
              <w:t>4</w:t>
            </w:r>
            <w:r w:rsidRPr="00A336CB">
              <w:rPr>
                <w:rFonts w:eastAsia="新細明體" w:cs="Times New Roman"/>
                <w:kern w:val="24"/>
                <w:szCs w:val="28"/>
              </w:rPr>
              <w:t>00</w:t>
            </w:r>
          </w:p>
        </w:tc>
      </w:tr>
    </w:tbl>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2.</w:t>
      </w:r>
      <w:r w:rsidRPr="00A336CB">
        <w:rPr>
          <w:rFonts w:cs="Times New Roman" w:hint="eastAsia"/>
          <w:szCs w:val="28"/>
        </w:rPr>
        <w:tab/>
      </w:r>
      <w:r w:rsidRPr="00A336CB">
        <w:rPr>
          <w:rFonts w:cs="Times New Roman" w:hint="eastAsia"/>
          <w:szCs w:val="28"/>
        </w:rPr>
        <w:t>政府會繼續努力增加公營房屋的供應，並爭取提早建成更多公營房屋單位。</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u w:val="single"/>
        </w:rPr>
      </w:pPr>
      <w:r w:rsidRPr="00A336CB">
        <w:rPr>
          <w:rFonts w:cs="Times New Roman" w:hint="eastAsia"/>
          <w:szCs w:val="28"/>
          <w:u w:val="single"/>
        </w:rPr>
        <w:t>公屋</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3.</w:t>
      </w:r>
      <w:r w:rsidRPr="00A336CB">
        <w:rPr>
          <w:rFonts w:cs="Times New Roman" w:hint="eastAsia"/>
          <w:szCs w:val="28"/>
        </w:rPr>
        <w:tab/>
      </w:r>
      <w:r w:rsidRPr="00A336CB">
        <w:rPr>
          <w:rFonts w:cs="Times New Roman" w:hint="eastAsia"/>
          <w:szCs w:val="28"/>
        </w:rPr>
        <w:t>公屋是房屋階梯的第一層，是低收入家庭確立已久的安全網。政府和房委會會致力為沒有能力租住私人樓宇的低收入家庭提供公屋。截至</w:t>
      </w:r>
      <w:r w:rsidRPr="00A336CB">
        <w:rPr>
          <w:rFonts w:cs="Times New Roman" w:hint="eastAsia"/>
          <w:szCs w:val="28"/>
        </w:rPr>
        <w:t>2018</w:t>
      </w:r>
      <w:r w:rsidRPr="00A336CB">
        <w:rPr>
          <w:rFonts w:cs="Times New Roman" w:hint="eastAsia"/>
          <w:szCs w:val="28"/>
        </w:rPr>
        <w:t>年</w:t>
      </w:r>
      <w:r w:rsidRPr="00A336CB">
        <w:rPr>
          <w:rFonts w:cs="Times New Roman" w:hint="eastAsia"/>
          <w:szCs w:val="28"/>
        </w:rPr>
        <w:t>12</w:t>
      </w:r>
      <w:r w:rsidRPr="00A336CB">
        <w:rPr>
          <w:rFonts w:cs="Times New Roman" w:hint="eastAsia"/>
          <w:szCs w:val="28"/>
        </w:rPr>
        <w:t>月底，全港約有</w:t>
      </w:r>
      <w:r w:rsidRPr="00A336CB">
        <w:rPr>
          <w:rFonts w:cs="Times New Roman" w:hint="eastAsia"/>
          <w:szCs w:val="28"/>
        </w:rPr>
        <w:t>770</w:t>
      </w:r>
      <w:r w:rsidRPr="00A336CB">
        <w:rPr>
          <w:rFonts w:cs="Times New Roman"/>
          <w:szCs w:val="28"/>
        </w:rPr>
        <w:t> </w:t>
      </w:r>
      <w:r w:rsidRPr="00A336CB">
        <w:rPr>
          <w:rFonts w:cs="Times New Roman" w:hint="eastAsia"/>
          <w:szCs w:val="28"/>
        </w:rPr>
        <w:t>300</w:t>
      </w:r>
      <w:r w:rsidRPr="00A336CB">
        <w:rPr>
          <w:rFonts w:cs="Times New Roman" w:hint="eastAsia"/>
          <w:szCs w:val="28"/>
        </w:rPr>
        <w:t>戶家庭居住在房委會轄下的公屋。</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4.</w:t>
      </w:r>
      <w:r w:rsidRPr="00A336CB">
        <w:rPr>
          <w:rFonts w:cs="Times New Roman" w:hint="eastAsia"/>
          <w:szCs w:val="28"/>
        </w:rPr>
        <w:tab/>
      </w:r>
      <w:r w:rsidRPr="00A336CB">
        <w:rPr>
          <w:rFonts w:cs="Times New Roman" w:hint="eastAsia"/>
          <w:szCs w:val="28"/>
        </w:rPr>
        <w:t>截至</w:t>
      </w:r>
      <w:r w:rsidRPr="00A336CB">
        <w:rPr>
          <w:rFonts w:cs="Times New Roman" w:hint="eastAsia"/>
          <w:szCs w:val="28"/>
        </w:rPr>
        <w:t>2018</w:t>
      </w:r>
      <w:r w:rsidRPr="00A336CB">
        <w:rPr>
          <w:rFonts w:cs="Times New Roman" w:hint="eastAsia"/>
          <w:szCs w:val="28"/>
        </w:rPr>
        <w:t>年</w:t>
      </w:r>
      <w:r w:rsidRPr="00A336CB">
        <w:rPr>
          <w:rFonts w:cs="Times New Roman" w:hint="eastAsia"/>
          <w:szCs w:val="28"/>
        </w:rPr>
        <w:t>12</w:t>
      </w:r>
      <w:r w:rsidRPr="00A336CB">
        <w:rPr>
          <w:rFonts w:cs="Times New Roman" w:hint="eastAsia"/>
          <w:szCs w:val="28"/>
        </w:rPr>
        <w:t>月底，家庭和長者一人公屋申請約有</w:t>
      </w:r>
      <w:r w:rsidRPr="00A336CB">
        <w:rPr>
          <w:rFonts w:cs="Times New Roman" w:hint="eastAsia"/>
          <w:szCs w:val="28"/>
        </w:rPr>
        <w:t>150</w:t>
      </w:r>
      <w:r w:rsidRPr="00A336CB">
        <w:rPr>
          <w:rFonts w:cs="Times New Roman"/>
          <w:szCs w:val="28"/>
        </w:rPr>
        <w:t> </w:t>
      </w:r>
      <w:r w:rsidRPr="00A336CB">
        <w:rPr>
          <w:rFonts w:cs="Times New Roman" w:hint="eastAsia"/>
          <w:szCs w:val="28"/>
        </w:rPr>
        <w:t>200</w:t>
      </w:r>
      <w:r w:rsidRPr="00A336CB">
        <w:rPr>
          <w:rFonts w:cs="Times New Roman" w:hint="eastAsia"/>
          <w:szCs w:val="28"/>
        </w:rPr>
        <w:t>宗。他們的平均輪候時間為</w:t>
      </w:r>
      <w:r w:rsidRPr="00A336CB">
        <w:rPr>
          <w:rFonts w:cs="Times New Roman" w:hint="eastAsia"/>
          <w:szCs w:val="28"/>
        </w:rPr>
        <w:t>5.5</w:t>
      </w:r>
      <w:r w:rsidRPr="00A336CB">
        <w:rPr>
          <w:rFonts w:cs="Times New Roman" w:hint="eastAsia"/>
          <w:szCs w:val="28"/>
        </w:rPr>
        <w:t>年，超過了房委會在平均約三年為家庭和長者一人申請提供首次單位編配的目標。另外，配額及</w:t>
      </w:r>
      <w:r w:rsidRPr="00A336CB">
        <w:rPr>
          <w:rFonts w:cs="Times New Roman" w:hint="eastAsia"/>
          <w:szCs w:val="28"/>
        </w:rPr>
        <w:lastRenderedPageBreak/>
        <w:t>計分制下的非長者一人申請亦約有</w:t>
      </w:r>
      <w:r w:rsidRPr="00A336CB">
        <w:rPr>
          <w:rFonts w:cs="Times New Roman" w:hint="eastAsia"/>
          <w:szCs w:val="28"/>
        </w:rPr>
        <w:t>117</w:t>
      </w:r>
      <w:r w:rsidRPr="00A336CB">
        <w:rPr>
          <w:rFonts w:cs="Times New Roman"/>
          <w:szCs w:val="28"/>
        </w:rPr>
        <w:t> </w:t>
      </w:r>
      <w:r w:rsidRPr="00A336CB">
        <w:rPr>
          <w:rFonts w:cs="Times New Roman" w:hint="eastAsia"/>
          <w:szCs w:val="28"/>
        </w:rPr>
        <w:t>400</w:t>
      </w:r>
      <w:r w:rsidRPr="00A336CB">
        <w:rPr>
          <w:rFonts w:cs="Times New Roman" w:hint="eastAsia"/>
          <w:szCs w:val="28"/>
        </w:rPr>
        <w:t>宗。增加公屋供應是最根本解決公屋輪候時間延長的辦法。政府和房委會會繼續致力增加公屋供應，以逐步消化多年來累積的公屋需求。</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5.</w:t>
      </w:r>
      <w:r w:rsidRPr="00A336CB">
        <w:rPr>
          <w:rFonts w:cs="Times New Roman"/>
          <w:szCs w:val="28"/>
        </w:rPr>
        <w:tab/>
      </w:r>
      <w:r w:rsidRPr="00A336CB">
        <w:rPr>
          <w:rFonts w:cs="Times New Roman" w:hint="eastAsia"/>
          <w:szCs w:val="28"/>
        </w:rPr>
        <w:t>在增加公屋供應的同時，《長策》亦強調合理運用公屋資源的重要性。房委會不時檢討相關政策，並採取適當措施，以更聚焦地分配公屋資源予較有迫切住屋需要的人士。房委會亦會繼續採取三管齊下的方法打擊濫用公屋，包括加強巡查、跟進懷疑濫用公屋個案，以及宣傳教育。</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u w:val="single"/>
        </w:rPr>
      </w:pPr>
      <w:r w:rsidRPr="00A336CB">
        <w:rPr>
          <w:rFonts w:cs="Times New Roman" w:hint="eastAsia"/>
          <w:szCs w:val="28"/>
          <w:u w:val="single"/>
        </w:rPr>
        <w:t>資助自置居所</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6.</w:t>
      </w:r>
      <w:r w:rsidRPr="00A336CB">
        <w:rPr>
          <w:rFonts w:cs="Times New Roman" w:hint="eastAsia"/>
          <w:szCs w:val="28"/>
        </w:rPr>
        <w:tab/>
      </w:r>
      <w:r w:rsidRPr="00A336CB">
        <w:rPr>
          <w:rFonts w:cs="Times New Roman" w:hint="eastAsia"/>
          <w:szCs w:val="28"/>
        </w:rPr>
        <w:t>對於一些中低收入家庭而言，資助出售單位是他們自置居所的第一步。資助自置居所現時包含居者有其屋計劃（居屋）、「綠置居」及「港人首次置業」（「首置」）先導項目等。</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居屋</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7.</w:t>
      </w:r>
      <w:r w:rsidRPr="00A336CB">
        <w:rPr>
          <w:rFonts w:cs="Times New Roman" w:hint="eastAsia"/>
          <w:szCs w:val="28"/>
        </w:rPr>
        <w:tab/>
      </w:r>
      <w:r w:rsidRPr="00A336CB">
        <w:rPr>
          <w:rFonts w:cs="Times New Roman" w:hint="eastAsia"/>
          <w:szCs w:val="28"/>
        </w:rPr>
        <w:t>政府在</w:t>
      </w:r>
      <w:r w:rsidRPr="00A336CB">
        <w:rPr>
          <w:rFonts w:cs="Times New Roman" w:hint="eastAsia"/>
          <w:szCs w:val="28"/>
        </w:rPr>
        <w:t>2011</w:t>
      </w:r>
      <w:r w:rsidRPr="00A336CB">
        <w:rPr>
          <w:rFonts w:cs="Times New Roman" w:hint="eastAsia"/>
          <w:szCs w:val="28"/>
        </w:rPr>
        <w:t>年宣布復建居屋，以回應中低收入家庭自置居所的訴求。自</w:t>
      </w:r>
      <w:r w:rsidRPr="00A336CB">
        <w:rPr>
          <w:rFonts w:cs="Times New Roman" w:hint="eastAsia"/>
          <w:szCs w:val="28"/>
        </w:rPr>
        <w:t>2014</w:t>
      </w:r>
      <w:r w:rsidRPr="00A336CB">
        <w:rPr>
          <w:rFonts w:cs="Times New Roman" w:hint="eastAsia"/>
          <w:szCs w:val="28"/>
        </w:rPr>
        <w:t>年起，房委會共推售了約</w:t>
      </w:r>
      <w:r w:rsidRPr="00A336CB">
        <w:rPr>
          <w:rFonts w:cs="Times New Roman" w:hint="eastAsia"/>
          <w:szCs w:val="28"/>
        </w:rPr>
        <w:t>14</w:t>
      </w:r>
      <w:r w:rsidRPr="00A336CB">
        <w:rPr>
          <w:rFonts w:cs="Times New Roman"/>
          <w:szCs w:val="28"/>
        </w:rPr>
        <w:t> </w:t>
      </w:r>
      <w:r w:rsidRPr="00A336CB">
        <w:rPr>
          <w:rFonts w:cs="Times New Roman" w:hint="eastAsia"/>
          <w:szCs w:val="28"/>
        </w:rPr>
        <w:t>700</w:t>
      </w:r>
      <w:r w:rsidRPr="00A336CB">
        <w:rPr>
          <w:rFonts w:cs="Times New Roman" w:hint="eastAsia"/>
          <w:szCs w:val="28"/>
        </w:rPr>
        <w:t>個新建居屋／「綠置居」單位。</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「綠置居」</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8.</w:t>
      </w:r>
      <w:r w:rsidRPr="00A336CB">
        <w:rPr>
          <w:rFonts w:cs="Times New Roman"/>
          <w:szCs w:val="28"/>
        </w:rPr>
        <w:tab/>
      </w:r>
      <w:r w:rsidRPr="00A336CB">
        <w:rPr>
          <w:rFonts w:cs="Times New Roman" w:hint="eastAsia"/>
          <w:szCs w:val="28"/>
        </w:rPr>
        <w:t>為豐富房屋階梯，「綠置居」於</w:t>
      </w:r>
      <w:r w:rsidRPr="00A336CB">
        <w:rPr>
          <w:rFonts w:cs="Times New Roman"/>
          <w:szCs w:val="28"/>
        </w:rPr>
        <w:t>2018</w:t>
      </w:r>
      <w:r w:rsidRPr="00A336CB">
        <w:rPr>
          <w:rFonts w:cs="Times New Roman" w:hint="eastAsia"/>
          <w:szCs w:val="28"/>
        </w:rPr>
        <w:t>年</w:t>
      </w:r>
      <w:r w:rsidRPr="00A336CB">
        <w:rPr>
          <w:rFonts w:cs="Times New Roman"/>
          <w:szCs w:val="28"/>
        </w:rPr>
        <w:t>1</w:t>
      </w:r>
      <w:r w:rsidRPr="00A336CB">
        <w:rPr>
          <w:rFonts w:cs="Times New Roman" w:hint="eastAsia"/>
          <w:szCs w:val="28"/>
        </w:rPr>
        <w:t>月恆常化，提供另一途徑讓綠表人士（主要為公屋住戶和已通過詳細資格審查的公屋申請者）自置居所。「綠置居」一方面更早地滿足較有能力的綠表人士的置業訴求，另一方面亦能騰出更多公屋單位給較有需要的市民。第一個恆常化「綠置居」項目已於</w:t>
      </w:r>
      <w:r w:rsidRPr="00A336CB">
        <w:rPr>
          <w:rFonts w:cs="Times New Roman"/>
          <w:szCs w:val="28"/>
        </w:rPr>
        <w:t>2018</w:t>
      </w:r>
      <w:r w:rsidRPr="00A336CB">
        <w:rPr>
          <w:rFonts w:cs="Times New Roman" w:hint="eastAsia"/>
          <w:szCs w:val="28"/>
        </w:rPr>
        <w:t>年</w:t>
      </w:r>
      <w:r w:rsidRPr="00A336CB">
        <w:rPr>
          <w:rFonts w:cs="Times New Roman"/>
          <w:szCs w:val="28"/>
        </w:rPr>
        <w:t>12</w:t>
      </w:r>
      <w:r w:rsidRPr="00A336CB">
        <w:rPr>
          <w:rFonts w:cs="Times New Roman" w:hint="eastAsia"/>
          <w:szCs w:val="28"/>
        </w:rPr>
        <w:t>月推出，涉及約</w:t>
      </w:r>
      <w:r w:rsidRPr="00A336CB">
        <w:rPr>
          <w:rFonts w:cs="Times New Roman"/>
          <w:szCs w:val="28"/>
        </w:rPr>
        <w:t>2 500</w:t>
      </w:r>
      <w:r w:rsidRPr="00A336CB">
        <w:rPr>
          <w:rFonts w:cs="Times New Roman" w:hint="eastAsia"/>
          <w:szCs w:val="28"/>
        </w:rPr>
        <w:t>個單位。</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「首置」先導項目</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9.</w:t>
      </w:r>
      <w:r w:rsidRPr="00A336CB">
        <w:rPr>
          <w:rFonts w:cs="Times New Roman" w:hint="eastAsia"/>
          <w:szCs w:val="28"/>
        </w:rPr>
        <w:tab/>
      </w:r>
      <w:r w:rsidRPr="00A336CB">
        <w:rPr>
          <w:rFonts w:cs="Times New Roman" w:hint="eastAsia"/>
          <w:szCs w:val="28"/>
        </w:rPr>
        <w:t>政府亦在《行政長官</w:t>
      </w:r>
      <w:r w:rsidRPr="00A336CB">
        <w:rPr>
          <w:rFonts w:cs="Times New Roman" w:hint="eastAsia"/>
          <w:szCs w:val="28"/>
        </w:rPr>
        <w:t>2017</w:t>
      </w:r>
      <w:r w:rsidRPr="00A336CB">
        <w:rPr>
          <w:rFonts w:cs="Times New Roman" w:hint="eastAsia"/>
          <w:szCs w:val="28"/>
        </w:rPr>
        <w:t>年施政報告》中提出「首置」</w:t>
      </w:r>
      <w:r w:rsidRPr="00A336CB">
        <w:rPr>
          <w:rFonts w:cs="Times New Roman" w:hint="eastAsia"/>
          <w:szCs w:val="28"/>
        </w:rPr>
        <w:lastRenderedPageBreak/>
        <w:t>的概念。「首置」的目標是在樓價持續上升的情況下，協助既不符合申請居屋資格、又未能負擔私營房屋的較高收入家庭，回應他們的置業期望。政府在</w:t>
      </w:r>
      <w:r w:rsidRPr="00A336CB">
        <w:rPr>
          <w:rFonts w:cs="Times New Roman" w:hint="eastAsia"/>
          <w:szCs w:val="28"/>
        </w:rPr>
        <w:t>2018</w:t>
      </w:r>
      <w:r w:rsidRPr="00A336CB">
        <w:rPr>
          <w:rFonts w:cs="Times New Roman" w:hint="eastAsia"/>
          <w:szCs w:val="28"/>
        </w:rPr>
        <w:t>年</w:t>
      </w:r>
      <w:r w:rsidRPr="00A336CB">
        <w:rPr>
          <w:rFonts w:cs="Times New Roman" w:hint="eastAsia"/>
          <w:szCs w:val="28"/>
        </w:rPr>
        <w:t>6</w:t>
      </w:r>
      <w:r w:rsidRPr="00A336CB">
        <w:rPr>
          <w:rFonts w:cs="Times New Roman" w:hint="eastAsia"/>
          <w:szCs w:val="28"/>
        </w:rPr>
        <w:t>月宣布邀請市區重建局將其位於馬頭圍道的重建項目改為「首置」先導項目，提供</w:t>
      </w:r>
      <w:r w:rsidRPr="00A336CB">
        <w:rPr>
          <w:rFonts w:cs="Times New Roman" w:hint="eastAsia"/>
          <w:szCs w:val="28"/>
        </w:rPr>
        <w:t>450</w:t>
      </w:r>
      <w:r w:rsidRPr="00A336CB">
        <w:rPr>
          <w:rFonts w:cs="Times New Roman" w:hint="eastAsia"/>
          <w:szCs w:val="28"/>
        </w:rPr>
        <w:t>個面積介乎</w:t>
      </w:r>
      <w:r w:rsidRPr="00A336CB">
        <w:rPr>
          <w:rFonts w:cs="Times New Roman" w:hint="eastAsia"/>
          <w:szCs w:val="28"/>
        </w:rPr>
        <w:t>24</w:t>
      </w:r>
      <w:r w:rsidRPr="00A336CB">
        <w:rPr>
          <w:rFonts w:cs="Times New Roman" w:hint="eastAsia"/>
          <w:szCs w:val="28"/>
        </w:rPr>
        <w:t>至</w:t>
      </w:r>
      <w:r w:rsidRPr="00A336CB">
        <w:rPr>
          <w:rFonts w:cs="Times New Roman" w:hint="eastAsia"/>
          <w:szCs w:val="28"/>
        </w:rPr>
        <w:t>47</w:t>
      </w:r>
      <w:r w:rsidRPr="00A336CB">
        <w:rPr>
          <w:rFonts w:cs="Times New Roman" w:hint="eastAsia"/>
          <w:szCs w:val="28"/>
        </w:rPr>
        <w:t>平方米（</w:t>
      </w:r>
      <w:r w:rsidRPr="00A336CB">
        <w:rPr>
          <w:rFonts w:cs="Times New Roman" w:hint="eastAsia"/>
          <w:szCs w:val="28"/>
        </w:rPr>
        <w:t>261</w:t>
      </w:r>
      <w:r w:rsidRPr="00A336CB">
        <w:rPr>
          <w:rFonts w:cs="Times New Roman" w:hint="eastAsia"/>
          <w:szCs w:val="28"/>
        </w:rPr>
        <w:t>至</w:t>
      </w:r>
      <w:r w:rsidRPr="00A336CB">
        <w:rPr>
          <w:rFonts w:cs="Times New Roman" w:hint="eastAsia"/>
          <w:szCs w:val="28"/>
        </w:rPr>
        <w:t>507</w:t>
      </w:r>
      <w:r w:rsidRPr="00A336CB">
        <w:rPr>
          <w:rFonts w:cs="Times New Roman" w:hint="eastAsia"/>
          <w:szCs w:val="28"/>
        </w:rPr>
        <w:t>平方呎）的單位，以盡早測試「首置」概念。市區重建局已於</w:t>
      </w:r>
      <w:r w:rsidRPr="00A336CB">
        <w:rPr>
          <w:rFonts w:cs="Times New Roman" w:hint="eastAsia"/>
          <w:szCs w:val="28"/>
        </w:rPr>
        <w:t>2018</w:t>
      </w:r>
      <w:r w:rsidRPr="00A336CB">
        <w:rPr>
          <w:rFonts w:cs="Times New Roman" w:hint="eastAsia"/>
          <w:szCs w:val="28"/>
        </w:rPr>
        <w:t>年</w:t>
      </w:r>
      <w:r w:rsidRPr="00A336CB">
        <w:rPr>
          <w:rFonts w:cs="Times New Roman" w:hint="eastAsia"/>
          <w:szCs w:val="28"/>
        </w:rPr>
        <w:t>12</w:t>
      </w:r>
      <w:r w:rsidRPr="00A336CB">
        <w:rPr>
          <w:rFonts w:cs="Times New Roman" w:hint="eastAsia"/>
          <w:szCs w:val="28"/>
        </w:rPr>
        <w:t>月底宣布項目售價和銷售安排，項目折扣率為</w:t>
      </w:r>
      <w:r w:rsidRPr="00A336CB">
        <w:rPr>
          <w:rFonts w:cs="Times New Roman" w:hint="eastAsia"/>
          <w:szCs w:val="28"/>
        </w:rPr>
        <w:t>38%</w:t>
      </w:r>
      <w:r w:rsidRPr="00A336CB">
        <w:rPr>
          <w:rFonts w:cs="Times New Roman" w:hint="eastAsia"/>
          <w:szCs w:val="28"/>
        </w:rPr>
        <w:t>。</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修訂居屋定價機制</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Pr>
          <w:rFonts w:cs="Times New Roman"/>
          <w:szCs w:val="28"/>
        </w:rPr>
        <w:t>10.</w:t>
      </w:r>
      <w:r w:rsidRPr="00A336CB">
        <w:rPr>
          <w:rFonts w:cs="Times New Roman" w:hint="eastAsia"/>
          <w:szCs w:val="28"/>
        </w:rPr>
        <w:tab/>
      </w:r>
      <w:r w:rsidRPr="00A336CB">
        <w:rPr>
          <w:rFonts w:cs="Times New Roman" w:hint="eastAsia"/>
          <w:szCs w:val="28"/>
        </w:rPr>
        <w:t>行政長官在</w:t>
      </w:r>
      <w:r w:rsidRPr="00A336CB">
        <w:rPr>
          <w:rFonts w:cs="Times New Roman" w:hint="eastAsia"/>
          <w:szCs w:val="28"/>
        </w:rPr>
        <w:t>2018</w:t>
      </w:r>
      <w:r w:rsidRPr="00A336CB">
        <w:rPr>
          <w:rFonts w:cs="Times New Roman" w:hint="eastAsia"/>
          <w:szCs w:val="28"/>
        </w:rPr>
        <w:t>年</w:t>
      </w:r>
      <w:r w:rsidRPr="00A336CB">
        <w:rPr>
          <w:rFonts w:cs="Times New Roman" w:hint="eastAsia"/>
          <w:szCs w:val="28"/>
        </w:rPr>
        <w:t>6</w:t>
      </w:r>
      <w:r w:rsidRPr="00A336CB">
        <w:rPr>
          <w:rFonts w:cs="Times New Roman" w:hint="eastAsia"/>
          <w:szCs w:val="28"/>
        </w:rPr>
        <w:t>月公布修訂居屋的定價機制。新機制被採納為「出售居屋單位</w:t>
      </w:r>
      <w:r w:rsidRPr="00A336CB">
        <w:rPr>
          <w:rFonts w:cs="Times New Roman" w:hint="eastAsia"/>
          <w:szCs w:val="28"/>
        </w:rPr>
        <w:t>2018</w:t>
      </w:r>
      <w:r w:rsidRPr="00A336CB">
        <w:rPr>
          <w:rFonts w:cs="Times New Roman" w:hint="eastAsia"/>
          <w:szCs w:val="28"/>
        </w:rPr>
        <w:t>」的定價方法，單位的平均售價由起初評估市值的七折調低至五二折。「綠置居」和「首置」先導項目的定價亦會以居屋新定價機制為基礎</w:t>
      </w:r>
      <w:r w:rsidRPr="00A336CB">
        <w:rPr>
          <w:rFonts w:cs="Times New Roman"/>
          <w:szCs w:val="28"/>
          <w:vertAlign w:val="superscript"/>
        </w:rPr>
        <w:footnoteReference w:id="12"/>
      </w:r>
      <w:r w:rsidRPr="00A336CB">
        <w:rPr>
          <w:rFonts w:cs="Times New Roman" w:hint="eastAsia"/>
          <w:szCs w:val="28"/>
        </w:rPr>
        <w:t>，加上買家可取得高達</w:t>
      </w:r>
      <w:r w:rsidRPr="00A336CB">
        <w:rPr>
          <w:rFonts w:cs="Times New Roman" w:hint="eastAsia"/>
          <w:szCs w:val="28"/>
        </w:rPr>
        <w:t>90%</w:t>
      </w:r>
      <w:r w:rsidRPr="00A336CB">
        <w:rPr>
          <w:rFonts w:cs="Times New Roman" w:hint="eastAsia"/>
          <w:szCs w:val="28"/>
        </w:rPr>
        <w:t>或甚至更高的按揭成數，希望能為各個房屋項目的目標家庭提供較可負擔的選擇。</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u w:val="single"/>
        </w:rPr>
      </w:pPr>
      <w:r w:rsidRPr="00A336CB">
        <w:rPr>
          <w:rFonts w:cs="Times New Roman" w:hint="eastAsia"/>
          <w:szCs w:val="28"/>
          <w:u w:val="single"/>
        </w:rPr>
        <w:t>健康的私人住宅物業市場</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11.</w:t>
      </w:r>
      <w:r w:rsidRPr="00A336CB">
        <w:rPr>
          <w:rFonts w:cs="Times New Roman" w:hint="eastAsia"/>
          <w:szCs w:val="28"/>
        </w:rPr>
        <w:tab/>
      </w:r>
      <w:r w:rsidRPr="00A336CB">
        <w:rPr>
          <w:rFonts w:cs="Times New Roman" w:hint="eastAsia"/>
          <w:szCs w:val="28"/>
        </w:rPr>
        <w:t>為維持私人住宅物業市場健康發展，政府一直雙管齊下，一方面採取「供應主導」策略，致力透過短、中、長期措施增加房屋土地供應，以期從根本長遠解決供求失衡的問題；另一方面則不失時機地推出需求管理措施，以減低市場因過分熾熱而可能造成的各種負面影響。</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增加供應</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w:t>
      </w:r>
      <w:r>
        <w:rPr>
          <w:rFonts w:cs="Times New Roman"/>
          <w:szCs w:val="28"/>
        </w:rPr>
        <w:t>2.</w:t>
      </w:r>
      <w:r w:rsidRPr="00A336CB">
        <w:rPr>
          <w:rFonts w:cs="Times New Roman" w:hint="eastAsia"/>
          <w:szCs w:val="28"/>
        </w:rPr>
        <w:tab/>
      </w:r>
      <w:r w:rsidRPr="00A336CB">
        <w:rPr>
          <w:rFonts w:cs="Times New Roman" w:hint="eastAsia"/>
          <w:szCs w:val="28"/>
        </w:rPr>
        <w:t>透過政府持續的努力，房屋供應正穩步增加。根據政府截至</w:t>
      </w:r>
      <w:r w:rsidRPr="00A336CB">
        <w:rPr>
          <w:rFonts w:cs="Times New Roman" w:hint="eastAsia"/>
          <w:szCs w:val="28"/>
        </w:rPr>
        <w:t>2017</w:t>
      </w:r>
      <w:r w:rsidRPr="00A336CB">
        <w:rPr>
          <w:rFonts w:cs="Times New Roman" w:hint="eastAsia"/>
          <w:szCs w:val="28"/>
        </w:rPr>
        <w:t>年年底就已知「熟地」上已展開或將會展開的私人住宅項目的初步估計，</w:t>
      </w:r>
      <w:r w:rsidRPr="00A336CB">
        <w:rPr>
          <w:rFonts w:cs="Times New Roman" w:hint="eastAsia"/>
          <w:szCs w:val="28"/>
        </w:rPr>
        <w:t>2018</w:t>
      </w:r>
      <w:r w:rsidRPr="00A336CB">
        <w:rPr>
          <w:rFonts w:cs="Times New Roman" w:hint="eastAsia"/>
          <w:szCs w:val="28"/>
        </w:rPr>
        <w:t>年至</w:t>
      </w:r>
      <w:r w:rsidRPr="00A336CB">
        <w:rPr>
          <w:rFonts w:cs="Times New Roman" w:hint="eastAsia"/>
          <w:szCs w:val="28"/>
        </w:rPr>
        <w:t>2022</w:t>
      </w:r>
      <w:r w:rsidRPr="00A336CB">
        <w:rPr>
          <w:rFonts w:cs="Times New Roman" w:hint="eastAsia"/>
          <w:szCs w:val="28"/>
        </w:rPr>
        <w:t>年這五年期平均每年約有</w:t>
      </w:r>
      <w:r w:rsidRPr="00A336CB">
        <w:rPr>
          <w:rFonts w:cs="Times New Roman" w:hint="eastAsia"/>
          <w:szCs w:val="28"/>
        </w:rPr>
        <w:t>20</w:t>
      </w:r>
      <w:r w:rsidRPr="00A336CB">
        <w:rPr>
          <w:rFonts w:cs="Times New Roman"/>
          <w:szCs w:val="28"/>
        </w:rPr>
        <w:t> </w:t>
      </w:r>
      <w:r w:rsidRPr="00A336CB">
        <w:rPr>
          <w:rFonts w:cs="Times New Roman" w:hint="eastAsia"/>
          <w:szCs w:val="28"/>
        </w:rPr>
        <w:t>800</w:t>
      </w:r>
      <w:r w:rsidRPr="00A336CB">
        <w:rPr>
          <w:rFonts w:cs="Times New Roman" w:hint="eastAsia"/>
          <w:szCs w:val="28"/>
        </w:rPr>
        <w:t>個私人住宅單位落成，較過去五年的平均每年落成量（</w:t>
      </w:r>
      <w:r w:rsidRPr="00A336CB">
        <w:rPr>
          <w:rFonts w:cs="Times New Roman" w:hint="eastAsia"/>
          <w:szCs w:val="28"/>
        </w:rPr>
        <w:t>13</w:t>
      </w:r>
      <w:r w:rsidRPr="00A336CB">
        <w:rPr>
          <w:rFonts w:cs="Times New Roman"/>
          <w:szCs w:val="28"/>
        </w:rPr>
        <w:t> </w:t>
      </w:r>
      <w:r w:rsidRPr="00A336CB">
        <w:rPr>
          <w:rFonts w:cs="Times New Roman" w:hint="eastAsia"/>
          <w:szCs w:val="28"/>
        </w:rPr>
        <w:t>500</w:t>
      </w:r>
      <w:r w:rsidRPr="00A336CB">
        <w:rPr>
          <w:rFonts w:cs="Times New Roman" w:hint="eastAsia"/>
          <w:szCs w:val="28"/>
        </w:rPr>
        <w:t>個單位）增加約五成。政府會繼續推出房屋用地，以確保長期有充足和穩定的土地</w:t>
      </w:r>
      <w:r w:rsidRPr="00A336CB">
        <w:rPr>
          <w:rFonts w:cs="Times New Roman" w:hint="eastAsia"/>
          <w:szCs w:val="28"/>
        </w:rPr>
        <w:lastRenderedPageBreak/>
        <w:t>供應，回應社會各階層殷切的自置居所需求。</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向空置的一手私人住宅單位徵收「額外差餉」</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w:t>
      </w:r>
      <w:r>
        <w:rPr>
          <w:rFonts w:cs="Times New Roman"/>
          <w:szCs w:val="28"/>
        </w:rPr>
        <w:t>3.</w:t>
      </w:r>
      <w:r w:rsidRPr="00A336CB">
        <w:rPr>
          <w:rFonts w:cs="Times New Roman" w:hint="eastAsia"/>
          <w:szCs w:val="28"/>
        </w:rPr>
        <w:tab/>
      </w:r>
      <w:r w:rsidRPr="00A336CB">
        <w:rPr>
          <w:rFonts w:cs="Times New Roman" w:hint="eastAsia"/>
          <w:szCs w:val="28"/>
        </w:rPr>
        <w:t>政府將修訂《差餉條例》（第</w:t>
      </w:r>
      <w:r w:rsidRPr="00A336CB">
        <w:rPr>
          <w:rFonts w:cs="Times New Roman" w:hint="eastAsia"/>
          <w:szCs w:val="28"/>
        </w:rPr>
        <w:t>116</w:t>
      </w:r>
      <w:r w:rsidRPr="00A336CB">
        <w:rPr>
          <w:rFonts w:cs="Times New Roman" w:hint="eastAsia"/>
          <w:szCs w:val="28"/>
        </w:rPr>
        <w:t>章），就空置的一手私人住宅單位徵收「額外差餉」。有關修訂會要求獲發佔用許可證達</w:t>
      </w:r>
      <w:r w:rsidRPr="00A336CB">
        <w:rPr>
          <w:rFonts w:cs="Times New Roman" w:hint="eastAsia"/>
          <w:szCs w:val="28"/>
        </w:rPr>
        <w:t>12</w:t>
      </w:r>
      <w:r w:rsidRPr="00A336CB">
        <w:rPr>
          <w:rFonts w:cs="Times New Roman" w:hint="eastAsia"/>
          <w:szCs w:val="28"/>
        </w:rPr>
        <w:t>個月或以上的一手私人住宅單位的發展商，每年向政府申報單位的狀況。如果這些單位在過去</w:t>
      </w:r>
      <w:r w:rsidRPr="00A336CB">
        <w:rPr>
          <w:rFonts w:cs="Times New Roman" w:hint="eastAsia"/>
          <w:szCs w:val="28"/>
        </w:rPr>
        <w:t>12</w:t>
      </w:r>
      <w:r w:rsidRPr="00A336CB">
        <w:rPr>
          <w:rFonts w:cs="Times New Roman" w:hint="eastAsia"/>
          <w:szCs w:val="28"/>
        </w:rPr>
        <w:t>個月內，有超過</w:t>
      </w:r>
      <w:r w:rsidRPr="00A336CB">
        <w:rPr>
          <w:rFonts w:cs="Times New Roman" w:hint="eastAsia"/>
          <w:szCs w:val="28"/>
        </w:rPr>
        <w:t>6</w:t>
      </w:r>
      <w:r w:rsidRPr="00A336CB">
        <w:rPr>
          <w:rFonts w:cs="Times New Roman" w:hint="eastAsia"/>
          <w:szCs w:val="28"/>
        </w:rPr>
        <w:t>個月的時間並未作出租用途，便會被視為空置單位，有關業主須繳付「額外差餉」。「額外差餉」會由差餉物業估價署按年徵收，金額為該單位的應課差餉租值的兩倍（即</w:t>
      </w:r>
      <w:r w:rsidRPr="00A336CB">
        <w:rPr>
          <w:rFonts w:cs="Times New Roman" w:hint="eastAsia"/>
          <w:szCs w:val="28"/>
        </w:rPr>
        <w:t>200%</w:t>
      </w:r>
      <w:r w:rsidRPr="00A336CB">
        <w:rPr>
          <w:rFonts w:cs="Times New Roman" w:hint="eastAsia"/>
          <w:szCs w:val="28"/>
        </w:rPr>
        <w:t>）。政府計劃在</w:t>
      </w:r>
      <w:r w:rsidRPr="00A336CB">
        <w:rPr>
          <w:rFonts w:cs="Times New Roman" w:hint="eastAsia"/>
          <w:szCs w:val="28"/>
        </w:rPr>
        <w:t>2018/19</w:t>
      </w:r>
      <w:r w:rsidRPr="00A336CB">
        <w:rPr>
          <w:rFonts w:cs="Times New Roman" w:hint="eastAsia"/>
          <w:szCs w:val="28"/>
        </w:rPr>
        <w:t>立法年度內向立法會提交修訂條例草案。「額外差餉」會在有關修訂條例獲立法會通過並刊憲後生效。</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需求管理措施</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w:t>
      </w:r>
      <w:r>
        <w:rPr>
          <w:rFonts w:cs="Times New Roman"/>
          <w:szCs w:val="28"/>
        </w:rPr>
        <w:t>4.</w:t>
      </w:r>
      <w:r w:rsidRPr="00A336CB">
        <w:rPr>
          <w:rFonts w:cs="Times New Roman" w:hint="eastAsia"/>
          <w:szCs w:val="28"/>
        </w:rPr>
        <w:tab/>
      </w:r>
      <w:r w:rsidRPr="00A336CB">
        <w:rPr>
          <w:rFonts w:cs="Times New Roman" w:hint="eastAsia"/>
          <w:szCs w:val="28"/>
        </w:rPr>
        <w:t>因應樓市近年因供求嚴重失衡、利率超低和流動資金氾濫等因素所造成的過熱情況，政府自</w:t>
      </w:r>
      <w:r w:rsidRPr="00A336CB">
        <w:rPr>
          <w:rFonts w:cs="Times New Roman" w:hint="eastAsia"/>
          <w:szCs w:val="28"/>
        </w:rPr>
        <w:t>2010</w:t>
      </w:r>
      <w:r w:rsidRPr="00A336CB">
        <w:rPr>
          <w:rFonts w:cs="Times New Roman" w:hint="eastAsia"/>
          <w:szCs w:val="28"/>
        </w:rPr>
        <w:t>年起推出多輪需求管理措施，包括額外印花稅、買家印花稅、雙倍從價印花稅，以及新住宅印花稅，以打擊短期炒賣活動、遏抑外來需求和減少投資需求。儘管樓價近月有所回落，但仍然偏離經濟基調，政府須維持各項需求管理措施，確保樓市健康發展。</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《業主與租客（綜合）條例》（第</w:t>
      </w:r>
      <w:r w:rsidRPr="00A336CB">
        <w:rPr>
          <w:rFonts w:cs="Times New Roman"/>
          <w:i/>
          <w:szCs w:val="28"/>
        </w:rPr>
        <w:t>7</w:t>
      </w:r>
      <w:r w:rsidRPr="00A336CB">
        <w:rPr>
          <w:rFonts w:cs="Times New Roman" w:hint="eastAsia"/>
          <w:i/>
          <w:szCs w:val="28"/>
        </w:rPr>
        <w:t>章）</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w:t>
      </w:r>
      <w:r>
        <w:rPr>
          <w:rFonts w:cs="Times New Roman"/>
          <w:szCs w:val="28"/>
        </w:rPr>
        <w:t>5.</w:t>
      </w:r>
      <w:r w:rsidRPr="00A336CB">
        <w:rPr>
          <w:rFonts w:cs="Times New Roman"/>
          <w:szCs w:val="28"/>
        </w:rPr>
        <w:tab/>
      </w:r>
      <w:r w:rsidRPr="00A336CB">
        <w:rPr>
          <w:rFonts w:cs="Times New Roman" w:hint="eastAsia"/>
          <w:szCs w:val="28"/>
        </w:rPr>
        <w:t>經修訂《業主與租客（綜合）條例》後，租金管制及租住權管制已分別在</w:t>
      </w:r>
      <w:r w:rsidRPr="00A336CB">
        <w:rPr>
          <w:rFonts w:cs="Times New Roman"/>
          <w:szCs w:val="28"/>
        </w:rPr>
        <w:t>1998</w:t>
      </w:r>
      <w:r w:rsidRPr="00A336CB">
        <w:rPr>
          <w:rFonts w:cs="Times New Roman" w:hint="eastAsia"/>
          <w:szCs w:val="28"/>
        </w:rPr>
        <w:t>及</w:t>
      </w:r>
      <w:r w:rsidRPr="00A336CB">
        <w:rPr>
          <w:rFonts w:cs="Times New Roman"/>
          <w:szCs w:val="28"/>
        </w:rPr>
        <w:t>2004</w:t>
      </w:r>
      <w:r w:rsidRPr="00A336CB">
        <w:rPr>
          <w:rFonts w:cs="Times New Roman" w:hint="eastAsia"/>
          <w:szCs w:val="28"/>
        </w:rPr>
        <w:t>年全面撤銷。業主與租客可自行協商和訂定租約的各項條款，讓雙方更有彈性地訂立一個切合他們的實際需要的租務安排。政府認為在當前房屋供應仍然緊絀的情況下，推行任何形式的租務管制可能會帶來反效果，並不符合基層租戶及社會整體利益。政府現時沒有計劃就《業主與租客（綜合）條例》進行檢討。</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w:t>
      </w:r>
      <w:r>
        <w:rPr>
          <w:rFonts w:cs="Times New Roman"/>
          <w:szCs w:val="28"/>
        </w:rPr>
        <w:t>6.</w:t>
      </w:r>
      <w:r w:rsidRPr="00A336CB">
        <w:rPr>
          <w:rFonts w:cs="Times New Roman" w:hint="eastAsia"/>
          <w:szCs w:val="28"/>
        </w:rPr>
        <w:tab/>
      </w:r>
      <w:r w:rsidRPr="00A336CB">
        <w:rPr>
          <w:rFonts w:cs="Times New Roman" w:hint="eastAsia"/>
          <w:szCs w:val="28"/>
        </w:rPr>
        <w:t>差餉物業估價署為有需要的市民就租務事宜提供免費諮詢及調解服務。業主和租客亦可參考地產代理監管局印製的兩本名為《訂立租約須知》和《安心租屋指南》小冊子，以進一步了解訂立租</w:t>
      </w:r>
      <w:r w:rsidRPr="00A336CB">
        <w:rPr>
          <w:rFonts w:cs="Times New Roman" w:hint="eastAsia"/>
          <w:szCs w:val="28"/>
        </w:rPr>
        <w:lastRenderedPageBreak/>
        <w:t>約時應注意的各項要點、租約應列明的條款、業主與租客在簽署租約前後的權利和責任等。</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i/>
          <w:szCs w:val="28"/>
        </w:rPr>
      </w:pPr>
      <w:r w:rsidRPr="00A336CB">
        <w:rPr>
          <w:rFonts w:cs="Times New Roman" w:hint="eastAsia"/>
          <w:i/>
          <w:szCs w:val="28"/>
        </w:rPr>
        <w:t>協助分間樓宇單位居民的措施</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A336CB" w:rsidRDefault="00BE6C12" w:rsidP="00BE6C12">
      <w:pPr>
        <w:tabs>
          <w:tab w:val="left" w:pos="1440"/>
        </w:tabs>
        <w:adjustRightInd w:val="0"/>
        <w:snapToGrid w:val="0"/>
        <w:spacing w:line="400" w:lineRule="atLeast"/>
        <w:jc w:val="both"/>
        <w:rPr>
          <w:rFonts w:cs="Times New Roman"/>
          <w:szCs w:val="28"/>
        </w:rPr>
      </w:pPr>
      <w:r w:rsidRPr="00A336CB">
        <w:rPr>
          <w:rFonts w:cs="Times New Roman"/>
          <w:szCs w:val="28"/>
        </w:rPr>
        <w:t>1</w:t>
      </w:r>
      <w:r>
        <w:rPr>
          <w:rFonts w:cs="Times New Roman"/>
          <w:szCs w:val="28"/>
        </w:rPr>
        <w:t>7.</w:t>
      </w:r>
      <w:r w:rsidRPr="00A336CB">
        <w:rPr>
          <w:rFonts w:cs="Times New Roman" w:hint="eastAsia"/>
          <w:szCs w:val="28"/>
        </w:rPr>
        <w:tab/>
      </w:r>
      <w:r w:rsidRPr="00A336CB">
        <w:rPr>
          <w:rFonts w:cs="Times New Roman" w:hint="eastAsia"/>
          <w:szCs w:val="28"/>
        </w:rPr>
        <w:t>政府一直採取不同的措施，紓緩低收入住戶（包括分間樓宇單位住戶）所面對的住屋困難。有迫切及長遠住屋需要而沒有其他可行方法及能力自行解決其居住問題的人士，可向社署查詢相關福利服務或援助。社署會就每宗個案進行評估，並為合資格人士向房屋署推薦「體恤安置」申請，以提早獲配公屋。此外，符合資格的公屋申請者如希望提前獲配公屋單位，亦可以考慮參加「特快公屋編配計劃」。</w:t>
      </w:r>
    </w:p>
    <w:p w:rsidR="00BE6C12" w:rsidRPr="00A336CB" w:rsidRDefault="00BE6C12" w:rsidP="00BE6C12">
      <w:pPr>
        <w:tabs>
          <w:tab w:val="left" w:pos="1440"/>
        </w:tabs>
        <w:adjustRightInd w:val="0"/>
        <w:snapToGrid w:val="0"/>
        <w:spacing w:line="400" w:lineRule="atLeast"/>
        <w:jc w:val="both"/>
        <w:rPr>
          <w:rFonts w:cs="Times New Roman"/>
          <w:szCs w:val="28"/>
        </w:rPr>
      </w:pPr>
    </w:p>
    <w:p w:rsidR="00BE6C12" w:rsidRPr="00EA0E72" w:rsidRDefault="00BE6C12" w:rsidP="00BE6C12">
      <w:pPr>
        <w:pStyle w:val="2"/>
        <w:tabs>
          <w:tab w:val="left" w:pos="1440"/>
        </w:tabs>
        <w:adjustRightInd w:val="0"/>
        <w:snapToGrid w:val="0"/>
        <w:spacing w:after="0" w:line="400" w:lineRule="atLeast"/>
        <w:jc w:val="both"/>
        <w:rPr>
          <w:lang w:val="en-GB"/>
        </w:rPr>
      </w:pPr>
      <w:r w:rsidRPr="00A336CB">
        <w:rPr>
          <w:rFonts w:eastAsia="標楷體"/>
          <w:sz w:val="28"/>
          <w:szCs w:val="28"/>
        </w:rPr>
        <w:t>1</w:t>
      </w:r>
      <w:r>
        <w:rPr>
          <w:rFonts w:eastAsia="標楷體"/>
          <w:sz w:val="28"/>
          <w:szCs w:val="28"/>
        </w:rPr>
        <w:t>8.</w:t>
      </w:r>
      <w:r w:rsidRPr="00A336CB">
        <w:rPr>
          <w:rFonts w:eastAsia="標楷體" w:hint="eastAsia"/>
          <w:sz w:val="28"/>
          <w:szCs w:val="28"/>
        </w:rPr>
        <w:tab/>
      </w:r>
      <w:r w:rsidRPr="00A336CB">
        <w:rPr>
          <w:rFonts w:eastAsia="標楷體" w:hint="eastAsia"/>
          <w:sz w:val="28"/>
          <w:szCs w:val="28"/>
        </w:rPr>
        <w:t>政府各部門亦在房屋、社會福利、社區支援服務等各方面，向低收入住戶提供適切的協助。例如綜援計劃已為那些在經濟上無法自給自足的人士提供安全網，以應付基本生活需要。綜援計劃下的受助人（包括公屋及私樓租戶），可獲發租金津貼，以支付居所的費用。此外，政府亦已推出</w:t>
      </w:r>
      <w:r w:rsidRPr="00A336CB">
        <w:rPr>
          <w:rFonts w:eastAsia="標楷體" w:hint="eastAsia"/>
          <w:sz w:val="28"/>
          <w:szCs w:val="28"/>
          <w:lang w:val="en-GB"/>
        </w:rPr>
        <w:t>職津計劃</w:t>
      </w:r>
      <w:r w:rsidRPr="00A336CB">
        <w:rPr>
          <w:rFonts w:eastAsia="標楷體" w:hint="eastAsia"/>
          <w:sz w:val="28"/>
          <w:szCs w:val="28"/>
        </w:rPr>
        <w:t>和「鼓勵就業交通津貼」等恆常現金項目，為低收入住戶提供額外支援。</w:t>
      </w:r>
    </w:p>
    <w:p w:rsidR="00747021" w:rsidRDefault="00747021" w:rsidP="001745ED">
      <w:pPr>
        <w:tabs>
          <w:tab w:val="left" w:pos="1440"/>
          <w:tab w:val="left" w:pos="1680"/>
        </w:tabs>
        <w:adjustRightInd w:val="0"/>
        <w:snapToGrid w:val="0"/>
        <w:spacing w:line="400" w:lineRule="atLeast"/>
        <w:ind w:right="-154"/>
        <w:jc w:val="both"/>
        <w:rPr>
          <w:rFonts w:cs="Times New Roman"/>
          <w:bCs/>
          <w:kern w:val="0"/>
          <w:szCs w:val="28"/>
          <w:lang w:val="en-GB"/>
        </w:rPr>
        <w:sectPr w:rsidR="00747021" w:rsidSect="00BE6C12">
          <w:footerReference w:type="default" r:id="rId62"/>
          <w:footerReference w:type="first" r:id="rId63"/>
          <w:footnotePr>
            <w:numRestart w:val="eachSect"/>
          </w:footnotePr>
          <w:pgSz w:w="11906" w:h="16838"/>
          <w:pgMar w:top="1440" w:right="1800" w:bottom="1440" w:left="1800" w:header="720" w:footer="720" w:gutter="0"/>
          <w:pgNumType w:start="1"/>
          <w:cols w:space="425"/>
          <w:titlePg/>
          <w:docGrid w:type="lines" w:linePitch="381"/>
        </w:sectPr>
      </w:pPr>
    </w:p>
    <w:p w:rsidR="00747021" w:rsidRDefault="00747021" w:rsidP="00747021">
      <w:pPr>
        <w:snapToGrid w:val="0"/>
        <w:spacing w:line="360" w:lineRule="atLeast"/>
        <w:jc w:val="right"/>
        <w:rPr>
          <w:rFonts w:cs="Times New Roman"/>
          <w:b/>
          <w:lang w:val="en-GB"/>
        </w:rPr>
      </w:pPr>
      <w:r w:rsidRPr="00D2773C">
        <w:rPr>
          <w:rFonts w:cs="Times New Roman"/>
          <w:b/>
          <w:lang w:val="en-GB"/>
        </w:rPr>
        <w:lastRenderedPageBreak/>
        <w:t>附件</w:t>
      </w:r>
      <w:r>
        <w:rPr>
          <w:rFonts w:cs="Times New Roman" w:hint="eastAsia"/>
          <w:b/>
          <w:lang w:val="en-GB"/>
        </w:rPr>
        <w:t>1</w:t>
      </w:r>
      <w:r>
        <w:rPr>
          <w:rFonts w:cs="Times New Roman"/>
          <w:b/>
          <w:lang w:val="en-GB"/>
        </w:rPr>
        <w:t>2</w:t>
      </w:r>
      <w:r w:rsidRPr="00D2773C">
        <w:rPr>
          <w:rFonts w:cs="Times New Roman"/>
          <w:b/>
          <w:lang w:val="en-GB"/>
        </w:rPr>
        <w:t>A</w:t>
      </w:r>
    </w:p>
    <w:p w:rsidR="00747021" w:rsidRDefault="00747021" w:rsidP="00747021">
      <w:pPr>
        <w:snapToGrid w:val="0"/>
        <w:spacing w:line="360" w:lineRule="atLeast"/>
        <w:jc w:val="center"/>
        <w:rPr>
          <w:szCs w:val="28"/>
          <w:u w:val="single"/>
        </w:rPr>
      </w:pPr>
    </w:p>
    <w:p w:rsidR="00747021" w:rsidRDefault="00747021" w:rsidP="00747021">
      <w:pPr>
        <w:snapToGrid w:val="0"/>
        <w:spacing w:line="360" w:lineRule="atLeast"/>
        <w:jc w:val="center"/>
        <w:rPr>
          <w:b/>
          <w:szCs w:val="28"/>
          <w:lang w:eastAsia="zh-HK"/>
        </w:rPr>
      </w:pPr>
      <w:r w:rsidRPr="00520131">
        <w:rPr>
          <w:rFonts w:hint="eastAsia"/>
          <w:b/>
          <w:szCs w:val="28"/>
          <w:lang w:eastAsia="zh-HK"/>
        </w:rPr>
        <w:t>全港性電子健康紀錄互通系統、</w:t>
      </w:r>
    </w:p>
    <w:p w:rsidR="00747021" w:rsidRPr="00520131" w:rsidRDefault="00747021" w:rsidP="00747021">
      <w:pPr>
        <w:snapToGrid w:val="0"/>
        <w:spacing w:line="360" w:lineRule="atLeast"/>
        <w:jc w:val="center"/>
        <w:rPr>
          <w:b/>
          <w:szCs w:val="28"/>
          <w:lang w:eastAsia="zh-HK"/>
        </w:rPr>
      </w:pPr>
      <w:r w:rsidRPr="00D2773C">
        <w:rPr>
          <w:rFonts w:hint="eastAsia"/>
          <w:b/>
          <w:szCs w:val="28"/>
          <w:lang w:eastAsia="zh-HK"/>
        </w:rPr>
        <w:t>公立醫院及門診服務和牙齒保健服務</w:t>
      </w:r>
    </w:p>
    <w:p w:rsidR="00747021" w:rsidRDefault="00747021" w:rsidP="00747021">
      <w:pPr>
        <w:pStyle w:val="2"/>
        <w:tabs>
          <w:tab w:val="left" w:pos="1440"/>
        </w:tabs>
        <w:adjustRightInd w:val="0"/>
        <w:snapToGrid w:val="0"/>
        <w:spacing w:after="0" w:line="400" w:lineRule="atLeast"/>
        <w:jc w:val="both"/>
        <w:rPr>
          <w:rFonts w:eastAsia="標楷體"/>
        </w:rPr>
      </w:pPr>
    </w:p>
    <w:p w:rsidR="00747021" w:rsidRPr="0010136F" w:rsidRDefault="00747021" w:rsidP="00747021">
      <w:pPr>
        <w:pStyle w:val="2"/>
        <w:tabs>
          <w:tab w:val="left" w:pos="1440"/>
          <w:tab w:val="left" w:pos="1680"/>
        </w:tabs>
        <w:adjustRightInd w:val="0"/>
        <w:snapToGrid w:val="0"/>
        <w:spacing w:after="0" w:line="400" w:lineRule="atLeast"/>
        <w:jc w:val="both"/>
        <w:rPr>
          <w:rFonts w:eastAsia="標楷體"/>
          <w:sz w:val="28"/>
          <w:szCs w:val="28"/>
          <w:u w:val="single"/>
        </w:rPr>
      </w:pPr>
      <w:r w:rsidRPr="0010136F">
        <w:rPr>
          <w:rFonts w:eastAsia="標楷體" w:hint="eastAsia"/>
          <w:sz w:val="28"/>
          <w:szCs w:val="28"/>
          <w:u w:val="single"/>
        </w:rPr>
        <w:t>全港性電子健康紀錄互通系統</w:t>
      </w:r>
    </w:p>
    <w:p w:rsidR="00747021"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Pr="00965132"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w:t>
      </w:r>
      <w:r>
        <w:rPr>
          <w:rFonts w:eastAsia="標楷體" w:hint="eastAsia"/>
          <w:sz w:val="28"/>
          <w:szCs w:val="28"/>
        </w:rPr>
        <w:tab/>
      </w:r>
      <w:r w:rsidRPr="00965132">
        <w:rPr>
          <w:rFonts w:eastAsia="標楷體" w:hint="eastAsia"/>
          <w:sz w:val="28"/>
          <w:szCs w:val="28"/>
        </w:rPr>
        <w:t>由政府主導的全港性電子健康紀錄互通系統於</w:t>
      </w:r>
      <w:r w:rsidRPr="00965132">
        <w:rPr>
          <w:rFonts w:eastAsia="標楷體"/>
          <w:sz w:val="28"/>
          <w:szCs w:val="28"/>
        </w:rPr>
        <w:t>2016</w:t>
      </w:r>
      <w:r w:rsidRPr="00965132">
        <w:rPr>
          <w:rFonts w:eastAsia="標楷體" w:hint="eastAsia"/>
          <w:sz w:val="28"/>
          <w:szCs w:val="28"/>
        </w:rPr>
        <w:t>年</w:t>
      </w:r>
      <w:r w:rsidRPr="00965132">
        <w:rPr>
          <w:rFonts w:eastAsia="標楷體"/>
          <w:sz w:val="28"/>
          <w:szCs w:val="28"/>
        </w:rPr>
        <w:t>3</w:t>
      </w:r>
      <w:r w:rsidRPr="00965132">
        <w:rPr>
          <w:rFonts w:eastAsia="標楷體" w:hint="eastAsia"/>
          <w:sz w:val="28"/>
          <w:szCs w:val="28"/>
        </w:rPr>
        <w:t>月啟用，藉以推動公私營協作、促進更連貫的病人護理服務，以及提升醫療服務質素和成本效益。公私營醫護提供者在得到病人的知情同意並根據「有需要知道」的原則，可透過</w:t>
      </w:r>
      <w:r>
        <w:rPr>
          <w:rFonts w:eastAsia="標楷體" w:hint="eastAsia"/>
          <w:sz w:val="28"/>
          <w:szCs w:val="28"/>
          <w:lang w:eastAsia="zh-HK"/>
        </w:rPr>
        <w:t>該</w:t>
      </w:r>
      <w:r w:rsidRPr="00965132">
        <w:rPr>
          <w:rFonts w:eastAsia="標楷體" w:hint="eastAsia"/>
          <w:sz w:val="28"/>
          <w:szCs w:val="28"/>
        </w:rPr>
        <w:t>互通系統，在安全的共用平台上取覽並互通病人的電子健康紀錄。病人及醫護提供者參與及使用互通系統屬自願性質，毋須付費。《電子健康紀錄互通系統條例》（第</w:t>
      </w:r>
      <w:r w:rsidRPr="00965132">
        <w:rPr>
          <w:rFonts w:eastAsia="標楷體"/>
          <w:sz w:val="28"/>
          <w:szCs w:val="28"/>
        </w:rPr>
        <w:t>625</w:t>
      </w:r>
      <w:r w:rsidRPr="00965132">
        <w:rPr>
          <w:rFonts w:eastAsia="標楷體" w:hint="eastAsia"/>
          <w:sz w:val="28"/>
          <w:szCs w:val="28"/>
        </w:rPr>
        <w:t>章）於</w:t>
      </w:r>
      <w:r w:rsidRPr="00965132">
        <w:rPr>
          <w:rFonts w:eastAsia="標楷體"/>
          <w:sz w:val="28"/>
          <w:szCs w:val="28"/>
        </w:rPr>
        <w:t>2015</w:t>
      </w:r>
      <w:r w:rsidRPr="00965132">
        <w:rPr>
          <w:rFonts w:eastAsia="標楷體" w:hint="eastAsia"/>
          <w:sz w:val="28"/>
          <w:szCs w:val="28"/>
        </w:rPr>
        <w:t>年</w:t>
      </w:r>
      <w:r w:rsidRPr="00965132">
        <w:rPr>
          <w:rFonts w:eastAsia="標楷體"/>
          <w:sz w:val="28"/>
          <w:szCs w:val="28"/>
        </w:rPr>
        <w:t>12</w:t>
      </w:r>
      <w:r w:rsidRPr="00965132">
        <w:rPr>
          <w:rFonts w:eastAsia="標楷體" w:hint="eastAsia"/>
          <w:sz w:val="28"/>
          <w:szCs w:val="28"/>
        </w:rPr>
        <w:t>月生效，為登記及使用、電子健康紀錄互通，及保障系統安全、資料完整性及病人私隱提供了法律架構。互通系統運作暢順。截至</w:t>
      </w:r>
      <w:r w:rsidRPr="00965132">
        <w:rPr>
          <w:rFonts w:eastAsia="標楷體"/>
          <w:sz w:val="28"/>
          <w:szCs w:val="28"/>
        </w:rPr>
        <w:t>2019</w:t>
      </w:r>
      <w:r w:rsidRPr="00965132">
        <w:rPr>
          <w:rFonts w:eastAsia="標楷體" w:hint="eastAsia"/>
          <w:sz w:val="28"/>
          <w:szCs w:val="28"/>
        </w:rPr>
        <w:t>年</w:t>
      </w:r>
      <w:r w:rsidRPr="00965132">
        <w:rPr>
          <w:rFonts w:eastAsia="標楷體"/>
          <w:sz w:val="28"/>
          <w:szCs w:val="28"/>
        </w:rPr>
        <w:t>2</w:t>
      </w:r>
      <w:r w:rsidRPr="00965132">
        <w:rPr>
          <w:rFonts w:eastAsia="標楷體" w:hint="eastAsia"/>
          <w:sz w:val="28"/>
          <w:szCs w:val="28"/>
        </w:rPr>
        <w:t>月中，接近</w:t>
      </w:r>
      <w:r w:rsidRPr="00965132">
        <w:rPr>
          <w:rFonts w:eastAsia="標楷體"/>
          <w:sz w:val="28"/>
          <w:szCs w:val="28"/>
        </w:rPr>
        <w:t>980</w:t>
      </w:r>
      <w:r>
        <w:rPr>
          <w:rFonts w:eastAsia="標楷體"/>
          <w:sz w:val="28"/>
          <w:szCs w:val="28"/>
        </w:rPr>
        <w:t> </w:t>
      </w:r>
      <w:r w:rsidRPr="00965132">
        <w:rPr>
          <w:rFonts w:eastAsia="標楷體"/>
          <w:sz w:val="28"/>
          <w:szCs w:val="28"/>
        </w:rPr>
        <w:t>000</w:t>
      </w:r>
      <w:r w:rsidRPr="00965132">
        <w:rPr>
          <w:rFonts w:eastAsia="標楷體" w:hint="eastAsia"/>
          <w:sz w:val="28"/>
          <w:szCs w:val="28"/>
        </w:rPr>
        <w:t>名市民已參加互通系統，約佔全港人口的</w:t>
      </w:r>
      <w:r w:rsidRPr="00965132">
        <w:rPr>
          <w:rFonts w:eastAsia="標楷體"/>
          <w:sz w:val="28"/>
          <w:szCs w:val="28"/>
        </w:rPr>
        <w:t>13%</w:t>
      </w:r>
      <w:r w:rsidRPr="00965132">
        <w:rPr>
          <w:rFonts w:eastAsia="標楷體" w:hint="eastAsia"/>
          <w:sz w:val="28"/>
          <w:szCs w:val="28"/>
        </w:rPr>
        <w:t>。</w:t>
      </w:r>
    </w:p>
    <w:p w:rsidR="00747021" w:rsidRPr="00965132"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Default="00747021" w:rsidP="00747021">
      <w:pPr>
        <w:pStyle w:val="2"/>
        <w:tabs>
          <w:tab w:val="left" w:pos="1440"/>
        </w:tabs>
        <w:adjustRightInd w:val="0"/>
        <w:snapToGrid w:val="0"/>
        <w:spacing w:after="0" w:line="400" w:lineRule="atLeast"/>
        <w:jc w:val="both"/>
        <w:rPr>
          <w:rFonts w:eastAsia="標楷體"/>
          <w:sz w:val="28"/>
          <w:szCs w:val="28"/>
          <w:u w:val="single"/>
        </w:rPr>
      </w:pPr>
      <w:r>
        <w:rPr>
          <w:rFonts w:eastAsia="標楷體" w:hint="eastAsia"/>
          <w:sz w:val="28"/>
          <w:szCs w:val="28"/>
        </w:rPr>
        <w:t>2.</w:t>
      </w:r>
      <w:r>
        <w:rPr>
          <w:rFonts w:eastAsia="標楷體" w:hint="eastAsia"/>
          <w:sz w:val="28"/>
          <w:szCs w:val="28"/>
        </w:rPr>
        <w:tab/>
      </w:r>
      <w:r w:rsidRPr="00965132">
        <w:rPr>
          <w:rFonts w:eastAsia="標楷體" w:hint="eastAsia"/>
          <w:sz w:val="28"/>
          <w:szCs w:val="28"/>
        </w:rPr>
        <w:t>第二階段互通系統的開發工作</w:t>
      </w:r>
      <w:r>
        <w:rPr>
          <w:rFonts w:eastAsia="標楷體" w:hint="eastAsia"/>
          <w:sz w:val="28"/>
          <w:szCs w:val="28"/>
          <w:lang w:eastAsia="zh-HK"/>
        </w:rPr>
        <w:t>已</w:t>
      </w:r>
      <w:r w:rsidRPr="00965132">
        <w:rPr>
          <w:rFonts w:eastAsia="標楷體" w:hint="eastAsia"/>
          <w:sz w:val="28"/>
          <w:szCs w:val="28"/>
        </w:rPr>
        <w:t>於</w:t>
      </w:r>
      <w:r w:rsidRPr="00965132">
        <w:rPr>
          <w:rFonts w:eastAsia="標楷體"/>
          <w:sz w:val="28"/>
          <w:szCs w:val="28"/>
        </w:rPr>
        <w:t>2017</w:t>
      </w:r>
      <w:r w:rsidRPr="00965132">
        <w:rPr>
          <w:rFonts w:eastAsia="標楷體" w:hint="eastAsia"/>
          <w:sz w:val="28"/>
          <w:szCs w:val="28"/>
        </w:rPr>
        <w:t>年</w:t>
      </w:r>
      <w:r w:rsidRPr="00965132">
        <w:rPr>
          <w:rFonts w:eastAsia="標楷體"/>
          <w:sz w:val="28"/>
          <w:szCs w:val="28"/>
        </w:rPr>
        <w:t>7</w:t>
      </w:r>
      <w:r w:rsidRPr="00965132">
        <w:rPr>
          <w:rFonts w:eastAsia="標楷體" w:hint="eastAsia"/>
          <w:sz w:val="28"/>
          <w:szCs w:val="28"/>
        </w:rPr>
        <w:t>月展開，主要擴大可互通資料範圍以涵蓋放射影</w:t>
      </w:r>
      <w:r>
        <w:rPr>
          <w:rFonts w:eastAsia="標楷體" w:hint="eastAsia"/>
          <w:sz w:val="28"/>
          <w:szCs w:val="28"/>
        </w:rPr>
        <w:t>像和中醫藥資料；並制定互通限制功能，以增加病人選擇及私隱保障，</w:t>
      </w:r>
      <w:r w:rsidRPr="00965132">
        <w:rPr>
          <w:rFonts w:eastAsia="標楷體" w:hint="eastAsia"/>
          <w:sz w:val="28"/>
          <w:szCs w:val="28"/>
        </w:rPr>
        <w:t>及建立「病人平台」作為香港的多功能公共衞生電子平台。第二階段的開發工作預計在</w:t>
      </w:r>
      <w:r w:rsidRPr="00965132">
        <w:rPr>
          <w:rFonts w:eastAsia="標楷體"/>
          <w:sz w:val="28"/>
          <w:szCs w:val="28"/>
        </w:rPr>
        <w:t>2022</w:t>
      </w:r>
      <w:r w:rsidRPr="00965132">
        <w:rPr>
          <w:rFonts w:eastAsia="標楷體" w:hint="eastAsia"/>
          <w:sz w:val="28"/>
          <w:szCs w:val="28"/>
        </w:rPr>
        <w:t>年前分階段完成。</w:t>
      </w:r>
    </w:p>
    <w:p w:rsidR="00747021" w:rsidRPr="00C11C8A" w:rsidRDefault="00747021" w:rsidP="00747021">
      <w:pPr>
        <w:pStyle w:val="2"/>
        <w:tabs>
          <w:tab w:val="left" w:pos="1440"/>
        </w:tabs>
        <w:adjustRightInd w:val="0"/>
        <w:snapToGrid w:val="0"/>
        <w:spacing w:after="0" w:line="400" w:lineRule="atLeast"/>
        <w:jc w:val="both"/>
        <w:rPr>
          <w:rFonts w:eastAsia="標楷體"/>
        </w:rPr>
      </w:pPr>
    </w:p>
    <w:p w:rsidR="00747021" w:rsidRPr="00D2773C" w:rsidRDefault="00747021" w:rsidP="00747021">
      <w:pPr>
        <w:pStyle w:val="2"/>
        <w:tabs>
          <w:tab w:val="left" w:pos="1440"/>
        </w:tabs>
        <w:adjustRightInd w:val="0"/>
        <w:snapToGrid w:val="0"/>
        <w:spacing w:after="0" w:line="400" w:lineRule="atLeast"/>
        <w:jc w:val="both"/>
        <w:rPr>
          <w:rFonts w:eastAsia="標楷體"/>
          <w:sz w:val="28"/>
          <w:szCs w:val="28"/>
          <w:u w:val="single"/>
        </w:rPr>
      </w:pPr>
      <w:r w:rsidRPr="00D2773C">
        <w:rPr>
          <w:rFonts w:eastAsia="標楷體" w:hint="eastAsia"/>
          <w:sz w:val="28"/>
          <w:szCs w:val="28"/>
          <w:u w:val="single"/>
        </w:rPr>
        <w:t>公立醫院及門診服務</w:t>
      </w:r>
    </w:p>
    <w:p w:rsidR="00747021" w:rsidRPr="00D2773C" w:rsidRDefault="00747021" w:rsidP="00747021">
      <w:pPr>
        <w:widowControl/>
        <w:tabs>
          <w:tab w:val="left" w:pos="1440"/>
        </w:tabs>
        <w:adjustRightInd w:val="0"/>
        <w:snapToGrid w:val="0"/>
        <w:spacing w:line="400" w:lineRule="atLeast"/>
        <w:jc w:val="both"/>
        <w:rPr>
          <w:rFonts w:cs="Times New Roman"/>
          <w:kern w:val="0"/>
          <w:szCs w:val="28"/>
        </w:rPr>
      </w:pPr>
    </w:p>
    <w:p w:rsidR="00747021" w:rsidRPr="00B658E3" w:rsidRDefault="00747021" w:rsidP="00B658E3">
      <w:pPr>
        <w:pStyle w:val="2"/>
        <w:tabs>
          <w:tab w:val="left" w:pos="1440"/>
        </w:tabs>
        <w:adjustRightInd w:val="0"/>
        <w:snapToGrid w:val="0"/>
        <w:spacing w:after="0" w:line="400" w:lineRule="atLeast"/>
        <w:jc w:val="both"/>
        <w:rPr>
          <w:rFonts w:eastAsia="標楷體"/>
          <w:sz w:val="28"/>
          <w:szCs w:val="28"/>
        </w:rPr>
      </w:pPr>
      <w:r w:rsidRPr="00B658E3">
        <w:rPr>
          <w:rFonts w:eastAsia="標楷體" w:hint="eastAsia"/>
          <w:sz w:val="28"/>
          <w:szCs w:val="28"/>
        </w:rPr>
        <w:t>3</w:t>
      </w:r>
      <w:r w:rsidRPr="00B658E3">
        <w:rPr>
          <w:rFonts w:eastAsia="標楷體"/>
          <w:sz w:val="28"/>
          <w:szCs w:val="28"/>
        </w:rPr>
        <w:t>.</w:t>
      </w:r>
      <w:r w:rsidRPr="00B658E3">
        <w:rPr>
          <w:rFonts w:eastAsia="標楷體"/>
          <w:sz w:val="28"/>
          <w:szCs w:val="28"/>
        </w:rPr>
        <w:tab/>
      </w:r>
      <w:r w:rsidRPr="00B658E3">
        <w:rPr>
          <w:rFonts w:eastAsia="標楷體" w:hint="eastAsia"/>
          <w:sz w:val="28"/>
          <w:szCs w:val="28"/>
        </w:rPr>
        <w:t>香港的公立醫院及相關醫療服務主要由醫管局提供。目前</w:t>
      </w:r>
      <w:r w:rsidR="00B658E3">
        <w:rPr>
          <w:rFonts w:eastAsia="標楷體"/>
          <w:sz w:val="28"/>
          <w:szCs w:val="28"/>
        </w:rPr>
        <w:t>‌</w:t>
      </w:r>
      <w:r w:rsidRPr="00B658E3">
        <w:rPr>
          <w:rFonts w:eastAsia="標楷體" w:hint="eastAsia"/>
          <w:sz w:val="28"/>
          <w:szCs w:val="28"/>
        </w:rPr>
        <w:t>，醫管局管理</w:t>
      </w:r>
      <w:r w:rsidRPr="00B658E3">
        <w:rPr>
          <w:rFonts w:eastAsia="標楷體"/>
          <w:sz w:val="28"/>
          <w:szCs w:val="28"/>
        </w:rPr>
        <w:t>43</w:t>
      </w:r>
      <w:r w:rsidRPr="00B658E3">
        <w:rPr>
          <w:rFonts w:eastAsia="標楷體" w:hint="eastAsia"/>
          <w:sz w:val="28"/>
          <w:szCs w:val="28"/>
        </w:rPr>
        <w:t>間公營醫院和機構、</w:t>
      </w:r>
      <w:r w:rsidRPr="00B658E3">
        <w:rPr>
          <w:rFonts w:eastAsia="標楷體"/>
          <w:sz w:val="28"/>
          <w:szCs w:val="28"/>
        </w:rPr>
        <w:t>49</w:t>
      </w:r>
      <w:r w:rsidRPr="00B658E3">
        <w:rPr>
          <w:rFonts w:eastAsia="標楷體" w:hint="eastAsia"/>
          <w:sz w:val="28"/>
          <w:szCs w:val="28"/>
        </w:rPr>
        <w:t>間專科門診診所和</w:t>
      </w:r>
      <w:r w:rsidRPr="00B658E3">
        <w:rPr>
          <w:rFonts w:eastAsia="標楷體"/>
          <w:sz w:val="28"/>
          <w:szCs w:val="28"/>
        </w:rPr>
        <w:t>73</w:t>
      </w:r>
      <w:r w:rsidRPr="00B658E3">
        <w:rPr>
          <w:rFonts w:eastAsia="標楷體" w:hint="eastAsia"/>
          <w:sz w:val="28"/>
          <w:szCs w:val="28"/>
        </w:rPr>
        <w:t>間普通科門診診所，透過七個聯網提供服務。</w:t>
      </w:r>
    </w:p>
    <w:p w:rsidR="00747021" w:rsidRPr="00D2773C" w:rsidRDefault="00747021" w:rsidP="00747021">
      <w:pPr>
        <w:widowControl/>
        <w:tabs>
          <w:tab w:val="left" w:pos="144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s>
        <w:adjustRightInd w:val="0"/>
        <w:snapToGrid w:val="0"/>
        <w:spacing w:line="400" w:lineRule="atLeast"/>
        <w:jc w:val="both"/>
        <w:rPr>
          <w:rFonts w:cs="Times New Roman"/>
          <w:i/>
          <w:kern w:val="0"/>
          <w:szCs w:val="28"/>
        </w:rPr>
      </w:pPr>
      <w:r w:rsidRPr="00D2773C">
        <w:rPr>
          <w:rFonts w:cs="Times New Roman" w:hint="eastAsia"/>
          <w:i/>
          <w:kern w:val="0"/>
          <w:szCs w:val="28"/>
        </w:rPr>
        <w:t>公立醫院開支</w:t>
      </w:r>
    </w:p>
    <w:p w:rsidR="00747021" w:rsidRPr="00D2773C" w:rsidRDefault="00747021" w:rsidP="00747021">
      <w:pPr>
        <w:widowControl/>
        <w:tabs>
          <w:tab w:val="left" w:pos="144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4</w:t>
      </w:r>
      <w:r>
        <w:rPr>
          <w:rFonts w:cs="Times New Roman"/>
          <w:kern w:val="0"/>
          <w:szCs w:val="28"/>
        </w:rPr>
        <w:t>.</w:t>
      </w:r>
      <w:r w:rsidRPr="00D2773C">
        <w:rPr>
          <w:rFonts w:cs="Times New Roman"/>
          <w:kern w:val="0"/>
          <w:szCs w:val="28"/>
        </w:rPr>
        <w:tab/>
      </w:r>
      <w:r w:rsidRPr="00D2773C">
        <w:rPr>
          <w:rFonts w:cs="Times New Roman" w:hint="eastAsia"/>
          <w:kern w:val="0"/>
          <w:szCs w:val="28"/>
        </w:rPr>
        <w:t>政府向醫管局的撥款近年不斷增加。在</w:t>
      </w:r>
      <w:r w:rsidRPr="00D2773C">
        <w:rPr>
          <w:rFonts w:cs="Times New Roman"/>
          <w:kern w:val="0"/>
          <w:szCs w:val="28"/>
        </w:rPr>
        <w:t>2017-18</w:t>
      </w:r>
      <w:r w:rsidRPr="00D2773C">
        <w:rPr>
          <w:rFonts w:cs="Times New Roman" w:hint="eastAsia"/>
          <w:kern w:val="0"/>
          <w:szCs w:val="28"/>
        </w:rPr>
        <w:t>年度，政府向醫管局提供的經常撥款總額為</w:t>
      </w:r>
      <w:r w:rsidRPr="00D2773C">
        <w:rPr>
          <w:rFonts w:cs="Times New Roman"/>
          <w:kern w:val="0"/>
          <w:szCs w:val="28"/>
        </w:rPr>
        <w:t>555</w:t>
      </w:r>
      <w:r w:rsidRPr="00D2773C">
        <w:rPr>
          <w:rFonts w:cs="Times New Roman" w:hint="eastAsia"/>
          <w:kern w:val="0"/>
          <w:szCs w:val="28"/>
        </w:rPr>
        <w:t>億元，較</w:t>
      </w:r>
      <w:r w:rsidRPr="00D2773C">
        <w:rPr>
          <w:rFonts w:cs="Times New Roman"/>
          <w:kern w:val="0"/>
          <w:szCs w:val="28"/>
        </w:rPr>
        <w:t>2016-17</w:t>
      </w:r>
      <w:r w:rsidRPr="00D2773C">
        <w:rPr>
          <w:rFonts w:cs="Times New Roman" w:hint="eastAsia"/>
          <w:kern w:val="0"/>
          <w:szCs w:val="28"/>
        </w:rPr>
        <w:t>年度（</w:t>
      </w:r>
      <w:r w:rsidRPr="00D2773C">
        <w:rPr>
          <w:rFonts w:cs="Times New Roman"/>
          <w:kern w:val="0"/>
          <w:szCs w:val="28"/>
        </w:rPr>
        <w:t>526‍</w:t>
      </w:r>
      <w:r w:rsidRPr="00D2773C">
        <w:rPr>
          <w:rFonts w:cs="Times New Roman" w:hint="eastAsia"/>
          <w:kern w:val="0"/>
          <w:szCs w:val="28"/>
        </w:rPr>
        <w:t>億</w:t>
      </w:r>
      <w:r w:rsidRPr="00747021">
        <w:rPr>
          <w:rFonts w:cs="Times New Roman" w:hint="eastAsia"/>
          <w:spacing w:val="2"/>
          <w:kern w:val="0"/>
          <w:szCs w:val="28"/>
        </w:rPr>
        <w:t>元）增加</w:t>
      </w:r>
      <w:r w:rsidRPr="00747021">
        <w:rPr>
          <w:rFonts w:cs="Times New Roman"/>
          <w:spacing w:val="2"/>
          <w:kern w:val="0"/>
          <w:szCs w:val="28"/>
        </w:rPr>
        <w:t>5.5%</w:t>
      </w:r>
      <w:r w:rsidRPr="00747021">
        <w:rPr>
          <w:rFonts w:cs="Times New Roman" w:hint="eastAsia"/>
          <w:spacing w:val="2"/>
          <w:kern w:val="0"/>
          <w:szCs w:val="28"/>
        </w:rPr>
        <w:t>。政府亦已決定由</w:t>
      </w:r>
      <w:r w:rsidRPr="00747021">
        <w:rPr>
          <w:rFonts w:cs="Times New Roman"/>
          <w:spacing w:val="2"/>
          <w:kern w:val="0"/>
          <w:szCs w:val="28"/>
        </w:rPr>
        <w:t>2018-19</w:t>
      </w:r>
      <w:r w:rsidRPr="00747021">
        <w:rPr>
          <w:rFonts w:cs="Times New Roman" w:hint="eastAsia"/>
          <w:spacing w:val="2"/>
          <w:kern w:val="0"/>
          <w:szCs w:val="28"/>
        </w:rPr>
        <w:t>年度開始，以每三年為一</w:t>
      </w:r>
      <w:r w:rsidRPr="00747021">
        <w:rPr>
          <w:rFonts w:cs="Times New Roman" w:hint="eastAsia"/>
          <w:spacing w:val="2"/>
          <w:kern w:val="0"/>
          <w:szCs w:val="28"/>
        </w:rPr>
        <w:lastRenderedPageBreak/>
        <w:t>周</w:t>
      </w:r>
      <w:r w:rsidRPr="00D2773C">
        <w:rPr>
          <w:rFonts w:cs="Times New Roman" w:hint="eastAsia"/>
          <w:kern w:val="0"/>
          <w:szCs w:val="28"/>
        </w:rPr>
        <w:t>期，按照人口增長比例和人口結構的變動，逐步遞增給醫管局的經常撥款。額外的經常撥款已運用在推行多項新措施及加强現有服務上，以應付與日俱增的醫院服務需求並改善病人護理質素。</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住院服務</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5</w:t>
      </w:r>
      <w:r>
        <w:rPr>
          <w:rFonts w:cs="Times New Roman"/>
          <w:kern w:val="0"/>
          <w:szCs w:val="28"/>
        </w:rPr>
        <w:t>.</w:t>
      </w:r>
      <w:r w:rsidRPr="00D2773C">
        <w:rPr>
          <w:rFonts w:cs="Times New Roman"/>
          <w:kern w:val="0"/>
          <w:szCs w:val="28"/>
        </w:rPr>
        <w:tab/>
      </w:r>
      <w:r w:rsidRPr="00D2773C">
        <w:rPr>
          <w:rFonts w:cs="Times New Roman" w:hint="eastAsia"/>
          <w:kern w:val="0"/>
          <w:szCs w:val="28"/>
        </w:rPr>
        <w:t>醫管局為患病的香港市民提供住院服務。截至</w:t>
      </w:r>
      <w:r w:rsidRPr="00D2773C">
        <w:rPr>
          <w:rFonts w:cs="Times New Roman"/>
          <w:kern w:val="0"/>
          <w:szCs w:val="28"/>
        </w:rPr>
        <w:t>2018</w:t>
      </w:r>
      <w:r w:rsidRPr="00D2773C">
        <w:rPr>
          <w:rFonts w:cs="Times New Roman" w:hint="eastAsia"/>
          <w:kern w:val="0"/>
          <w:szCs w:val="28"/>
        </w:rPr>
        <w:t>年</w:t>
      </w:r>
      <w:r w:rsidRPr="00D2773C">
        <w:rPr>
          <w:rFonts w:cs="Times New Roman"/>
          <w:kern w:val="0"/>
          <w:szCs w:val="28"/>
        </w:rPr>
        <w:t>3</w:t>
      </w:r>
      <w:r w:rsidRPr="00104C42">
        <w:rPr>
          <w:rFonts w:cs="Times New Roman" w:hint="eastAsia"/>
          <w:spacing w:val="-2"/>
          <w:kern w:val="0"/>
          <w:szCs w:val="28"/>
        </w:rPr>
        <w:t>月</w:t>
      </w:r>
      <w:r w:rsidRPr="00104C42">
        <w:rPr>
          <w:rFonts w:cs="Times New Roman"/>
          <w:spacing w:val="-2"/>
          <w:kern w:val="0"/>
          <w:szCs w:val="28"/>
        </w:rPr>
        <w:t>31</w:t>
      </w:r>
      <w:r w:rsidRPr="00104C42">
        <w:rPr>
          <w:rFonts w:cs="Times New Roman" w:hint="eastAsia"/>
          <w:spacing w:val="-2"/>
          <w:kern w:val="0"/>
          <w:szCs w:val="28"/>
        </w:rPr>
        <w:t>日，醫管局提供</w:t>
      </w:r>
      <w:r w:rsidRPr="00104C42">
        <w:rPr>
          <w:rFonts w:cs="Times New Roman"/>
          <w:spacing w:val="-2"/>
          <w:kern w:val="0"/>
          <w:szCs w:val="28"/>
        </w:rPr>
        <w:t>28 355</w:t>
      </w:r>
      <w:r w:rsidRPr="00104C42">
        <w:rPr>
          <w:rFonts w:cs="Times New Roman" w:hint="eastAsia"/>
          <w:spacing w:val="-2"/>
          <w:kern w:val="0"/>
          <w:szCs w:val="28"/>
        </w:rPr>
        <w:t>張醫院病床，包括</w:t>
      </w:r>
      <w:r w:rsidRPr="00104C42">
        <w:rPr>
          <w:rFonts w:cs="Times New Roman"/>
          <w:spacing w:val="-2"/>
          <w:kern w:val="0"/>
          <w:szCs w:val="28"/>
        </w:rPr>
        <w:t>22027</w:t>
      </w:r>
      <w:r w:rsidRPr="00104C42">
        <w:rPr>
          <w:rFonts w:cs="Times New Roman" w:hint="eastAsia"/>
          <w:spacing w:val="-2"/>
          <w:kern w:val="0"/>
          <w:szCs w:val="28"/>
        </w:rPr>
        <w:t>張普通科、</w:t>
      </w:r>
      <w:r w:rsidRPr="00D2773C">
        <w:rPr>
          <w:rFonts w:cs="Times New Roman"/>
          <w:kern w:val="0"/>
          <w:szCs w:val="28"/>
        </w:rPr>
        <w:t>2 041</w:t>
      </w:r>
      <w:r w:rsidRPr="0062110B">
        <w:rPr>
          <w:rFonts w:cs="Times New Roman" w:hint="eastAsia"/>
          <w:spacing w:val="2"/>
          <w:kern w:val="0"/>
          <w:szCs w:val="28"/>
        </w:rPr>
        <w:t>張療養科、</w:t>
      </w:r>
      <w:r w:rsidRPr="0062110B">
        <w:rPr>
          <w:rFonts w:cs="Times New Roman"/>
          <w:spacing w:val="2"/>
          <w:kern w:val="0"/>
          <w:szCs w:val="28"/>
        </w:rPr>
        <w:t>3 607</w:t>
      </w:r>
      <w:r w:rsidRPr="0062110B">
        <w:rPr>
          <w:rFonts w:cs="Times New Roman" w:hint="eastAsia"/>
          <w:spacing w:val="2"/>
          <w:kern w:val="0"/>
          <w:szCs w:val="28"/>
        </w:rPr>
        <w:t>張精神科、</w:t>
      </w:r>
      <w:r w:rsidRPr="0062110B">
        <w:rPr>
          <w:rFonts w:cs="Times New Roman"/>
          <w:spacing w:val="2"/>
          <w:kern w:val="0"/>
          <w:szCs w:val="28"/>
        </w:rPr>
        <w:t>680</w:t>
      </w:r>
      <w:r w:rsidRPr="0062110B">
        <w:rPr>
          <w:rFonts w:cs="Times New Roman" w:hint="eastAsia"/>
          <w:spacing w:val="2"/>
          <w:kern w:val="0"/>
          <w:szCs w:val="28"/>
        </w:rPr>
        <w:t>張智障科病床。相對於上一次報告第</w:t>
      </w:r>
      <w:r w:rsidRPr="00D2773C">
        <w:rPr>
          <w:rFonts w:cs="Times New Roman"/>
          <w:kern w:val="0"/>
          <w:szCs w:val="28"/>
        </w:rPr>
        <w:t>12.30</w:t>
      </w:r>
      <w:r w:rsidRPr="00D2773C">
        <w:rPr>
          <w:rFonts w:cs="Times New Roman" w:hint="eastAsia"/>
          <w:kern w:val="0"/>
          <w:szCs w:val="28"/>
        </w:rPr>
        <w:t>段所載（反映</w:t>
      </w:r>
      <w:r w:rsidRPr="00D2773C">
        <w:rPr>
          <w:rFonts w:cs="Times New Roman"/>
          <w:kern w:val="0"/>
          <w:szCs w:val="28"/>
        </w:rPr>
        <w:t>2009</w:t>
      </w:r>
      <w:r w:rsidRPr="00D2773C">
        <w:rPr>
          <w:rFonts w:cs="Times New Roman" w:hint="eastAsia"/>
          <w:kern w:val="0"/>
          <w:szCs w:val="28"/>
        </w:rPr>
        <w:t>年</w:t>
      </w:r>
      <w:r w:rsidRPr="00D2773C">
        <w:rPr>
          <w:rFonts w:cs="Times New Roman"/>
          <w:kern w:val="0"/>
          <w:szCs w:val="28"/>
        </w:rPr>
        <w:t>3</w:t>
      </w:r>
      <w:r w:rsidRPr="00D2773C">
        <w:rPr>
          <w:rFonts w:cs="Times New Roman" w:hint="eastAsia"/>
          <w:kern w:val="0"/>
          <w:szCs w:val="28"/>
        </w:rPr>
        <w:t>月</w:t>
      </w:r>
      <w:r w:rsidRPr="00D2773C">
        <w:rPr>
          <w:rFonts w:cs="Times New Roman"/>
          <w:kern w:val="0"/>
          <w:szCs w:val="28"/>
        </w:rPr>
        <w:t>31</w:t>
      </w:r>
      <w:r w:rsidRPr="00D2773C">
        <w:rPr>
          <w:rFonts w:cs="Times New Roman" w:hint="eastAsia"/>
          <w:kern w:val="0"/>
          <w:szCs w:val="28"/>
        </w:rPr>
        <w:t>日的病床數目），病床數目增加了</w:t>
      </w:r>
      <w:r w:rsidRPr="00D2773C">
        <w:rPr>
          <w:rFonts w:cs="Times New Roman"/>
          <w:kern w:val="0"/>
          <w:szCs w:val="28"/>
        </w:rPr>
        <w:t>1 238</w:t>
      </w:r>
      <w:r w:rsidRPr="00D2773C">
        <w:rPr>
          <w:rFonts w:cs="Times New Roman" w:hint="eastAsia"/>
          <w:kern w:val="0"/>
          <w:szCs w:val="28"/>
        </w:rPr>
        <w:t>張。在</w:t>
      </w:r>
      <w:r w:rsidRPr="00D2773C">
        <w:rPr>
          <w:rFonts w:cs="Times New Roman"/>
          <w:kern w:val="0"/>
          <w:szCs w:val="28"/>
        </w:rPr>
        <w:t>2017-18</w:t>
      </w:r>
      <w:r w:rsidRPr="00D2773C">
        <w:rPr>
          <w:rFonts w:cs="Times New Roman" w:hint="eastAsia"/>
          <w:kern w:val="0"/>
          <w:szCs w:val="28"/>
        </w:rPr>
        <w:t>年度，公立醫院的住院及日間住院病人出院人次及死亡人數約為</w:t>
      </w:r>
      <w:r w:rsidRPr="00D2773C">
        <w:rPr>
          <w:rFonts w:cs="Times New Roman"/>
          <w:kern w:val="0"/>
          <w:szCs w:val="28"/>
        </w:rPr>
        <w:t>182</w:t>
      </w:r>
      <w:r w:rsidRPr="00D2773C">
        <w:rPr>
          <w:rFonts w:cs="Times New Roman" w:hint="eastAsia"/>
          <w:kern w:val="0"/>
          <w:szCs w:val="28"/>
        </w:rPr>
        <w:t>萬，開支約為</w:t>
      </w:r>
      <w:r w:rsidRPr="00D2773C">
        <w:rPr>
          <w:rFonts w:cs="Times New Roman"/>
          <w:kern w:val="0"/>
          <w:szCs w:val="28"/>
        </w:rPr>
        <w:t>400</w:t>
      </w:r>
      <w:r w:rsidRPr="00D2773C">
        <w:rPr>
          <w:rFonts w:cs="Times New Roman" w:hint="eastAsia"/>
          <w:kern w:val="0"/>
          <w:szCs w:val="28"/>
        </w:rPr>
        <w:t>億元。</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急症服務</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6</w:t>
      </w:r>
      <w:r>
        <w:rPr>
          <w:rFonts w:cs="Times New Roman"/>
          <w:kern w:val="0"/>
          <w:szCs w:val="28"/>
        </w:rPr>
        <w:t>.</w:t>
      </w:r>
      <w:r w:rsidRPr="00D2773C">
        <w:rPr>
          <w:rFonts w:cs="Times New Roman" w:hint="eastAsia"/>
          <w:kern w:val="0"/>
          <w:szCs w:val="28"/>
        </w:rPr>
        <w:tab/>
      </w:r>
      <w:r w:rsidRPr="00D2773C">
        <w:rPr>
          <w:rFonts w:cs="Times New Roman" w:hint="eastAsia"/>
          <w:kern w:val="0"/>
          <w:szCs w:val="28"/>
        </w:rPr>
        <w:t>截至</w:t>
      </w:r>
      <w:r w:rsidRPr="00D2773C">
        <w:rPr>
          <w:rFonts w:cs="Times New Roman"/>
          <w:kern w:val="0"/>
          <w:szCs w:val="28"/>
        </w:rPr>
        <w:t>2018</w:t>
      </w:r>
      <w:r w:rsidRPr="00D2773C">
        <w:rPr>
          <w:rFonts w:cs="Times New Roman" w:hint="eastAsia"/>
          <w:kern w:val="0"/>
          <w:szCs w:val="28"/>
        </w:rPr>
        <w:t>年</w:t>
      </w:r>
      <w:r w:rsidRPr="00D2773C">
        <w:rPr>
          <w:rFonts w:cs="Times New Roman"/>
          <w:kern w:val="0"/>
          <w:szCs w:val="28"/>
        </w:rPr>
        <w:t>3</w:t>
      </w:r>
      <w:r w:rsidRPr="00D2773C">
        <w:rPr>
          <w:rFonts w:cs="Times New Roman" w:hint="eastAsia"/>
          <w:kern w:val="0"/>
          <w:szCs w:val="28"/>
        </w:rPr>
        <w:t>月</w:t>
      </w:r>
      <w:r w:rsidRPr="00D2773C">
        <w:rPr>
          <w:rFonts w:cs="Times New Roman"/>
          <w:kern w:val="0"/>
          <w:szCs w:val="28"/>
        </w:rPr>
        <w:t>31</w:t>
      </w:r>
      <w:r w:rsidRPr="00D2773C">
        <w:rPr>
          <w:rFonts w:cs="Times New Roman" w:hint="eastAsia"/>
          <w:kern w:val="0"/>
          <w:szCs w:val="28"/>
        </w:rPr>
        <w:t>日，共有</w:t>
      </w:r>
      <w:r w:rsidRPr="00D2773C">
        <w:rPr>
          <w:rFonts w:cs="Times New Roman"/>
          <w:kern w:val="0"/>
          <w:szCs w:val="28"/>
        </w:rPr>
        <w:t>18</w:t>
      </w:r>
      <w:r w:rsidRPr="00D2773C">
        <w:rPr>
          <w:rFonts w:cs="Times New Roman" w:hint="eastAsia"/>
          <w:kern w:val="0"/>
          <w:szCs w:val="28"/>
        </w:rPr>
        <w:t>間公立醫院設有急症服務，為需要急切治療的病人提供服務，並於災難事故中提供醫療支援。在</w:t>
      </w:r>
      <w:r w:rsidRPr="00D2773C">
        <w:rPr>
          <w:rFonts w:cs="Times New Roman"/>
          <w:kern w:val="0"/>
          <w:szCs w:val="28"/>
        </w:rPr>
        <w:t>2017-18</w:t>
      </w:r>
      <w:r w:rsidRPr="00D2773C">
        <w:rPr>
          <w:rFonts w:cs="Times New Roman" w:hint="eastAsia"/>
          <w:kern w:val="0"/>
          <w:szCs w:val="28"/>
        </w:rPr>
        <w:t>年度，約有</w:t>
      </w:r>
      <w:r w:rsidRPr="00D2773C">
        <w:rPr>
          <w:rFonts w:cs="Times New Roman"/>
          <w:kern w:val="0"/>
          <w:szCs w:val="28"/>
        </w:rPr>
        <w:t>31</w:t>
      </w:r>
      <w:r w:rsidRPr="00D2773C">
        <w:rPr>
          <w:rFonts w:cs="Times New Roman" w:hint="eastAsia"/>
          <w:kern w:val="0"/>
          <w:szCs w:val="28"/>
        </w:rPr>
        <w:t>億元用於提供這類服務。在</w:t>
      </w:r>
      <w:r w:rsidRPr="00D2773C">
        <w:rPr>
          <w:rFonts w:cs="Times New Roman"/>
          <w:kern w:val="0"/>
          <w:szCs w:val="28"/>
        </w:rPr>
        <w:t>2017-18</w:t>
      </w:r>
      <w:r w:rsidRPr="00D2773C">
        <w:rPr>
          <w:rFonts w:cs="Times New Roman" w:hint="eastAsia"/>
          <w:kern w:val="0"/>
          <w:szCs w:val="28"/>
        </w:rPr>
        <w:t>年度，公立醫院急症室的就診人次約為</w:t>
      </w:r>
      <w:r w:rsidRPr="00D2773C">
        <w:rPr>
          <w:rFonts w:cs="Times New Roman"/>
          <w:kern w:val="0"/>
          <w:szCs w:val="28"/>
        </w:rPr>
        <w:t>219‍</w:t>
      </w:r>
      <w:r w:rsidRPr="00D2773C">
        <w:rPr>
          <w:rFonts w:cs="Times New Roman" w:hint="eastAsia"/>
          <w:kern w:val="0"/>
          <w:szCs w:val="28"/>
        </w:rPr>
        <w:t>萬。前往急症室求診的病人，會根據病情被分為五個不同的分流類別，分別是危殆（第一類）、危急（第二類）、緊急（第三類）、次緊急（第四類）及非緊急（第五類），目的是讓有較緊急需要的病人迅速獲得治理。在</w:t>
      </w:r>
      <w:r w:rsidRPr="00D2773C">
        <w:rPr>
          <w:rFonts w:cs="Times New Roman"/>
          <w:kern w:val="0"/>
          <w:szCs w:val="28"/>
        </w:rPr>
        <w:t>2017-18</w:t>
      </w:r>
      <w:r w:rsidRPr="00D2773C">
        <w:rPr>
          <w:rFonts w:cs="Times New Roman" w:hint="eastAsia"/>
          <w:kern w:val="0"/>
          <w:szCs w:val="28"/>
        </w:rPr>
        <w:t>年度，所有第一類病人獲得即時診治，第二類病人中有超過</w:t>
      </w:r>
      <w:r w:rsidRPr="00D2773C">
        <w:rPr>
          <w:rFonts w:cs="Times New Roman"/>
          <w:kern w:val="0"/>
          <w:szCs w:val="28"/>
        </w:rPr>
        <w:t>95%</w:t>
      </w:r>
      <w:r w:rsidRPr="00D2773C">
        <w:rPr>
          <w:rFonts w:cs="Times New Roman" w:hint="eastAsia"/>
          <w:kern w:val="0"/>
          <w:szCs w:val="28"/>
        </w:rPr>
        <w:t>在</w:t>
      </w:r>
      <w:r w:rsidRPr="00D2773C">
        <w:rPr>
          <w:rFonts w:cs="Times New Roman"/>
          <w:kern w:val="0"/>
          <w:szCs w:val="28"/>
        </w:rPr>
        <w:t>15</w:t>
      </w:r>
      <w:r w:rsidRPr="00D2773C">
        <w:rPr>
          <w:rFonts w:cs="Times New Roman" w:hint="eastAsia"/>
          <w:kern w:val="0"/>
          <w:szCs w:val="28"/>
        </w:rPr>
        <w:t>分鐘內接受診治。</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專科門診服務</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7</w:t>
      </w:r>
      <w:r>
        <w:rPr>
          <w:rFonts w:cs="Times New Roman"/>
          <w:kern w:val="0"/>
          <w:szCs w:val="28"/>
        </w:rPr>
        <w:t>.</w:t>
      </w:r>
      <w:r w:rsidRPr="00D2773C">
        <w:rPr>
          <w:rFonts w:cs="Times New Roman"/>
          <w:kern w:val="0"/>
          <w:szCs w:val="28"/>
        </w:rPr>
        <w:tab/>
      </w:r>
      <w:r w:rsidRPr="00D2773C">
        <w:rPr>
          <w:rFonts w:cs="Times New Roman" w:hint="eastAsia"/>
          <w:kern w:val="0"/>
          <w:szCs w:val="28"/>
        </w:rPr>
        <w:t>醫管局各聯網設有專科診所，以提供各項專科服務。這些</w:t>
      </w:r>
      <w:r w:rsidRPr="0062110B">
        <w:rPr>
          <w:rFonts w:cs="Times New Roman" w:hint="eastAsia"/>
          <w:spacing w:val="4"/>
          <w:kern w:val="0"/>
          <w:szCs w:val="28"/>
        </w:rPr>
        <w:t>診所提供的服務包括評估病人徵狀、診斷、治療和跟進病情。在</w:t>
      </w:r>
      <w:r w:rsidRPr="0062110B">
        <w:rPr>
          <w:rFonts w:cs="Times New Roman"/>
          <w:spacing w:val="4"/>
          <w:kern w:val="0"/>
          <w:szCs w:val="28"/>
        </w:rPr>
        <w:t>2017-</w:t>
      </w:r>
      <w:r w:rsidRPr="00D2773C">
        <w:rPr>
          <w:rFonts w:cs="Times New Roman"/>
          <w:kern w:val="0"/>
          <w:szCs w:val="28"/>
        </w:rPr>
        <w:t>18</w:t>
      </w:r>
      <w:r w:rsidRPr="00D2773C">
        <w:rPr>
          <w:rFonts w:cs="Times New Roman" w:hint="eastAsia"/>
          <w:kern w:val="0"/>
          <w:szCs w:val="28"/>
        </w:rPr>
        <w:t>年度，約有</w:t>
      </w:r>
      <w:r w:rsidRPr="00D2773C">
        <w:rPr>
          <w:rFonts w:cs="Times New Roman"/>
          <w:kern w:val="0"/>
          <w:szCs w:val="28"/>
        </w:rPr>
        <w:t>126</w:t>
      </w:r>
      <w:r w:rsidRPr="00D2773C">
        <w:rPr>
          <w:rFonts w:cs="Times New Roman" w:hint="eastAsia"/>
          <w:kern w:val="0"/>
          <w:szCs w:val="28"/>
        </w:rPr>
        <w:t>億元用於提供這類服務（包括專職醫療門診服務約</w:t>
      </w:r>
      <w:r w:rsidRPr="00D2773C">
        <w:rPr>
          <w:rFonts w:cs="Times New Roman"/>
          <w:kern w:val="0"/>
          <w:szCs w:val="28"/>
        </w:rPr>
        <w:t>11</w:t>
      </w:r>
      <w:r w:rsidRPr="00D2773C">
        <w:rPr>
          <w:rFonts w:cs="Times New Roman" w:hint="eastAsia"/>
          <w:kern w:val="0"/>
          <w:szCs w:val="28"/>
        </w:rPr>
        <w:t>億元）。</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8</w:t>
      </w:r>
      <w:r>
        <w:rPr>
          <w:rFonts w:cs="Times New Roman"/>
          <w:kern w:val="0"/>
          <w:szCs w:val="28"/>
        </w:rPr>
        <w:t>.</w:t>
      </w:r>
      <w:r w:rsidRPr="00D2773C">
        <w:rPr>
          <w:rFonts w:cs="Times New Roman"/>
          <w:kern w:val="0"/>
          <w:szCs w:val="28"/>
        </w:rPr>
        <w:tab/>
      </w:r>
      <w:r w:rsidRPr="00D2773C">
        <w:rPr>
          <w:rFonts w:cs="Times New Roman" w:hint="eastAsia"/>
          <w:kern w:val="0"/>
          <w:szCs w:val="28"/>
        </w:rPr>
        <w:t>在</w:t>
      </w:r>
      <w:r w:rsidRPr="00D2773C">
        <w:rPr>
          <w:rFonts w:cs="Times New Roman"/>
          <w:kern w:val="0"/>
          <w:szCs w:val="28"/>
        </w:rPr>
        <w:t>2017-18</w:t>
      </w:r>
      <w:r w:rsidRPr="00D2773C">
        <w:rPr>
          <w:rFonts w:cs="Times New Roman" w:hint="eastAsia"/>
          <w:kern w:val="0"/>
          <w:szCs w:val="28"/>
        </w:rPr>
        <w:t>年度，醫管局專科門診的就診人次為</w:t>
      </w:r>
      <w:r w:rsidRPr="00D2773C">
        <w:rPr>
          <w:rFonts w:cs="Times New Roman"/>
          <w:kern w:val="0"/>
          <w:szCs w:val="28"/>
        </w:rPr>
        <w:t>772‍</w:t>
      </w:r>
      <w:r w:rsidRPr="00D2773C">
        <w:rPr>
          <w:rFonts w:cs="Times New Roman" w:hint="eastAsia"/>
          <w:kern w:val="0"/>
          <w:szCs w:val="28"/>
        </w:rPr>
        <w:t>萬。醫管局就專科門診的新轉介個案實施分流制度，確保病情緊急而且有</w:t>
      </w:r>
      <w:r w:rsidRPr="00D2773C">
        <w:rPr>
          <w:rFonts w:cs="Times New Roman" w:hint="eastAsia"/>
          <w:kern w:val="0"/>
          <w:szCs w:val="28"/>
        </w:rPr>
        <w:lastRenderedPageBreak/>
        <w:t>需要及早介入的病人會優先獲得治療。在目前的分流制度下，新轉介個案的病人通常先由護士甄別，再經有關專科的專科醫生檢查，然後分為第一優先類別（緊急）、第二優先類別（半緊急）和例行類別（穩定）個案。醫管局的目標是把第一優先類別和第二優先類別個案的輪候時間中位數，分別維持在兩個星期和八個星期之內。一直以來，醫管局都能夠把第一優先類別和第二優先類別個案的輪候時間中位數維持在所訂的目標內。</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9</w:t>
      </w:r>
      <w:r>
        <w:rPr>
          <w:rFonts w:cs="Times New Roman"/>
          <w:kern w:val="0"/>
          <w:szCs w:val="28"/>
        </w:rPr>
        <w:t>.</w:t>
      </w:r>
      <w:r w:rsidRPr="00D2773C">
        <w:rPr>
          <w:rFonts w:cs="Times New Roman"/>
          <w:kern w:val="0"/>
          <w:szCs w:val="28"/>
        </w:rPr>
        <w:tab/>
      </w:r>
      <w:r w:rsidRPr="00D2773C">
        <w:rPr>
          <w:rFonts w:cs="Times New Roman" w:hint="eastAsia"/>
          <w:kern w:val="0"/>
          <w:szCs w:val="28"/>
        </w:rPr>
        <w:t>醫管局近年已推行一系列措施以紓緩專科門診的輪候時間，包括加強基層醫療服務、推行公私營協作、加強人手、推行管理專科門診診所輪候時間的各項年度計劃、減少各聯網專科門診輪候時間的差距，以及優化專科門診的預約安排。由</w:t>
      </w:r>
      <w:r w:rsidRPr="00D2773C">
        <w:rPr>
          <w:rFonts w:cs="Times New Roman"/>
          <w:kern w:val="0"/>
          <w:szCs w:val="28"/>
        </w:rPr>
        <w:t>2015</w:t>
      </w:r>
      <w:r w:rsidRPr="00D2773C">
        <w:rPr>
          <w:rFonts w:cs="Times New Roman" w:hint="eastAsia"/>
          <w:kern w:val="0"/>
          <w:szCs w:val="28"/>
        </w:rPr>
        <w:t>年</w:t>
      </w:r>
      <w:r w:rsidRPr="00D2773C">
        <w:rPr>
          <w:rFonts w:cs="Times New Roman"/>
          <w:kern w:val="0"/>
          <w:szCs w:val="28"/>
        </w:rPr>
        <w:t>1</w:t>
      </w:r>
      <w:r w:rsidRPr="00D2773C">
        <w:rPr>
          <w:rFonts w:cs="Times New Roman" w:hint="eastAsia"/>
          <w:kern w:val="0"/>
          <w:szCs w:val="28"/>
        </w:rPr>
        <w:t>月起，公眾可在醫管局網站查閱八個主要專科門診的輪候時間。公開輪候時間資料有助病人掌握專科服務的輪候情況，以便病人在考慮各相關因素後，按其意願選擇是否跨網求診。雖然病人一般可以自行選擇專科門診診所預約診症，但醫護人員在安排預約跨網的專科門診服務時，亦會考慮病人的病況及所需服務。此外，醫管局由</w:t>
      </w:r>
      <w:r w:rsidRPr="00D2773C">
        <w:rPr>
          <w:rFonts w:cs="Times New Roman"/>
          <w:kern w:val="0"/>
          <w:szCs w:val="28"/>
        </w:rPr>
        <w:t>2016</w:t>
      </w:r>
      <w:r w:rsidRPr="00D2773C">
        <w:rPr>
          <w:rFonts w:cs="Times New Roman" w:hint="eastAsia"/>
          <w:kern w:val="0"/>
          <w:szCs w:val="28"/>
        </w:rPr>
        <w:t>年</w:t>
      </w:r>
      <w:r w:rsidRPr="00D2773C">
        <w:rPr>
          <w:rFonts w:cs="Times New Roman"/>
          <w:kern w:val="0"/>
          <w:szCs w:val="28"/>
        </w:rPr>
        <w:t>3</w:t>
      </w:r>
      <w:r w:rsidRPr="00D2773C">
        <w:rPr>
          <w:rFonts w:cs="Times New Roman" w:hint="eastAsia"/>
          <w:kern w:val="0"/>
          <w:szCs w:val="28"/>
        </w:rPr>
        <w:t>月起推出流動應用程式，方便各專科新症病人預約服務，至今已涵蓋大部分的主要專科。</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專職醫療服務</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10</w:t>
      </w:r>
      <w:r>
        <w:rPr>
          <w:rFonts w:cs="Times New Roman"/>
          <w:kern w:val="0"/>
          <w:szCs w:val="28"/>
        </w:rPr>
        <w:t>.</w:t>
      </w:r>
      <w:r w:rsidRPr="00D2773C">
        <w:rPr>
          <w:rFonts w:cs="Times New Roman"/>
          <w:kern w:val="0"/>
          <w:szCs w:val="28"/>
        </w:rPr>
        <w:tab/>
      </w:r>
      <w:r w:rsidRPr="00D2773C">
        <w:rPr>
          <w:rFonts w:cs="Times New Roman" w:hint="eastAsia"/>
          <w:kern w:val="0"/>
          <w:szCs w:val="28"/>
        </w:rPr>
        <w:t>醫管局的專職醫療服務人員，包括臨床心理學家、物理治療師及職業治療師等，為病人提供復康及延續護理，以協助病人達至最佳療效，並協助他們重投社區生活。在</w:t>
      </w:r>
      <w:r w:rsidRPr="00D2773C">
        <w:rPr>
          <w:rFonts w:cs="Times New Roman"/>
          <w:kern w:val="0"/>
          <w:szCs w:val="28"/>
        </w:rPr>
        <w:t>2017-18</w:t>
      </w:r>
      <w:r w:rsidRPr="00D2773C">
        <w:rPr>
          <w:rFonts w:cs="Times New Roman" w:hint="eastAsia"/>
          <w:kern w:val="0"/>
          <w:szCs w:val="28"/>
        </w:rPr>
        <w:t>年度，專職醫療門診服務的就診人次約為</w:t>
      </w:r>
      <w:r w:rsidRPr="00D2773C">
        <w:rPr>
          <w:rFonts w:cs="Times New Roman"/>
          <w:kern w:val="0"/>
          <w:szCs w:val="28"/>
        </w:rPr>
        <w:t>275</w:t>
      </w:r>
      <w:r w:rsidRPr="00D2773C">
        <w:rPr>
          <w:rFonts w:cs="Times New Roman" w:hint="eastAsia"/>
          <w:kern w:val="0"/>
          <w:szCs w:val="28"/>
        </w:rPr>
        <w:t>萬。另外，醫務化驗師、放射診斷技師、放射治療師、醫學物理學家及醫務科學主任亦協助醫生進行醫學診斷及監察治療成效。</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日間及社區護理</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1</w:t>
      </w:r>
      <w:r>
        <w:rPr>
          <w:rFonts w:cs="Times New Roman" w:hint="eastAsia"/>
          <w:kern w:val="0"/>
          <w:szCs w:val="28"/>
        </w:rPr>
        <w:t>1</w:t>
      </w:r>
      <w:r>
        <w:rPr>
          <w:rFonts w:cs="Times New Roman"/>
          <w:kern w:val="0"/>
          <w:szCs w:val="28"/>
        </w:rPr>
        <w:t>.</w:t>
      </w:r>
      <w:r w:rsidRPr="00D2773C">
        <w:rPr>
          <w:rFonts w:cs="Times New Roman" w:hint="eastAsia"/>
          <w:kern w:val="0"/>
          <w:szCs w:val="28"/>
        </w:rPr>
        <w:tab/>
      </w:r>
      <w:r w:rsidRPr="00D2773C">
        <w:rPr>
          <w:rFonts w:cs="Times New Roman" w:hint="eastAsia"/>
          <w:kern w:val="0"/>
          <w:szCs w:val="28"/>
        </w:rPr>
        <w:t>隨着國際間着重發展日間及社區醫護服務的趨勢，醫管局加強了發展日間及社區醫護服務，以減低市民對住院服務的依賴和協助離院病人在社區內康復。醫管局亦會繼續加強培訓醫療人員，以改</w:t>
      </w:r>
      <w:r w:rsidRPr="00D2773C">
        <w:rPr>
          <w:rFonts w:cs="Times New Roman" w:hint="eastAsia"/>
          <w:kern w:val="0"/>
          <w:szCs w:val="28"/>
        </w:rPr>
        <w:lastRenderedPageBreak/>
        <w:t>善日間及社區醫護服務。在</w:t>
      </w:r>
      <w:r w:rsidRPr="00D2773C">
        <w:rPr>
          <w:rFonts w:cs="Times New Roman"/>
          <w:kern w:val="0"/>
          <w:szCs w:val="28"/>
        </w:rPr>
        <w:t>2017-18</w:t>
      </w:r>
      <w:r w:rsidRPr="00D2773C">
        <w:rPr>
          <w:rFonts w:cs="Times New Roman" w:hint="eastAsia"/>
          <w:kern w:val="0"/>
          <w:szCs w:val="28"/>
        </w:rPr>
        <w:t>年度，醫管局在社區醫護服務方面的開支達</w:t>
      </w:r>
      <w:r w:rsidRPr="00D2773C">
        <w:rPr>
          <w:rFonts w:cs="Times New Roman"/>
          <w:kern w:val="0"/>
          <w:szCs w:val="28"/>
        </w:rPr>
        <w:t>16</w:t>
      </w:r>
      <w:r w:rsidRPr="00D2773C">
        <w:rPr>
          <w:rFonts w:cs="Times New Roman" w:hint="eastAsia"/>
          <w:kern w:val="0"/>
          <w:szCs w:val="28"/>
        </w:rPr>
        <w:t>億元，當中一共進行了</w:t>
      </w:r>
      <w:r w:rsidRPr="00D2773C">
        <w:rPr>
          <w:rFonts w:cs="Times New Roman"/>
          <w:kern w:val="0"/>
          <w:szCs w:val="28"/>
        </w:rPr>
        <w:t>877 600</w:t>
      </w:r>
      <w:r w:rsidRPr="00D2773C">
        <w:rPr>
          <w:rFonts w:cs="Times New Roman" w:hint="eastAsia"/>
          <w:kern w:val="0"/>
          <w:szCs w:val="28"/>
        </w:rPr>
        <w:t>次家訪，並為長者和精神病患者提供了</w:t>
      </w:r>
      <w:r w:rsidRPr="00D2773C">
        <w:rPr>
          <w:rFonts w:cs="Times New Roman"/>
          <w:kern w:val="0"/>
          <w:szCs w:val="28"/>
        </w:rPr>
        <w:t>1 186 800</w:t>
      </w:r>
      <w:r w:rsidRPr="00D2773C">
        <w:rPr>
          <w:rFonts w:cs="Times New Roman" w:hint="eastAsia"/>
          <w:kern w:val="0"/>
          <w:szCs w:val="28"/>
        </w:rPr>
        <w:t>次外展護理服務。</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醫療收費及收費減免</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2773C">
        <w:rPr>
          <w:rFonts w:cs="Times New Roman" w:hint="eastAsia"/>
          <w:kern w:val="0"/>
          <w:szCs w:val="28"/>
        </w:rPr>
        <w:t>12.</w:t>
      </w:r>
      <w:r w:rsidRPr="00D2773C">
        <w:rPr>
          <w:rFonts w:cs="Times New Roman" w:hint="eastAsia"/>
          <w:kern w:val="0"/>
          <w:szCs w:val="28"/>
        </w:rPr>
        <w:tab/>
      </w:r>
      <w:r w:rsidRPr="00D2773C">
        <w:rPr>
          <w:rFonts w:cs="Times New Roman" w:hint="eastAsia"/>
          <w:kern w:val="0"/>
          <w:szCs w:val="28"/>
        </w:rPr>
        <w:t>香港公立醫院服務的收費屬一般市民所能負擔的水平。政府設有醫療收費減免機制，照顧有需要的社羣。獲減免收費的人士包括低收入病人、長期病患者和貧困的長者病人。綜援的受助人可獲豁免公營醫療收費。有關豁免安排在</w:t>
      </w:r>
      <w:r w:rsidRPr="00D2773C">
        <w:rPr>
          <w:rFonts w:cs="Times New Roman"/>
          <w:kern w:val="0"/>
          <w:szCs w:val="28"/>
        </w:rPr>
        <w:t>2017</w:t>
      </w:r>
      <w:r w:rsidRPr="00D2773C">
        <w:rPr>
          <w:rFonts w:cs="Times New Roman" w:hint="eastAsia"/>
          <w:kern w:val="0"/>
          <w:szCs w:val="28"/>
        </w:rPr>
        <w:t>年</w:t>
      </w:r>
      <w:r w:rsidRPr="00D2773C">
        <w:rPr>
          <w:rFonts w:cs="Times New Roman"/>
          <w:kern w:val="0"/>
          <w:szCs w:val="28"/>
        </w:rPr>
        <w:t>7</w:t>
      </w:r>
      <w:r w:rsidRPr="00D2773C">
        <w:rPr>
          <w:rFonts w:cs="Times New Roman" w:hint="eastAsia"/>
          <w:kern w:val="0"/>
          <w:szCs w:val="28"/>
        </w:rPr>
        <w:t>月擴展至較年老和較有經濟需要的「長者生活津貼」受惠人，並於</w:t>
      </w:r>
      <w:r w:rsidRPr="00D2773C">
        <w:rPr>
          <w:rFonts w:cs="Times New Roman"/>
          <w:kern w:val="0"/>
          <w:szCs w:val="28"/>
        </w:rPr>
        <w:t>2018</w:t>
      </w:r>
      <w:r w:rsidRPr="00D2773C">
        <w:rPr>
          <w:rFonts w:cs="Times New Roman" w:hint="eastAsia"/>
          <w:kern w:val="0"/>
          <w:szCs w:val="28"/>
        </w:rPr>
        <w:t>年</w:t>
      </w:r>
      <w:r w:rsidRPr="00D2773C">
        <w:rPr>
          <w:rFonts w:cs="Times New Roman"/>
          <w:kern w:val="0"/>
          <w:szCs w:val="28"/>
        </w:rPr>
        <w:t>6</w:t>
      </w:r>
      <w:r w:rsidRPr="00D2773C">
        <w:rPr>
          <w:rFonts w:cs="Times New Roman" w:hint="eastAsia"/>
          <w:kern w:val="0"/>
          <w:szCs w:val="28"/>
        </w:rPr>
        <w:t>月</w:t>
      </w:r>
      <w:r w:rsidRPr="00D2773C">
        <w:rPr>
          <w:rFonts w:cs="Times New Roman"/>
          <w:kern w:val="0"/>
          <w:szCs w:val="28"/>
        </w:rPr>
        <w:t>1</w:t>
      </w:r>
      <w:r w:rsidRPr="00D2773C">
        <w:rPr>
          <w:rFonts w:cs="Times New Roman" w:hint="eastAsia"/>
          <w:kern w:val="0"/>
          <w:szCs w:val="28"/>
        </w:rPr>
        <w:t>日起適用於</w:t>
      </w:r>
      <w:r w:rsidRPr="00D2773C">
        <w:rPr>
          <w:rFonts w:cs="Times New Roman"/>
          <w:kern w:val="0"/>
          <w:szCs w:val="28"/>
        </w:rPr>
        <w:t>75</w:t>
      </w:r>
      <w:r w:rsidRPr="00D2773C">
        <w:rPr>
          <w:rFonts w:cs="Times New Roman" w:hint="eastAsia"/>
          <w:kern w:val="0"/>
          <w:szCs w:val="28"/>
        </w:rPr>
        <w:t>歲或以上的「高額長者生活津貼」受惠人。</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資助藥物</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2773C">
        <w:rPr>
          <w:rFonts w:cs="Times New Roman" w:hint="eastAsia"/>
          <w:kern w:val="0"/>
          <w:szCs w:val="28"/>
        </w:rPr>
        <w:t>1</w:t>
      </w:r>
      <w:r>
        <w:rPr>
          <w:rFonts w:cs="Times New Roman"/>
          <w:kern w:val="0"/>
          <w:szCs w:val="28"/>
        </w:rPr>
        <w:t>3</w:t>
      </w:r>
      <w:r w:rsidRPr="00D2773C">
        <w:rPr>
          <w:rFonts w:cs="Times New Roman"/>
          <w:kern w:val="0"/>
          <w:szCs w:val="28"/>
        </w:rPr>
        <w:t>.</w:t>
      </w:r>
      <w:r w:rsidRPr="00D2773C">
        <w:rPr>
          <w:rFonts w:cs="Times New Roman"/>
          <w:kern w:val="0"/>
          <w:szCs w:val="28"/>
        </w:rPr>
        <w:tab/>
      </w:r>
      <w:r w:rsidRPr="00D2773C">
        <w:rPr>
          <w:rFonts w:cs="Times New Roman" w:hint="eastAsia"/>
          <w:kern w:val="0"/>
          <w:szCs w:val="28"/>
        </w:rPr>
        <w:t>我們知悉，委員會及其他</w:t>
      </w:r>
      <w:r w:rsidRPr="00D2773C">
        <w:rPr>
          <w:rFonts w:cs="Times New Roman" w:hint="eastAsia"/>
          <w:kern w:val="0"/>
          <w:szCs w:val="28"/>
          <w:lang w:eastAsia="zh-HK"/>
        </w:rPr>
        <w:t>評</w:t>
      </w:r>
      <w:r w:rsidRPr="00D2773C">
        <w:rPr>
          <w:rFonts w:cs="Times New Roman" w:hint="eastAsia"/>
          <w:kern w:val="0"/>
          <w:szCs w:val="28"/>
        </w:rPr>
        <w:t>論者建議修訂現行資助藥物名單，以切合長期病患者和精神病患者的需要。</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2773C">
        <w:rPr>
          <w:rFonts w:cs="Times New Roman" w:hint="eastAsia"/>
          <w:kern w:val="0"/>
          <w:szCs w:val="28"/>
        </w:rPr>
        <w:t>1</w:t>
      </w:r>
      <w:r>
        <w:rPr>
          <w:rFonts w:cs="Times New Roman"/>
          <w:kern w:val="0"/>
          <w:szCs w:val="28"/>
        </w:rPr>
        <w:t>4</w:t>
      </w:r>
      <w:r w:rsidRPr="00D2773C">
        <w:rPr>
          <w:rFonts w:cs="Times New Roman"/>
          <w:kern w:val="0"/>
          <w:szCs w:val="28"/>
        </w:rPr>
        <w:t>.</w:t>
      </w:r>
      <w:r w:rsidRPr="00D2773C">
        <w:rPr>
          <w:rFonts w:cs="Times New Roman"/>
          <w:kern w:val="0"/>
          <w:szCs w:val="28"/>
        </w:rPr>
        <w:tab/>
      </w:r>
      <w:r w:rsidRPr="00D2773C">
        <w:rPr>
          <w:rFonts w:cs="Times New Roman" w:hint="eastAsia"/>
          <w:kern w:val="0"/>
          <w:szCs w:val="28"/>
        </w:rPr>
        <w:t>醫管局的藥物政策，是透過實施藥物名冊統一所有醫管局醫院和診所的用藥及藥物政策，確保病人可公平地獲處方具成本效益，並經驗證安全和有效的藥物。現時，醫管局藥物名冊內共有約</w:t>
      </w:r>
      <w:r w:rsidRPr="00D2773C">
        <w:rPr>
          <w:rFonts w:cs="Times New Roman"/>
          <w:kern w:val="0"/>
          <w:szCs w:val="28"/>
        </w:rPr>
        <w:t>1 300</w:t>
      </w:r>
      <w:r w:rsidRPr="00D2773C">
        <w:rPr>
          <w:rFonts w:cs="Times New Roman" w:hint="eastAsia"/>
          <w:kern w:val="0"/>
          <w:szCs w:val="28"/>
        </w:rPr>
        <w:t>種藥物。符合有關臨床情況的病人可獲醫生處方及適切的藥物治療並由醫管局以標準收費提供藥物。部分專用藥物如在特定的臨床應用以外選擇使用，病人須自行支付藥物的費用。</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2773C">
        <w:rPr>
          <w:rFonts w:cs="Times New Roman" w:hint="eastAsia"/>
          <w:kern w:val="0"/>
          <w:szCs w:val="28"/>
        </w:rPr>
        <w:t>1</w:t>
      </w:r>
      <w:r>
        <w:rPr>
          <w:rFonts w:cs="Times New Roman"/>
          <w:kern w:val="0"/>
          <w:szCs w:val="28"/>
        </w:rPr>
        <w:t>5</w:t>
      </w:r>
      <w:r w:rsidRPr="00D2773C">
        <w:rPr>
          <w:rFonts w:cs="Times New Roman" w:hint="eastAsia"/>
          <w:kern w:val="0"/>
          <w:szCs w:val="28"/>
        </w:rPr>
        <w:t>.</w:t>
      </w:r>
      <w:r w:rsidRPr="00D2773C">
        <w:rPr>
          <w:rFonts w:cs="Times New Roman" w:hint="eastAsia"/>
          <w:kern w:val="0"/>
          <w:szCs w:val="28"/>
        </w:rPr>
        <w:tab/>
      </w:r>
      <w:r w:rsidRPr="00D2773C">
        <w:rPr>
          <w:rFonts w:cs="Times New Roman" w:hint="eastAsia"/>
          <w:kern w:val="0"/>
          <w:szCs w:val="28"/>
        </w:rPr>
        <w:t>醫管局定期根據既定機制，透過由醫生、臨床藥理學家和藥劑師組成的專家委員會（包括藥物諮詢委員會和藥事管理委員會），評估新藥物和檢討藥物名冊的藥物名單，以及按情況作出修訂。檢討過程以科研和臨床實証為基礎，並考慮藥物的安全性、療效、成本效益和其他相關因素，包括國際間的建議和做法、科技的轉變，病情的情況，病人用藥的依從性、生活質素、用藥的實際經驗，以及專業人士和病人團體的意見。由</w:t>
      </w:r>
      <w:r w:rsidRPr="00D2773C">
        <w:rPr>
          <w:rFonts w:cs="Times New Roman"/>
          <w:kern w:val="0"/>
          <w:szCs w:val="28"/>
        </w:rPr>
        <w:t>2009</w:t>
      </w:r>
      <w:r w:rsidRPr="00D2773C">
        <w:rPr>
          <w:rFonts w:cs="Times New Roman" w:hint="eastAsia"/>
          <w:kern w:val="0"/>
          <w:szCs w:val="28"/>
        </w:rPr>
        <w:t>-</w:t>
      </w:r>
      <w:r w:rsidRPr="00D2773C">
        <w:rPr>
          <w:rFonts w:cs="Times New Roman"/>
          <w:kern w:val="0"/>
          <w:szCs w:val="28"/>
        </w:rPr>
        <w:t>10</w:t>
      </w:r>
      <w:r w:rsidRPr="00D2773C">
        <w:rPr>
          <w:rFonts w:cs="Times New Roman" w:hint="eastAsia"/>
          <w:kern w:val="0"/>
          <w:szCs w:val="28"/>
        </w:rPr>
        <w:t>年度至</w:t>
      </w:r>
      <w:r w:rsidRPr="00D2773C">
        <w:rPr>
          <w:rFonts w:cs="Times New Roman"/>
          <w:kern w:val="0"/>
          <w:szCs w:val="28"/>
        </w:rPr>
        <w:t>2017</w:t>
      </w:r>
      <w:r w:rsidRPr="00D2773C">
        <w:rPr>
          <w:rFonts w:cs="Times New Roman" w:hint="eastAsia"/>
          <w:kern w:val="0"/>
          <w:szCs w:val="28"/>
        </w:rPr>
        <w:t>-</w:t>
      </w:r>
      <w:r w:rsidRPr="00D2773C">
        <w:rPr>
          <w:rFonts w:cs="Times New Roman"/>
          <w:kern w:val="0"/>
          <w:szCs w:val="28"/>
        </w:rPr>
        <w:t>18</w:t>
      </w:r>
      <w:r w:rsidRPr="00D2773C">
        <w:rPr>
          <w:rFonts w:cs="Times New Roman" w:hint="eastAsia"/>
          <w:kern w:val="0"/>
          <w:szCs w:val="28"/>
        </w:rPr>
        <w:t>年度，政府向醫管局提供合共</w:t>
      </w:r>
      <w:r w:rsidRPr="00D2773C">
        <w:rPr>
          <w:rFonts w:cs="Times New Roman"/>
          <w:kern w:val="0"/>
          <w:szCs w:val="28"/>
        </w:rPr>
        <w:t>9</w:t>
      </w:r>
      <w:r w:rsidRPr="00D2773C">
        <w:rPr>
          <w:rFonts w:cs="Times New Roman" w:hint="eastAsia"/>
          <w:kern w:val="0"/>
          <w:szCs w:val="28"/>
        </w:rPr>
        <w:t>億</w:t>
      </w:r>
      <w:r w:rsidRPr="00D2773C">
        <w:rPr>
          <w:rFonts w:cs="Times New Roman"/>
          <w:kern w:val="0"/>
          <w:szCs w:val="28"/>
        </w:rPr>
        <w:t>1,000</w:t>
      </w:r>
      <w:r w:rsidRPr="00D2773C">
        <w:rPr>
          <w:rFonts w:cs="Times New Roman" w:hint="eastAsia"/>
          <w:kern w:val="0"/>
          <w:szCs w:val="28"/>
        </w:rPr>
        <w:t>萬元額外經常性撥款，用以擴大藥物名冊的涵蓋範圍，把超過</w:t>
      </w:r>
      <w:r w:rsidRPr="00D2773C">
        <w:rPr>
          <w:rFonts w:cs="Times New Roman"/>
          <w:kern w:val="0"/>
          <w:szCs w:val="28"/>
        </w:rPr>
        <w:t>40</w:t>
      </w:r>
      <w:r w:rsidRPr="00D2773C">
        <w:rPr>
          <w:rFonts w:cs="Times New Roman" w:hint="eastAsia"/>
          <w:kern w:val="0"/>
          <w:szCs w:val="28"/>
        </w:rPr>
        <w:t>類專用藥物類別的治療應用範圍擴闊，當中包括</w:t>
      </w:r>
      <w:r w:rsidRPr="00D2773C">
        <w:rPr>
          <w:rFonts w:cs="Times New Roman" w:hint="eastAsia"/>
          <w:kern w:val="0"/>
          <w:szCs w:val="28"/>
        </w:rPr>
        <w:lastRenderedPageBreak/>
        <w:t>治療慢性病和精神病藥物；另外，醫管局引入了超過</w:t>
      </w:r>
      <w:r w:rsidRPr="00D2773C">
        <w:rPr>
          <w:rFonts w:cs="Times New Roman"/>
          <w:kern w:val="0"/>
          <w:szCs w:val="28"/>
        </w:rPr>
        <w:t>20</w:t>
      </w:r>
      <w:r w:rsidRPr="00D2773C">
        <w:rPr>
          <w:rFonts w:cs="Times New Roman" w:hint="eastAsia"/>
          <w:kern w:val="0"/>
          <w:szCs w:val="28"/>
        </w:rPr>
        <w:t>項藥物並以標準收費提供。此外，醫管局設有機制透過指定的基金為昂貴的藥物治療提供安全網，以照顧患有不常見疾病和癌症病人的需要。</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i/>
          <w:kern w:val="0"/>
          <w:szCs w:val="28"/>
        </w:rPr>
      </w:pPr>
      <w:r w:rsidRPr="00D2773C">
        <w:rPr>
          <w:rFonts w:cs="Times New Roman" w:hint="eastAsia"/>
          <w:i/>
          <w:kern w:val="0"/>
          <w:szCs w:val="28"/>
        </w:rPr>
        <w:t>處理醫療服務投訴</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sidRPr="00D2773C">
        <w:rPr>
          <w:rFonts w:eastAsia="標楷體" w:hint="eastAsia"/>
          <w:bCs/>
          <w:sz w:val="28"/>
          <w:szCs w:val="28"/>
        </w:rPr>
        <w:t>1</w:t>
      </w:r>
      <w:r>
        <w:rPr>
          <w:rFonts w:eastAsia="標楷體"/>
          <w:bCs/>
          <w:sz w:val="28"/>
          <w:szCs w:val="28"/>
        </w:rPr>
        <w:t>6</w:t>
      </w:r>
      <w:r w:rsidRPr="00D2773C">
        <w:rPr>
          <w:rFonts w:eastAsia="標楷體" w:hint="eastAsia"/>
          <w:bCs/>
          <w:sz w:val="28"/>
          <w:szCs w:val="28"/>
        </w:rPr>
        <w:t>.</w:t>
      </w:r>
      <w:r w:rsidRPr="00D2773C">
        <w:rPr>
          <w:rFonts w:eastAsia="標楷體"/>
          <w:bCs/>
          <w:sz w:val="28"/>
          <w:szCs w:val="28"/>
        </w:rPr>
        <w:tab/>
      </w:r>
      <w:r w:rsidRPr="00D2773C">
        <w:rPr>
          <w:rFonts w:eastAsia="標楷體" w:hint="eastAsia"/>
          <w:bCs/>
          <w:sz w:val="28"/>
          <w:szCs w:val="28"/>
        </w:rPr>
        <w:t>醫管局設有一個兩層投訴機制，處理有關醫療服務的投訴。所有初次投訴由醫院直接處理及回覆。若投訴人對醫院的處理或對投訴結果不滿，可向醫管局公眾投訴委員會提出上訴。該委員會由社會各界人士組成，負責對所有上訴個案進行審議及裁決。該委員會的成員並非醫管局僱員，</w:t>
      </w:r>
      <w:r w:rsidRPr="00D2773C">
        <w:rPr>
          <w:rFonts w:eastAsia="標楷體"/>
          <w:bCs/>
          <w:sz w:val="28"/>
          <w:szCs w:val="28"/>
        </w:rPr>
        <w:t xml:space="preserve"> </w:t>
      </w:r>
      <w:r w:rsidRPr="00D2773C">
        <w:rPr>
          <w:rFonts w:eastAsia="標楷體" w:hint="eastAsia"/>
          <w:bCs/>
          <w:sz w:val="28"/>
          <w:szCs w:val="28"/>
        </w:rPr>
        <w:t>與醫院及各運作部門／服務單位亦沒有從屬關係。這有助該委員會以獨立的身份公平公正地處理所有投訴。醫管局亦推行了多項措施，以持續改善其投訴處理制度，例如進行病人經驗調查，促進病人參與及積極收集病人意見，以及就重覆上訴設立快捷處理機制，以加快及簡化處理這類個案的程序。</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Pr="00D2773C" w:rsidRDefault="00747021" w:rsidP="00747021">
      <w:pPr>
        <w:widowControl/>
        <w:tabs>
          <w:tab w:val="left" w:pos="1440"/>
        </w:tabs>
        <w:adjustRightInd w:val="0"/>
        <w:snapToGrid w:val="0"/>
        <w:spacing w:line="400" w:lineRule="atLeast"/>
        <w:jc w:val="both"/>
        <w:rPr>
          <w:rFonts w:cs="Times New Roman"/>
          <w:kern w:val="0"/>
          <w:szCs w:val="28"/>
          <w:u w:val="single"/>
        </w:rPr>
      </w:pPr>
      <w:r w:rsidRPr="00D2773C">
        <w:rPr>
          <w:rFonts w:cs="Times New Roman" w:hint="eastAsia"/>
          <w:kern w:val="0"/>
          <w:szCs w:val="28"/>
          <w:u w:val="single"/>
        </w:rPr>
        <w:t>牙齒保健服務</w:t>
      </w:r>
    </w:p>
    <w:p w:rsidR="00747021" w:rsidRPr="00D2773C" w:rsidRDefault="00747021" w:rsidP="00747021">
      <w:pPr>
        <w:widowControl/>
        <w:tabs>
          <w:tab w:val="left" w:pos="144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2773C">
        <w:rPr>
          <w:rFonts w:cs="Times New Roman" w:hint="eastAsia"/>
          <w:kern w:val="0"/>
          <w:szCs w:val="28"/>
        </w:rPr>
        <w:t>1</w:t>
      </w:r>
      <w:r>
        <w:rPr>
          <w:rFonts w:cs="Times New Roman"/>
          <w:kern w:val="0"/>
          <w:szCs w:val="28"/>
        </w:rPr>
        <w:t>7</w:t>
      </w:r>
      <w:r w:rsidRPr="00D2773C">
        <w:rPr>
          <w:rFonts w:cs="Times New Roman"/>
          <w:kern w:val="0"/>
          <w:szCs w:val="28"/>
        </w:rPr>
        <w:t>.</w:t>
      </w:r>
      <w:r w:rsidRPr="00D2773C">
        <w:rPr>
          <w:rFonts w:cs="Times New Roman"/>
          <w:kern w:val="0"/>
          <w:szCs w:val="28"/>
        </w:rPr>
        <w:tab/>
      </w:r>
      <w:r w:rsidRPr="00D2773C">
        <w:rPr>
          <w:rFonts w:cs="Times New Roman" w:hint="eastAsia"/>
          <w:kern w:val="0"/>
          <w:szCs w:val="28"/>
        </w:rPr>
        <w:t>在一般牙科護理服務主要是由私營界別及非政府機構所提供。政府主要為市民提供緊急牙科治療，為住院病人及需要特殊口腔健康護理的人士提供專科服務，於懲教機構為在囚人士／被羈留者提供牙科診治，及透過學童牙科保健計劃為小學生提供基本牙科治療。近年，政府已推出一系列措施，為有特別需要的長者及病人提供牙科護理服務支援</w:t>
      </w:r>
      <w:r w:rsidRPr="00D2773C">
        <w:rPr>
          <w:rFonts w:cs="Times New Roman"/>
          <w:kern w:val="0"/>
          <w:szCs w:val="28"/>
        </w:rPr>
        <w:t>–</w:t>
      </w:r>
    </w:p>
    <w:p w:rsidR="00747021" w:rsidRPr="00D2773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2773C" w:rsidRDefault="00747021" w:rsidP="00747021">
      <w:pPr>
        <w:widowControl/>
        <w:tabs>
          <w:tab w:val="left" w:pos="1440"/>
        </w:tabs>
        <w:adjustRightInd w:val="0"/>
        <w:snapToGrid w:val="0"/>
        <w:spacing w:line="400" w:lineRule="atLeast"/>
        <w:ind w:leftChars="257" w:left="1440" w:hangingChars="257" w:hanging="720"/>
        <w:jc w:val="both"/>
        <w:rPr>
          <w:rFonts w:cs="Times New Roman"/>
          <w:kern w:val="0"/>
          <w:szCs w:val="28"/>
        </w:rPr>
      </w:pPr>
      <w:r w:rsidRPr="00D2773C">
        <w:rPr>
          <w:rFonts w:cs="Times New Roman" w:hint="eastAsia"/>
          <w:kern w:val="0"/>
          <w:szCs w:val="28"/>
        </w:rPr>
        <w:t>(a)</w:t>
      </w:r>
      <w:r w:rsidRPr="00D2773C">
        <w:rPr>
          <w:rFonts w:cs="Times New Roman" w:hint="eastAsia"/>
          <w:kern w:val="0"/>
          <w:szCs w:val="28"/>
        </w:rPr>
        <w:tab/>
      </w:r>
      <w:r w:rsidRPr="00D2773C">
        <w:rPr>
          <w:rFonts w:cs="Times New Roman" w:hint="eastAsia"/>
          <w:b/>
          <w:kern w:val="0"/>
          <w:szCs w:val="28"/>
        </w:rPr>
        <w:t>長者牙科外展服務計劃：</w:t>
      </w:r>
      <w:r w:rsidRPr="00D2773C">
        <w:rPr>
          <w:rFonts w:cs="Times New Roman" w:hint="eastAsia"/>
          <w:kern w:val="0"/>
          <w:szCs w:val="28"/>
        </w:rPr>
        <w:t>政府在</w:t>
      </w:r>
      <w:r w:rsidRPr="00D2773C">
        <w:rPr>
          <w:rFonts w:cs="Times New Roman"/>
          <w:kern w:val="0"/>
          <w:szCs w:val="28"/>
        </w:rPr>
        <w:t>2011</w:t>
      </w:r>
      <w:r w:rsidRPr="00D2773C">
        <w:rPr>
          <w:rFonts w:cs="Times New Roman" w:hint="eastAsia"/>
          <w:kern w:val="0"/>
          <w:szCs w:val="28"/>
        </w:rPr>
        <w:t>年推出為期三年的先導計劃，資助非政府機構成立牙科外展隊，為安老院舍及日間護理中心的長者免費提供基本牙科護理服務（包括牙齒檢查、洗牙和緊急牙科治療）。該先導計劃在</w:t>
      </w:r>
      <w:r w:rsidRPr="00D2773C">
        <w:rPr>
          <w:rFonts w:cs="Times New Roman"/>
          <w:kern w:val="0"/>
          <w:szCs w:val="28"/>
        </w:rPr>
        <w:t>2014</w:t>
      </w:r>
      <w:r w:rsidRPr="00D2773C">
        <w:rPr>
          <w:rFonts w:cs="Times New Roman" w:hint="eastAsia"/>
          <w:kern w:val="0"/>
          <w:szCs w:val="28"/>
        </w:rPr>
        <w:t>年</w:t>
      </w:r>
      <w:r w:rsidRPr="00D2773C">
        <w:rPr>
          <w:rFonts w:cs="Times New Roman"/>
          <w:kern w:val="0"/>
          <w:szCs w:val="28"/>
        </w:rPr>
        <w:t>10</w:t>
      </w:r>
      <w:r w:rsidRPr="00D2773C">
        <w:rPr>
          <w:rFonts w:cs="Times New Roman" w:hint="eastAsia"/>
          <w:kern w:val="0"/>
          <w:szCs w:val="28"/>
        </w:rPr>
        <w:t>月轉為恆常計劃（即「長者牙科外展服務計劃」），由衞生署負責推行，並擴大牙科治療範圍至涵蓋補牙、脫牙及鑲假牙等，受惠對象亦擴大至居於同類設施（例如經衞生署註冊的護養院）的長者。</w:t>
      </w:r>
    </w:p>
    <w:p w:rsidR="00747021" w:rsidRPr="00D2773C" w:rsidRDefault="00747021" w:rsidP="00747021">
      <w:pPr>
        <w:widowControl/>
        <w:tabs>
          <w:tab w:val="left" w:pos="1440"/>
        </w:tabs>
        <w:adjustRightInd w:val="0"/>
        <w:snapToGrid w:val="0"/>
        <w:spacing w:line="400" w:lineRule="atLeast"/>
        <w:ind w:leftChars="257" w:left="1440" w:hangingChars="257" w:hanging="720"/>
        <w:jc w:val="both"/>
        <w:rPr>
          <w:rFonts w:cs="Times New Roman"/>
          <w:kern w:val="0"/>
          <w:szCs w:val="28"/>
        </w:rPr>
      </w:pPr>
    </w:p>
    <w:p w:rsidR="00747021" w:rsidRPr="00D2773C" w:rsidRDefault="00747021" w:rsidP="00747021">
      <w:pPr>
        <w:widowControl/>
        <w:tabs>
          <w:tab w:val="left" w:pos="1440"/>
        </w:tabs>
        <w:adjustRightInd w:val="0"/>
        <w:snapToGrid w:val="0"/>
        <w:spacing w:line="400" w:lineRule="atLeast"/>
        <w:ind w:leftChars="257" w:left="1440" w:hangingChars="257" w:hanging="720"/>
        <w:jc w:val="both"/>
        <w:rPr>
          <w:rFonts w:cs="Times New Roman"/>
          <w:kern w:val="0"/>
          <w:szCs w:val="28"/>
        </w:rPr>
      </w:pPr>
      <w:r w:rsidRPr="00D2773C">
        <w:rPr>
          <w:rFonts w:cs="Times New Roman"/>
          <w:kern w:val="0"/>
          <w:szCs w:val="28"/>
        </w:rPr>
        <w:lastRenderedPageBreak/>
        <w:t>(b)</w:t>
      </w:r>
      <w:r w:rsidRPr="00D2773C">
        <w:rPr>
          <w:rFonts w:cs="Times New Roman"/>
          <w:kern w:val="0"/>
          <w:szCs w:val="28"/>
        </w:rPr>
        <w:tab/>
      </w:r>
      <w:r w:rsidRPr="00D2773C">
        <w:rPr>
          <w:rFonts w:cs="Times New Roman" w:hint="eastAsia"/>
          <w:b/>
          <w:kern w:val="0"/>
          <w:szCs w:val="28"/>
        </w:rPr>
        <w:t>關愛基金「長者牙科服務資助」項目：</w:t>
      </w:r>
      <w:r w:rsidRPr="00D2773C">
        <w:rPr>
          <w:rFonts w:cs="Times New Roman" w:hint="eastAsia"/>
          <w:kern w:val="0"/>
          <w:szCs w:val="28"/>
        </w:rPr>
        <w:t>由關愛基金撥款支持的「長者牙科服務資助」項目於</w:t>
      </w:r>
      <w:r w:rsidRPr="00D2773C">
        <w:rPr>
          <w:rFonts w:cs="Times New Roman"/>
          <w:kern w:val="0"/>
          <w:szCs w:val="28"/>
        </w:rPr>
        <w:t>2012</w:t>
      </w:r>
      <w:r w:rsidRPr="00D2773C">
        <w:rPr>
          <w:rFonts w:cs="Times New Roman" w:hint="eastAsia"/>
          <w:kern w:val="0"/>
          <w:szCs w:val="28"/>
        </w:rPr>
        <w:t>年</w:t>
      </w:r>
      <w:r w:rsidRPr="00D2773C">
        <w:rPr>
          <w:rFonts w:cs="Times New Roman"/>
          <w:kern w:val="0"/>
          <w:szCs w:val="28"/>
        </w:rPr>
        <w:t>9</w:t>
      </w:r>
      <w:r w:rsidRPr="00D2773C">
        <w:rPr>
          <w:rFonts w:cs="Times New Roman" w:hint="eastAsia"/>
          <w:kern w:val="0"/>
          <w:szCs w:val="28"/>
        </w:rPr>
        <w:t>月推出，為使用由社署資助的家居照顧服務或家務助理服務的低收入長者，提供免費鑲活動假牙和相關的牙科診療服務（包括</w:t>
      </w:r>
      <w:r w:rsidRPr="00D2773C">
        <w:rPr>
          <w:rFonts w:cs="Times New Roman"/>
          <w:kern w:val="0"/>
          <w:szCs w:val="28"/>
        </w:rPr>
        <w:t>X</w:t>
      </w:r>
      <w:r w:rsidRPr="00D2773C">
        <w:rPr>
          <w:rFonts w:cs="Times New Roman" w:hint="eastAsia"/>
          <w:kern w:val="0"/>
          <w:szCs w:val="28"/>
        </w:rPr>
        <w:t>光檢查、洗牙、補牙及脫牙）。項目於</w:t>
      </w:r>
      <w:r w:rsidRPr="00D2773C">
        <w:rPr>
          <w:rFonts w:cs="Times New Roman"/>
          <w:kern w:val="0"/>
          <w:szCs w:val="28"/>
        </w:rPr>
        <w:t>2015</w:t>
      </w:r>
      <w:r w:rsidRPr="00D2773C">
        <w:rPr>
          <w:rFonts w:cs="Times New Roman" w:hint="eastAsia"/>
          <w:kern w:val="0"/>
          <w:szCs w:val="28"/>
        </w:rPr>
        <w:t>年</w:t>
      </w:r>
      <w:r w:rsidRPr="00D2773C">
        <w:rPr>
          <w:rFonts w:cs="Times New Roman"/>
          <w:kern w:val="0"/>
          <w:szCs w:val="28"/>
        </w:rPr>
        <w:t>9</w:t>
      </w:r>
      <w:r w:rsidRPr="00D2773C">
        <w:rPr>
          <w:rFonts w:cs="Times New Roman" w:hint="eastAsia"/>
          <w:kern w:val="0"/>
          <w:szCs w:val="28"/>
        </w:rPr>
        <w:t>月、</w:t>
      </w:r>
      <w:r w:rsidRPr="00D2773C">
        <w:rPr>
          <w:rFonts w:cs="Times New Roman"/>
          <w:kern w:val="0"/>
          <w:szCs w:val="28"/>
        </w:rPr>
        <w:t>2016</w:t>
      </w:r>
      <w:r w:rsidRPr="00D2773C">
        <w:rPr>
          <w:rFonts w:cs="Times New Roman" w:hint="eastAsia"/>
          <w:kern w:val="0"/>
          <w:szCs w:val="28"/>
        </w:rPr>
        <w:t>年</w:t>
      </w:r>
      <w:r w:rsidRPr="00D2773C">
        <w:rPr>
          <w:rFonts w:cs="Times New Roman"/>
          <w:kern w:val="0"/>
          <w:szCs w:val="28"/>
        </w:rPr>
        <w:t>10</w:t>
      </w:r>
      <w:r w:rsidRPr="00D2773C">
        <w:rPr>
          <w:rFonts w:cs="Times New Roman" w:hint="eastAsia"/>
          <w:kern w:val="0"/>
          <w:szCs w:val="28"/>
        </w:rPr>
        <w:t>月、</w:t>
      </w:r>
      <w:r w:rsidRPr="00D2773C">
        <w:rPr>
          <w:rFonts w:cs="Times New Roman"/>
          <w:kern w:val="0"/>
          <w:szCs w:val="28"/>
        </w:rPr>
        <w:t>2017</w:t>
      </w:r>
      <w:r w:rsidRPr="00D2773C">
        <w:rPr>
          <w:rFonts w:cs="Times New Roman" w:hint="eastAsia"/>
          <w:kern w:val="0"/>
          <w:szCs w:val="28"/>
        </w:rPr>
        <w:t>年</w:t>
      </w:r>
      <w:r w:rsidRPr="00D2773C">
        <w:rPr>
          <w:rFonts w:cs="Times New Roman"/>
          <w:kern w:val="0"/>
          <w:szCs w:val="28"/>
        </w:rPr>
        <w:t>7</w:t>
      </w:r>
      <w:r w:rsidRPr="00D2773C">
        <w:rPr>
          <w:rFonts w:cs="Times New Roman" w:hint="eastAsia"/>
          <w:kern w:val="0"/>
          <w:szCs w:val="28"/>
        </w:rPr>
        <w:t>月及</w:t>
      </w:r>
      <w:r w:rsidRPr="00D2773C">
        <w:rPr>
          <w:rFonts w:cs="Times New Roman"/>
          <w:kern w:val="0"/>
          <w:szCs w:val="28"/>
        </w:rPr>
        <w:t>2019</w:t>
      </w:r>
      <w:r w:rsidRPr="00D2773C">
        <w:rPr>
          <w:rFonts w:cs="Times New Roman" w:hint="eastAsia"/>
          <w:kern w:val="0"/>
          <w:szCs w:val="28"/>
        </w:rPr>
        <w:t>年</w:t>
      </w:r>
      <w:r w:rsidRPr="00D2773C">
        <w:rPr>
          <w:rFonts w:cs="Times New Roman"/>
          <w:kern w:val="0"/>
          <w:szCs w:val="28"/>
        </w:rPr>
        <w:t>2</w:t>
      </w:r>
      <w:r w:rsidRPr="00D2773C">
        <w:rPr>
          <w:rFonts w:cs="Times New Roman" w:hint="eastAsia"/>
          <w:kern w:val="0"/>
          <w:szCs w:val="28"/>
        </w:rPr>
        <w:t>月分階段擴展至領取「長者生活津貼」的</w:t>
      </w:r>
      <w:r w:rsidRPr="00D2773C">
        <w:rPr>
          <w:rFonts w:cs="Times New Roman"/>
          <w:kern w:val="0"/>
          <w:szCs w:val="28"/>
        </w:rPr>
        <w:t>65</w:t>
      </w:r>
      <w:r w:rsidRPr="00D2773C">
        <w:rPr>
          <w:rFonts w:cs="Times New Roman" w:hint="eastAsia"/>
          <w:kern w:val="0"/>
          <w:szCs w:val="28"/>
        </w:rPr>
        <w:t>歲或以上的長者。截至</w:t>
      </w:r>
      <w:r w:rsidRPr="00D2773C">
        <w:rPr>
          <w:rFonts w:cs="Times New Roman"/>
          <w:kern w:val="0"/>
          <w:szCs w:val="28"/>
        </w:rPr>
        <w:t>2019</w:t>
      </w:r>
      <w:r w:rsidRPr="00D2773C">
        <w:rPr>
          <w:rFonts w:cs="Times New Roman" w:hint="eastAsia"/>
          <w:kern w:val="0"/>
          <w:szCs w:val="28"/>
        </w:rPr>
        <w:t>年</w:t>
      </w:r>
      <w:r w:rsidRPr="00D2773C">
        <w:rPr>
          <w:rFonts w:cs="Times New Roman"/>
          <w:kern w:val="0"/>
          <w:szCs w:val="28"/>
        </w:rPr>
        <w:t>2</w:t>
      </w:r>
      <w:r w:rsidRPr="00D2773C">
        <w:rPr>
          <w:rFonts w:cs="Times New Roman" w:hint="eastAsia"/>
          <w:kern w:val="0"/>
          <w:szCs w:val="28"/>
        </w:rPr>
        <w:t>月底，全港約有</w:t>
      </w:r>
      <w:r w:rsidRPr="00D2773C">
        <w:rPr>
          <w:rFonts w:cs="Times New Roman"/>
          <w:kern w:val="0"/>
          <w:szCs w:val="28"/>
        </w:rPr>
        <w:t>530</w:t>
      </w:r>
      <w:r w:rsidRPr="00D2773C">
        <w:rPr>
          <w:rFonts w:cs="Times New Roman" w:hint="eastAsia"/>
          <w:kern w:val="0"/>
          <w:szCs w:val="28"/>
        </w:rPr>
        <w:t>名私家牙醫及約</w:t>
      </w:r>
      <w:r w:rsidRPr="00D2773C">
        <w:rPr>
          <w:rFonts w:cs="Times New Roman"/>
          <w:kern w:val="0"/>
          <w:szCs w:val="28"/>
        </w:rPr>
        <w:t>65</w:t>
      </w:r>
      <w:r w:rsidRPr="00D2773C">
        <w:rPr>
          <w:rFonts w:cs="Times New Roman" w:hint="eastAsia"/>
          <w:kern w:val="0"/>
          <w:szCs w:val="28"/>
        </w:rPr>
        <w:t>間非政府機構牙科診所參與項目。</w:t>
      </w:r>
    </w:p>
    <w:p w:rsidR="00747021" w:rsidRPr="00D2773C" w:rsidRDefault="00747021" w:rsidP="00747021">
      <w:pPr>
        <w:widowControl/>
        <w:tabs>
          <w:tab w:val="left" w:pos="1440"/>
        </w:tabs>
        <w:adjustRightInd w:val="0"/>
        <w:snapToGrid w:val="0"/>
        <w:spacing w:line="400" w:lineRule="atLeast"/>
        <w:ind w:leftChars="257" w:left="1440" w:hangingChars="257" w:hanging="720"/>
        <w:jc w:val="both"/>
        <w:rPr>
          <w:rFonts w:cs="Times New Roman"/>
          <w:kern w:val="0"/>
          <w:szCs w:val="28"/>
        </w:rPr>
      </w:pPr>
    </w:p>
    <w:p w:rsidR="00747021" w:rsidRPr="00336E2F" w:rsidRDefault="00747021" w:rsidP="00747021">
      <w:pPr>
        <w:widowControl/>
        <w:tabs>
          <w:tab w:val="left" w:pos="1440"/>
        </w:tabs>
        <w:adjustRightInd w:val="0"/>
        <w:snapToGrid w:val="0"/>
        <w:spacing w:line="400" w:lineRule="atLeast"/>
        <w:ind w:leftChars="257" w:left="1440" w:hangingChars="257" w:hanging="720"/>
        <w:jc w:val="both"/>
        <w:rPr>
          <w:rFonts w:cs="Times New Roman"/>
          <w:spacing w:val="-2"/>
          <w:kern w:val="0"/>
          <w:szCs w:val="28"/>
        </w:rPr>
      </w:pPr>
      <w:r w:rsidRPr="00D2773C">
        <w:rPr>
          <w:rFonts w:cs="Times New Roman"/>
          <w:kern w:val="0"/>
          <w:szCs w:val="28"/>
        </w:rPr>
        <w:t>(c)</w:t>
      </w:r>
      <w:r w:rsidRPr="00D2773C">
        <w:rPr>
          <w:rFonts w:cs="Times New Roman"/>
          <w:kern w:val="0"/>
          <w:szCs w:val="28"/>
        </w:rPr>
        <w:tab/>
      </w:r>
      <w:r w:rsidRPr="00D2773C">
        <w:rPr>
          <w:rFonts w:cs="Times New Roman" w:hint="eastAsia"/>
          <w:b/>
          <w:kern w:val="0"/>
          <w:szCs w:val="28"/>
        </w:rPr>
        <w:t>「護齒同行」：</w:t>
      </w:r>
      <w:r w:rsidRPr="00D2773C">
        <w:rPr>
          <w:rFonts w:cs="Times New Roman" w:hint="eastAsia"/>
          <w:kern w:val="0"/>
          <w:szCs w:val="28"/>
        </w:rPr>
        <w:t>自</w:t>
      </w:r>
      <w:r w:rsidRPr="00D2773C">
        <w:rPr>
          <w:rFonts w:cs="Times New Roman"/>
          <w:kern w:val="0"/>
          <w:szCs w:val="28"/>
        </w:rPr>
        <w:t>2018</w:t>
      </w:r>
      <w:r w:rsidRPr="00D2773C">
        <w:rPr>
          <w:rFonts w:cs="Times New Roman" w:hint="eastAsia"/>
          <w:kern w:val="0"/>
          <w:szCs w:val="28"/>
        </w:rPr>
        <w:t>年</w:t>
      </w:r>
      <w:r w:rsidRPr="00D2773C">
        <w:rPr>
          <w:rFonts w:cs="Times New Roman"/>
          <w:kern w:val="0"/>
          <w:szCs w:val="28"/>
        </w:rPr>
        <w:t>7</w:t>
      </w:r>
      <w:r w:rsidRPr="00D2773C">
        <w:rPr>
          <w:rFonts w:cs="Times New Roman" w:hint="eastAsia"/>
          <w:kern w:val="0"/>
          <w:szCs w:val="28"/>
        </w:rPr>
        <w:t>月</w:t>
      </w:r>
      <w:r w:rsidRPr="00D2773C">
        <w:rPr>
          <w:rFonts w:cs="Times New Roman"/>
          <w:kern w:val="0"/>
          <w:szCs w:val="28"/>
        </w:rPr>
        <w:t>16</w:t>
      </w:r>
      <w:r w:rsidRPr="00D2773C">
        <w:rPr>
          <w:rFonts w:cs="Times New Roman" w:hint="eastAsia"/>
          <w:kern w:val="0"/>
          <w:szCs w:val="28"/>
        </w:rPr>
        <w:t>日起，衞生署推行為期</w:t>
      </w:r>
      <w:r w:rsidRPr="00D2773C">
        <w:rPr>
          <w:rFonts w:cs="Times New Roman"/>
          <w:kern w:val="0"/>
          <w:szCs w:val="28"/>
        </w:rPr>
        <w:t>3</w:t>
      </w:r>
      <w:r w:rsidRPr="00D2773C">
        <w:rPr>
          <w:rFonts w:cs="Times New Roman" w:hint="eastAsia"/>
          <w:kern w:val="0"/>
          <w:szCs w:val="28"/>
        </w:rPr>
        <w:t>年的「護齒同行」計劃，透過非政府機構的參與，為領取綜合社會保障援助、傷殘津貼或獲醫管局減免醫療費用的成年智障人士提供牙科護理服務。政府為此計劃提供約</w:t>
      </w:r>
      <w:r w:rsidRPr="00336E2F">
        <w:rPr>
          <w:rFonts w:cs="Times New Roman"/>
          <w:spacing w:val="-2"/>
          <w:kern w:val="0"/>
          <w:szCs w:val="28"/>
        </w:rPr>
        <w:t>5,400</w:t>
      </w:r>
      <w:r w:rsidRPr="00336E2F">
        <w:rPr>
          <w:rFonts w:cs="Times New Roman" w:hint="eastAsia"/>
          <w:spacing w:val="-2"/>
          <w:kern w:val="0"/>
          <w:szCs w:val="28"/>
        </w:rPr>
        <w:t>萬元的資助。此計劃可提供約</w:t>
      </w:r>
      <w:r w:rsidRPr="00336E2F">
        <w:rPr>
          <w:rFonts w:cs="Times New Roman"/>
          <w:spacing w:val="-2"/>
          <w:kern w:val="0"/>
          <w:szCs w:val="28"/>
        </w:rPr>
        <w:t>5 000</w:t>
      </w:r>
      <w:r w:rsidRPr="00336E2F">
        <w:rPr>
          <w:rFonts w:cs="Times New Roman" w:hint="eastAsia"/>
          <w:spacing w:val="-2"/>
          <w:kern w:val="0"/>
          <w:szCs w:val="28"/>
        </w:rPr>
        <w:t>個合資格人士的名額。截至</w:t>
      </w:r>
      <w:r w:rsidRPr="00336E2F">
        <w:rPr>
          <w:rFonts w:cs="Times New Roman"/>
          <w:spacing w:val="-2"/>
          <w:kern w:val="0"/>
          <w:szCs w:val="28"/>
        </w:rPr>
        <w:t>2019</w:t>
      </w:r>
      <w:r w:rsidRPr="00336E2F">
        <w:rPr>
          <w:rFonts w:cs="Times New Roman" w:hint="eastAsia"/>
          <w:spacing w:val="-2"/>
          <w:kern w:val="0"/>
          <w:szCs w:val="28"/>
        </w:rPr>
        <w:t>年</w:t>
      </w:r>
      <w:r w:rsidRPr="00336E2F">
        <w:rPr>
          <w:rFonts w:cs="Times New Roman"/>
          <w:spacing w:val="-2"/>
          <w:kern w:val="0"/>
          <w:szCs w:val="28"/>
        </w:rPr>
        <w:t>1</w:t>
      </w:r>
      <w:r w:rsidRPr="00336E2F">
        <w:rPr>
          <w:rFonts w:cs="Times New Roman" w:hint="eastAsia"/>
          <w:spacing w:val="-2"/>
          <w:kern w:val="0"/>
          <w:szCs w:val="28"/>
        </w:rPr>
        <w:t>月底，約</w:t>
      </w:r>
      <w:r w:rsidRPr="00336E2F">
        <w:rPr>
          <w:rFonts w:cs="Times New Roman"/>
          <w:spacing w:val="-2"/>
          <w:kern w:val="0"/>
          <w:szCs w:val="28"/>
        </w:rPr>
        <w:t>1 300</w:t>
      </w:r>
      <w:r w:rsidRPr="00336E2F">
        <w:rPr>
          <w:rFonts w:cs="Times New Roman" w:hint="eastAsia"/>
          <w:spacing w:val="-2"/>
          <w:kern w:val="0"/>
          <w:szCs w:val="28"/>
        </w:rPr>
        <w:t>名成年智障人士已登記參與此計劃，當中</w:t>
      </w:r>
      <w:r w:rsidRPr="00336E2F">
        <w:rPr>
          <w:rFonts w:cs="Times New Roman"/>
          <w:spacing w:val="-2"/>
          <w:kern w:val="0"/>
          <w:szCs w:val="28"/>
        </w:rPr>
        <w:t>1 200</w:t>
      </w:r>
      <w:r w:rsidRPr="00336E2F">
        <w:rPr>
          <w:rFonts w:cs="Times New Roman" w:hint="eastAsia"/>
          <w:spacing w:val="-2"/>
          <w:kern w:val="0"/>
          <w:szCs w:val="28"/>
        </w:rPr>
        <w:t>人已接受首次診治服務。</w:t>
      </w:r>
    </w:p>
    <w:p w:rsidR="00747021" w:rsidRPr="00D2773C" w:rsidRDefault="00747021" w:rsidP="00747021">
      <w:pPr>
        <w:widowControl/>
        <w:tabs>
          <w:tab w:val="left" w:pos="1440"/>
        </w:tabs>
        <w:adjustRightInd w:val="0"/>
        <w:snapToGrid w:val="0"/>
        <w:spacing w:line="400" w:lineRule="atLeast"/>
        <w:jc w:val="both"/>
        <w:rPr>
          <w:rFonts w:cs="Times New Roman"/>
          <w:kern w:val="0"/>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sectPr w:rsidR="00747021" w:rsidSect="00747021">
          <w:footerReference w:type="default" r:id="rId64"/>
          <w:headerReference w:type="first" r:id="rId65"/>
          <w:footerReference w:type="first" r:id="rId66"/>
          <w:pgSz w:w="11906" w:h="16838"/>
          <w:pgMar w:top="1440" w:right="1800" w:bottom="1440" w:left="1800" w:header="720" w:footer="720" w:gutter="0"/>
          <w:pgNumType w:start="1"/>
          <w:cols w:space="425"/>
          <w:titlePg/>
          <w:docGrid w:type="lines" w:linePitch="381"/>
        </w:sectPr>
      </w:pPr>
      <w:r w:rsidRPr="00D2773C">
        <w:rPr>
          <w:rFonts w:eastAsia="標楷體" w:hint="eastAsia"/>
          <w:bCs/>
          <w:sz w:val="28"/>
          <w:szCs w:val="28"/>
        </w:rPr>
        <w:t>1</w:t>
      </w:r>
      <w:r>
        <w:rPr>
          <w:rFonts w:eastAsia="標楷體"/>
          <w:bCs/>
          <w:sz w:val="28"/>
          <w:szCs w:val="28"/>
        </w:rPr>
        <w:t>8</w:t>
      </w:r>
      <w:r w:rsidRPr="00D2773C">
        <w:rPr>
          <w:rFonts w:eastAsia="標楷體" w:hint="eastAsia"/>
          <w:bCs/>
          <w:sz w:val="28"/>
          <w:szCs w:val="28"/>
        </w:rPr>
        <w:t>.</w:t>
      </w:r>
      <w:r w:rsidRPr="00D2773C">
        <w:rPr>
          <w:rFonts w:eastAsia="標楷體"/>
          <w:bCs/>
          <w:sz w:val="28"/>
          <w:szCs w:val="28"/>
        </w:rPr>
        <w:tab/>
      </w:r>
      <w:r w:rsidRPr="00D2773C">
        <w:rPr>
          <w:rFonts w:eastAsia="標楷體" w:hint="eastAsia"/>
          <w:bCs/>
          <w:sz w:val="28"/>
          <w:szCs w:val="28"/>
        </w:rPr>
        <w:t>在</w:t>
      </w:r>
      <w:r w:rsidRPr="00D2773C">
        <w:rPr>
          <w:rFonts w:eastAsia="標楷體"/>
          <w:bCs/>
          <w:sz w:val="28"/>
          <w:szCs w:val="28"/>
        </w:rPr>
        <w:t>2017-18</w:t>
      </w:r>
      <w:r w:rsidRPr="00D2773C">
        <w:rPr>
          <w:rFonts w:eastAsia="標楷體" w:hint="eastAsia"/>
          <w:bCs/>
          <w:sz w:val="28"/>
          <w:szCs w:val="28"/>
        </w:rPr>
        <w:t>年度，參加學童牙科保健計劃的兒童超過</w:t>
      </w:r>
      <w:r w:rsidRPr="00D2773C">
        <w:rPr>
          <w:rFonts w:eastAsia="標楷體"/>
          <w:bCs/>
          <w:sz w:val="28"/>
          <w:szCs w:val="28"/>
        </w:rPr>
        <w:t>349 000</w:t>
      </w:r>
      <w:r w:rsidRPr="00D2773C">
        <w:rPr>
          <w:rFonts w:eastAsia="標楷體" w:hint="eastAsia"/>
          <w:bCs/>
          <w:sz w:val="28"/>
          <w:szCs w:val="28"/>
        </w:rPr>
        <w:t>人，約佔全港小學生的</w:t>
      </w:r>
      <w:r w:rsidRPr="00D2773C">
        <w:rPr>
          <w:rFonts w:eastAsia="標楷體"/>
          <w:bCs/>
          <w:sz w:val="28"/>
          <w:szCs w:val="28"/>
        </w:rPr>
        <w:t>96.5%</w:t>
      </w:r>
      <w:r w:rsidRPr="00D2773C">
        <w:rPr>
          <w:rFonts w:eastAsia="標楷體" w:hint="eastAsia"/>
          <w:bCs/>
          <w:sz w:val="28"/>
          <w:szCs w:val="28"/>
        </w:rPr>
        <w:t>。參加比率較上一次報告第</w:t>
      </w:r>
      <w:r w:rsidRPr="00D2773C">
        <w:rPr>
          <w:rFonts w:eastAsia="標楷體"/>
          <w:bCs/>
          <w:sz w:val="28"/>
          <w:szCs w:val="28"/>
        </w:rPr>
        <w:t>12.27</w:t>
      </w:r>
      <w:r w:rsidRPr="00085602">
        <w:rPr>
          <w:rFonts w:eastAsia="標楷體" w:hint="eastAsia"/>
          <w:bCs/>
          <w:spacing w:val="2"/>
          <w:sz w:val="28"/>
          <w:szCs w:val="28"/>
        </w:rPr>
        <w:t>段所述</w:t>
      </w:r>
      <w:r w:rsidRPr="00085602">
        <w:rPr>
          <w:rFonts w:eastAsia="標楷體"/>
          <w:bCs/>
          <w:spacing w:val="2"/>
          <w:sz w:val="28"/>
          <w:szCs w:val="28"/>
        </w:rPr>
        <w:t>2008-09</w:t>
      </w:r>
      <w:r w:rsidRPr="00085602">
        <w:rPr>
          <w:rFonts w:eastAsia="標楷體" w:hint="eastAsia"/>
          <w:bCs/>
          <w:spacing w:val="2"/>
          <w:sz w:val="28"/>
          <w:szCs w:val="28"/>
        </w:rPr>
        <w:t>年度上升</w:t>
      </w:r>
      <w:r w:rsidRPr="00085602">
        <w:rPr>
          <w:rFonts w:eastAsia="標楷體"/>
          <w:bCs/>
          <w:spacing w:val="2"/>
          <w:sz w:val="28"/>
          <w:szCs w:val="28"/>
        </w:rPr>
        <w:t>2.2%</w:t>
      </w:r>
      <w:r w:rsidRPr="00085602">
        <w:rPr>
          <w:rFonts w:eastAsia="標楷體" w:hint="eastAsia"/>
          <w:bCs/>
          <w:spacing w:val="2"/>
          <w:sz w:val="28"/>
          <w:szCs w:val="28"/>
        </w:rPr>
        <w:t>。政府亦致力透過宣傳和教育，提高市</w:t>
      </w:r>
      <w:r w:rsidRPr="00D2773C">
        <w:rPr>
          <w:rFonts w:eastAsia="標楷體" w:hint="eastAsia"/>
          <w:bCs/>
          <w:sz w:val="28"/>
          <w:szCs w:val="28"/>
        </w:rPr>
        <w:t>民對口腔衞生的認識，並幫助他們養成良好的口腔衞生習慣。由</w:t>
      </w:r>
      <w:r w:rsidRPr="00D2773C">
        <w:rPr>
          <w:rFonts w:eastAsia="標楷體"/>
          <w:bCs/>
          <w:sz w:val="28"/>
          <w:szCs w:val="28"/>
        </w:rPr>
        <w:t>2003</w:t>
      </w:r>
      <w:r w:rsidRPr="00D2773C">
        <w:rPr>
          <w:rFonts w:eastAsia="標楷體" w:hint="eastAsia"/>
          <w:bCs/>
          <w:sz w:val="28"/>
          <w:szCs w:val="28"/>
        </w:rPr>
        <w:t>年起，衞生署每年展開“全港愛牙運動</w:t>
      </w:r>
      <w:r w:rsidRPr="00D2773C">
        <w:rPr>
          <w:rFonts w:eastAsia="Times New Roman" w:hint="eastAsia"/>
          <w:bCs/>
          <w:sz w:val="28"/>
        </w:rPr>
        <w:t xml:space="preserve"> </w:t>
      </w:r>
      <w:r w:rsidRPr="00D2773C">
        <w:rPr>
          <w:rFonts w:eastAsia="標楷體" w:hint="eastAsia"/>
          <w:bCs/>
          <w:sz w:val="28"/>
          <w:szCs w:val="28"/>
        </w:rPr>
        <w:t>”，加強促進市民口腔健康的工作。</w:t>
      </w:r>
    </w:p>
    <w:p w:rsidR="00747021" w:rsidRDefault="00747021" w:rsidP="00747021">
      <w:pPr>
        <w:snapToGrid w:val="0"/>
        <w:spacing w:line="360" w:lineRule="atLeast"/>
        <w:jc w:val="right"/>
        <w:rPr>
          <w:rFonts w:cs="Times New Roman"/>
          <w:b/>
          <w:lang w:val="en-GB"/>
        </w:rPr>
      </w:pPr>
      <w:r w:rsidRPr="00D2773C">
        <w:rPr>
          <w:rFonts w:cs="Times New Roman"/>
          <w:b/>
          <w:lang w:val="en-GB"/>
        </w:rPr>
        <w:lastRenderedPageBreak/>
        <w:t>附件</w:t>
      </w:r>
      <w:r>
        <w:rPr>
          <w:rFonts w:cs="Times New Roman" w:hint="eastAsia"/>
          <w:b/>
          <w:lang w:val="en-GB"/>
        </w:rPr>
        <w:t>1</w:t>
      </w:r>
      <w:r>
        <w:rPr>
          <w:rFonts w:cs="Times New Roman"/>
          <w:b/>
          <w:lang w:val="en-GB"/>
        </w:rPr>
        <w:t>2B</w:t>
      </w:r>
    </w:p>
    <w:p w:rsidR="00747021" w:rsidRDefault="00747021" w:rsidP="00747021">
      <w:pPr>
        <w:snapToGrid w:val="0"/>
        <w:spacing w:line="360" w:lineRule="atLeast"/>
        <w:jc w:val="right"/>
        <w:rPr>
          <w:rFonts w:cs="Times New Roman"/>
          <w:b/>
          <w:lang w:val="en-GB"/>
        </w:rPr>
      </w:pPr>
    </w:p>
    <w:p w:rsidR="00747021" w:rsidRDefault="00747021" w:rsidP="00747021">
      <w:pPr>
        <w:snapToGrid w:val="0"/>
        <w:spacing w:line="360" w:lineRule="atLeast"/>
        <w:jc w:val="center"/>
        <w:rPr>
          <w:b/>
          <w:szCs w:val="28"/>
        </w:rPr>
      </w:pPr>
      <w:r w:rsidRPr="00D72252">
        <w:rPr>
          <w:rFonts w:hint="eastAsia"/>
          <w:b/>
          <w:szCs w:val="28"/>
          <w:lang w:eastAsia="zh-HK"/>
        </w:rPr>
        <w:t>中醫藥</w:t>
      </w:r>
      <w:r>
        <w:rPr>
          <w:rFonts w:hint="eastAsia"/>
          <w:b/>
          <w:szCs w:val="28"/>
        </w:rPr>
        <w:t>發展</w:t>
      </w:r>
    </w:p>
    <w:p w:rsidR="00747021" w:rsidRPr="004B7F08" w:rsidRDefault="00747021" w:rsidP="00747021">
      <w:pPr>
        <w:pStyle w:val="2"/>
        <w:tabs>
          <w:tab w:val="left" w:pos="1440"/>
          <w:tab w:val="left" w:pos="1680"/>
        </w:tabs>
        <w:adjustRightInd w:val="0"/>
        <w:snapToGrid w:val="0"/>
        <w:spacing w:after="0" w:line="400" w:lineRule="atLeast"/>
        <w:jc w:val="both"/>
        <w:rPr>
          <w:rFonts w:eastAsia="標楷體"/>
          <w:sz w:val="28"/>
          <w:szCs w:val="28"/>
          <w:u w:val="single"/>
        </w:rPr>
      </w:pPr>
    </w:p>
    <w:p w:rsidR="00747021"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w:t>
      </w:r>
      <w:r>
        <w:rPr>
          <w:rFonts w:eastAsia="標楷體" w:hint="eastAsia"/>
          <w:sz w:val="28"/>
          <w:szCs w:val="28"/>
        </w:rPr>
        <w:tab/>
      </w:r>
      <w:r w:rsidRPr="004B7F08">
        <w:rPr>
          <w:rFonts w:eastAsia="標楷體" w:hint="eastAsia"/>
          <w:sz w:val="28"/>
          <w:szCs w:val="28"/>
        </w:rPr>
        <w:t>香港已通過制訂《中醫藥條例》（第</w:t>
      </w:r>
      <w:r w:rsidRPr="004B7F08">
        <w:rPr>
          <w:rFonts w:eastAsia="標楷體"/>
          <w:sz w:val="28"/>
          <w:szCs w:val="28"/>
        </w:rPr>
        <w:t>549</w:t>
      </w:r>
      <w:r w:rsidRPr="004B7F08">
        <w:rPr>
          <w:rFonts w:eastAsia="標楷體" w:hint="eastAsia"/>
          <w:sz w:val="28"/>
          <w:szCs w:val="28"/>
        </w:rPr>
        <w:t>章）和設立法定的香港中醫藥管理委員會，建立規管中醫的執業、中藥的使用、銷售和製造的法定架構。</w:t>
      </w:r>
      <w:r>
        <w:rPr>
          <w:rFonts w:eastAsia="標楷體" w:hint="eastAsia"/>
          <w:sz w:val="28"/>
          <w:szCs w:val="28"/>
          <w:lang w:eastAsia="zh-HK"/>
        </w:rPr>
        <w:t>該</w:t>
      </w:r>
      <w:r w:rsidRPr="004B7F08">
        <w:rPr>
          <w:rFonts w:eastAsia="標楷體" w:hint="eastAsia"/>
          <w:sz w:val="28"/>
          <w:szCs w:val="28"/>
        </w:rPr>
        <w:t>委員會轄下設有中醫組和中藥組，分別執行規管中醫的執業、以及中藥的使用、銷售和製造的工作。</w:t>
      </w:r>
    </w:p>
    <w:p w:rsidR="00747021" w:rsidRPr="004B7F08"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Default="00747021" w:rsidP="00747021">
      <w:pPr>
        <w:pStyle w:val="2"/>
        <w:tabs>
          <w:tab w:val="left" w:pos="1440"/>
        </w:tabs>
        <w:adjustRightInd w:val="0"/>
        <w:snapToGrid w:val="0"/>
        <w:spacing w:after="0" w:line="400" w:lineRule="atLeast"/>
        <w:jc w:val="both"/>
        <w:rPr>
          <w:rFonts w:eastAsia="標楷體"/>
        </w:rPr>
      </w:pPr>
      <w:r>
        <w:rPr>
          <w:rFonts w:eastAsia="標楷體" w:hint="eastAsia"/>
          <w:sz w:val="28"/>
          <w:szCs w:val="28"/>
        </w:rPr>
        <w:t>2.</w:t>
      </w:r>
      <w:r>
        <w:rPr>
          <w:rFonts w:eastAsia="標楷體" w:hint="eastAsia"/>
          <w:sz w:val="28"/>
          <w:szCs w:val="28"/>
        </w:rPr>
        <w:tab/>
      </w:r>
      <w:r w:rsidRPr="00E5232B">
        <w:rPr>
          <w:rFonts w:eastAsia="標楷體" w:hint="eastAsia"/>
          <w:sz w:val="28"/>
          <w:szCs w:val="28"/>
        </w:rPr>
        <w:t>《行政長官</w:t>
      </w:r>
      <w:r w:rsidRPr="00E5232B">
        <w:rPr>
          <w:rFonts w:eastAsia="標楷體"/>
          <w:sz w:val="28"/>
          <w:szCs w:val="28"/>
        </w:rPr>
        <w:t>2018</w:t>
      </w:r>
      <w:r w:rsidRPr="00E5232B">
        <w:rPr>
          <w:rFonts w:eastAsia="標楷體" w:hint="eastAsia"/>
          <w:sz w:val="28"/>
          <w:szCs w:val="28"/>
        </w:rPr>
        <w:t>年施政報告》宣布將中醫藥納入醫療系統，並訂立整全的政策，投入更多資源，資助特定的中醫服務，包括計劃發展中醫醫院及於</w:t>
      </w:r>
      <w:r>
        <w:rPr>
          <w:rFonts w:eastAsia="標楷體" w:hint="eastAsia"/>
          <w:sz w:val="28"/>
          <w:szCs w:val="28"/>
          <w:lang w:eastAsia="zh-HK"/>
        </w:rPr>
        <w:t>該</w:t>
      </w:r>
      <w:r w:rsidRPr="00E5232B">
        <w:rPr>
          <w:rFonts w:eastAsia="標楷體" w:hint="eastAsia"/>
          <w:sz w:val="28"/>
          <w:szCs w:val="28"/>
        </w:rPr>
        <w:t>院提供政府資助的門診和住院服務；將</w:t>
      </w:r>
      <w:r w:rsidRPr="00E5232B">
        <w:rPr>
          <w:rFonts w:eastAsia="標楷體"/>
          <w:sz w:val="28"/>
          <w:szCs w:val="28"/>
        </w:rPr>
        <w:t>18</w:t>
      </w:r>
      <w:r w:rsidRPr="00E5232B">
        <w:rPr>
          <w:rFonts w:eastAsia="標楷體" w:hint="eastAsia"/>
          <w:sz w:val="28"/>
          <w:szCs w:val="28"/>
        </w:rPr>
        <w:t>間中醫教研中心轉型並提升服務，於地區層面提供資助中醫門診服務；及在特定公立醫院繼續提供資助中西醫協作治療住院服務。</w:t>
      </w:r>
    </w:p>
    <w:p w:rsidR="00747021" w:rsidRDefault="00747021" w:rsidP="00747021">
      <w:pPr>
        <w:snapToGrid w:val="0"/>
        <w:spacing w:line="360" w:lineRule="atLeast"/>
        <w:rPr>
          <w:b/>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D72252">
        <w:rPr>
          <w:rFonts w:cs="Times New Roman" w:hint="eastAsia"/>
          <w:kern w:val="0"/>
          <w:szCs w:val="28"/>
          <w:u w:val="single"/>
        </w:rPr>
        <w:t>監管中醫業者</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3.</w:t>
      </w:r>
      <w:r w:rsidRPr="00D72252">
        <w:rPr>
          <w:rFonts w:cs="Times New Roman"/>
          <w:kern w:val="0"/>
          <w:szCs w:val="28"/>
        </w:rPr>
        <w:tab/>
      </w:r>
      <w:r w:rsidRPr="00D72252">
        <w:rPr>
          <w:rFonts w:cs="Times New Roman" w:hint="eastAsia"/>
          <w:kern w:val="0"/>
          <w:szCs w:val="28"/>
        </w:rPr>
        <w:t>《中醫藥條例》訂明中醫的規管制度。制度包含註冊、考試及紀律等範疇，目的是維護公眾健康和病人權益、確保中醫的專業水平和操守，從而在香港確立中醫的法定專業地位。根據該制度，要成為註冊中醫的條件是要通過執業資格考試。為了促使註冊中醫掌握所屬專業範疇的最新發展，註冊制度亦規定註冊中醫須符合《中醫藥條例》下的持續進修要求，才可以續領執業證明書。為確保中醫的專業水平和操守，中醫組亦已為中醫制訂了相關的《專業守則》。截至</w:t>
      </w:r>
      <w:r w:rsidRPr="00D72252">
        <w:rPr>
          <w:rFonts w:cs="Times New Roman"/>
          <w:kern w:val="0"/>
          <w:szCs w:val="28"/>
        </w:rPr>
        <w:t>2018</w:t>
      </w:r>
      <w:r w:rsidRPr="00D72252">
        <w:rPr>
          <w:rFonts w:cs="Times New Roman" w:hint="eastAsia"/>
          <w:kern w:val="0"/>
          <w:szCs w:val="28"/>
        </w:rPr>
        <w:t>年</w:t>
      </w:r>
      <w:r w:rsidRPr="00D72252">
        <w:rPr>
          <w:rFonts w:cs="Times New Roman"/>
          <w:kern w:val="0"/>
          <w:szCs w:val="28"/>
        </w:rPr>
        <w:t>12</w:t>
      </w:r>
      <w:r w:rsidRPr="00D72252">
        <w:rPr>
          <w:rFonts w:cs="Times New Roman" w:hint="eastAsia"/>
          <w:kern w:val="0"/>
          <w:szCs w:val="28"/>
        </w:rPr>
        <w:t>月底為止，香港約有</w:t>
      </w:r>
      <w:r w:rsidRPr="00D72252">
        <w:rPr>
          <w:rFonts w:cs="Times New Roman"/>
          <w:kern w:val="0"/>
          <w:szCs w:val="28"/>
        </w:rPr>
        <w:t>7 400</w:t>
      </w:r>
      <w:r w:rsidRPr="00D72252">
        <w:rPr>
          <w:rFonts w:cs="Times New Roman" w:hint="eastAsia"/>
          <w:kern w:val="0"/>
          <w:szCs w:val="28"/>
        </w:rPr>
        <w:t>名註冊中醫。</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D72252">
        <w:rPr>
          <w:rFonts w:cs="Times New Roman" w:hint="eastAsia"/>
          <w:kern w:val="0"/>
          <w:szCs w:val="28"/>
          <w:u w:val="single"/>
        </w:rPr>
        <w:t>監管中醫藥</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4</w:t>
      </w:r>
      <w:r>
        <w:rPr>
          <w:rFonts w:cs="Times New Roman"/>
          <w:kern w:val="0"/>
          <w:szCs w:val="28"/>
        </w:rPr>
        <w:t>.</w:t>
      </w:r>
      <w:r w:rsidRPr="00D72252">
        <w:rPr>
          <w:rFonts w:cs="Times New Roman"/>
          <w:kern w:val="0"/>
          <w:szCs w:val="28"/>
        </w:rPr>
        <w:tab/>
      </w:r>
      <w:r w:rsidRPr="00D72252">
        <w:rPr>
          <w:rFonts w:cs="Times New Roman" w:hint="eastAsia"/>
          <w:kern w:val="0"/>
          <w:szCs w:val="28"/>
        </w:rPr>
        <w:t>香港已建立了中藥的規管制度。中藥規管制度主要有四方面：中藥商領牌制度、中成藥註冊制度、中藥進出口管制及中藥安全監察機制。</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5</w:t>
      </w:r>
      <w:r>
        <w:rPr>
          <w:rFonts w:cs="Times New Roman"/>
          <w:kern w:val="0"/>
          <w:szCs w:val="28"/>
        </w:rPr>
        <w:t>.</w:t>
      </w:r>
      <w:r w:rsidRPr="00D72252">
        <w:rPr>
          <w:rFonts w:cs="Times New Roman"/>
          <w:kern w:val="0"/>
          <w:szCs w:val="28"/>
        </w:rPr>
        <w:tab/>
      </w:r>
      <w:r w:rsidRPr="00D72252">
        <w:rPr>
          <w:rFonts w:cs="Times New Roman" w:hint="eastAsia"/>
          <w:kern w:val="0"/>
          <w:szCs w:val="28"/>
        </w:rPr>
        <w:t>在中藥商領牌制度方面，任何售賣受《中醫藥條例》規管的中藥材的零售商和批發商，以及中成藥的批發商和製造商均須領取牌照。中藥組分別為每一類別的中藥商制訂了執業指引，持牌中藥商</w:t>
      </w:r>
      <w:r w:rsidRPr="00D72252">
        <w:rPr>
          <w:rFonts w:cs="Times New Roman" w:hint="eastAsia"/>
          <w:kern w:val="0"/>
          <w:szCs w:val="28"/>
        </w:rPr>
        <w:lastRenderedPageBreak/>
        <w:t>必須遵守相關法例及執業指引內的規定。中藥組有權對被裁定觸犯相關法例及違反執業指引的中藥商採取紀律行動。截至</w:t>
      </w:r>
      <w:r w:rsidRPr="00D72252">
        <w:rPr>
          <w:rFonts w:cs="Times New Roman"/>
          <w:kern w:val="0"/>
          <w:szCs w:val="28"/>
        </w:rPr>
        <w:t>2018</w:t>
      </w:r>
      <w:r w:rsidRPr="00D72252">
        <w:rPr>
          <w:rFonts w:cs="Times New Roman" w:hint="eastAsia"/>
          <w:kern w:val="0"/>
          <w:szCs w:val="28"/>
        </w:rPr>
        <w:t>年</w:t>
      </w:r>
      <w:r w:rsidRPr="00D72252">
        <w:rPr>
          <w:rFonts w:cs="Times New Roman"/>
          <w:kern w:val="0"/>
          <w:szCs w:val="28"/>
        </w:rPr>
        <w:t>12</w:t>
      </w:r>
      <w:r w:rsidRPr="00D72252">
        <w:rPr>
          <w:rFonts w:cs="Times New Roman" w:hint="eastAsia"/>
          <w:kern w:val="0"/>
          <w:szCs w:val="28"/>
        </w:rPr>
        <w:t>月底為止，持有由中藥組發出的中藥商的總數為約</w:t>
      </w:r>
      <w:r w:rsidRPr="00D72252">
        <w:rPr>
          <w:rFonts w:cs="Times New Roman"/>
          <w:kern w:val="0"/>
          <w:szCs w:val="28"/>
        </w:rPr>
        <w:t>7 170</w:t>
      </w:r>
      <w:r w:rsidRPr="00D72252">
        <w:rPr>
          <w:rFonts w:cs="Times New Roman" w:hint="eastAsia"/>
          <w:kern w:val="0"/>
          <w:szCs w:val="28"/>
        </w:rPr>
        <w:t>個。</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6</w:t>
      </w:r>
      <w:r>
        <w:rPr>
          <w:rFonts w:cs="Times New Roman"/>
          <w:kern w:val="0"/>
          <w:szCs w:val="28"/>
        </w:rPr>
        <w:t>.</w:t>
      </w:r>
      <w:r w:rsidRPr="00D72252">
        <w:rPr>
          <w:rFonts w:cs="Times New Roman"/>
          <w:kern w:val="0"/>
          <w:szCs w:val="28"/>
        </w:rPr>
        <w:tab/>
      </w:r>
      <w:r w:rsidRPr="00D72252">
        <w:rPr>
          <w:rFonts w:cs="Times New Roman" w:hint="eastAsia"/>
          <w:kern w:val="0"/>
          <w:szCs w:val="28"/>
        </w:rPr>
        <w:t>為加強本港中成藥製造業的品質管理，《中醫藥條例》規定如有關中成藥製造商在中成藥的製造及品質控制方面，依循優良的規範，便可向中藥組申請製造商證明書（中成藥生產質量管理規範）（</w:t>
      </w:r>
      <w:r w:rsidRPr="00D72252">
        <w:rPr>
          <w:rFonts w:cs="Times New Roman"/>
          <w:kern w:val="0"/>
          <w:szCs w:val="28"/>
        </w:rPr>
        <w:t>GMP</w:t>
      </w:r>
      <w:r w:rsidRPr="00D72252">
        <w:rPr>
          <w:rFonts w:cs="Times New Roman" w:hint="eastAsia"/>
          <w:kern w:val="0"/>
          <w:szCs w:val="28"/>
        </w:rPr>
        <w:t>證書）。截至</w:t>
      </w:r>
      <w:r w:rsidRPr="00D72252">
        <w:rPr>
          <w:rFonts w:cs="Times New Roman"/>
          <w:kern w:val="0"/>
          <w:szCs w:val="28"/>
        </w:rPr>
        <w:t>2018</w:t>
      </w:r>
      <w:r w:rsidRPr="00D72252">
        <w:rPr>
          <w:rFonts w:cs="Times New Roman" w:hint="eastAsia"/>
          <w:kern w:val="0"/>
          <w:szCs w:val="28"/>
        </w:rPr>
        <w:t>年</w:t>
      </w:r>
      <w:r w:rsidRPr="00D72252">
        <w:rPr>
          <w:rFonts w:cs="Times New Roman"/>
          <w:kern w:val="0"/>
          <w:szCs w:val="28"/>
        </w:rPr>
        <w:t>12</w:t>
      </w:r>
      <w:r w:rsidRPr="00D72252">
        <w:rPr>
          <w:rFonts w:cs="Times New Roman" w:hint="eastAsia"/>
          <w:kern w:val="0"/>
          <w:szCs w:val="28"/>
        </w:rPr>
        <w:t>月底為止，中藥組共發出</w:t>
      </w:r>
      <w:r w:rsidRPr="00D72252">
        <w:rPr>
          <w:rFonts w:cs="Times New Roman"/>
          <w:kern w:val="0"/>
          <w:szCs w:val="28"/>
        </w:rPr>
        <w:t>19</w:t>
      </w:r>
      <w:r w:rsidRPr="00D72252">
        <w:rPr>
          <w:rFonts w:cs="Times New Roman" w:hint="eastAsia"/>
          <w:kern w:val="0"/>
          <w:szCs w:val="28"/>
        </w:rPr>
        <w:t>張</w:t>
      </w:r>
      <w:r w:rsidRPr="00D72252">
        <w:rPr>
          <w:rFonts w:cs="Times New Roman"/>
          <w:kern w:val="0"/>
          <w:szCs w:val="28"/>
        </w:rPr>
        <w:t>GMP</w:t>
      </w:r>
      <w:r w:rsidRPr="00D72252">
        <w:rPr>
          <w:rFonts w:cs="Times New Roman" w:hint="eastAsia"/>
          <w:kern w:val="0"/>
          <w:szCs w:val="28"/>
        </w:rPr>
        <w:t>證書。</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CB1441" w:rsidRDefault="00747021" w:rsidP="00747021">
      <w:pPr>
        <w:widowControl/>
        <w:tabs>
          <w:tab w:val="left" w:pos="1440"/>
          <w:tab w:val="left" w:pos="1680"/>
        </w:tabs>
        <w:adjustRightInd w:val="0"/>
        <w:snapToGrid w:val="0"/>
        <w:spacing w:line="400" w:lineRule="atLeast"/>
        <w:jc w:val="both"/>
        <w:rPr>
          <w:rFonts w:cs="Times New Roman"/>
          <w:spacing w:val="2"/>
          <w:kern w:val="0"/>
          <w:szCs w:val="28"/>
        </w:rPr>
      </w:pPr>
      <w:r>
        <w:rPr>
          <w:rFonts w:cs="Times New Roman" w:hint="eastAsia"/>
          <w:kern w:val="0"/>
          <w:szCs w:val="28"/>
        </w:rPr>
        <w:t>7</w:t>
      </w:r>
      <w:r>
        <w:rPr>
          <w:rFonts w:cs="Times New Roman"/>
          <w:kern w:val="0"/>
          <w:szCs w:val="28"/>
        </w:rPr>
        <w:t>.</w:t>
      </w:r>
      <w:r w:rsidRPr="00D72252">
        <w:rPr>
          <w:rFonts w:cs="Times New Roman"/>
          <w:kern w:val="0"/>
          <w:szCs w:val="28"/>
        </w:rPr>
        <w:tab/>
      </w:r>
      <w:r w:rsidRPr="00D72252">
        <w:rPr>
          <w:rFonts w:cs="Times New Roman" w:hint="eastAsia"/>
          <w:kern w:val="0"/>
          <w:szCs w:val="28"/>
        </w:rPr>
        <w:t>《中醫藥條例》訂明所有在香港製造或銷售的中成藥必須註冊，相關條文已於</w:t>
      </w:r>
      <w:r w:rsidRPr="00D72252">
        <w:rPr>
          <w:rFonts w:cs="Times New Roman"/>
          <w:kern w:val="0"/>
          <w:szCs w:val="28"/>
        </w:rPr>
        <w:t>2010</w:t>
      </w:r>
      <w:r w:rsidRPr="00D72252">
        <w:rPr>
          <w:rFonts w:cs="Times New Roman" w:hint="eastAsia"/>
          <w:kern w:val="0"/>
          <w:szCs w:val="28"/>
        </w:rPr>
        <w:t>年</w:t>
      </w:r>
      <w:r w:rsidRPr="00D72252">
        <w:rPr>
          <w:rFonts w:cs="Times New Roman"/>
          <w:kern w:val="0"/>
          <w:szCs w:val="28"/>
        </w:rPr>
        <w:t>12</w:t>
      </w:r>
      <w:r w:rsidRPr="00D72252">
        <w:rPr>
          <w:rFonts w:cs="Times New Roman" w:hint="eastAsia"/>
          <w:kern w:val="0"/>
          <w:szCs w:val="28"/>
        </w:rPr>
        <w:t>月</w:t>
      </w:r>
      <w:r w:rsidRPr="00D72252">
        <w:rPr>
          <w:rFonts w:cs="Times New Roman"/>
          <w:kern w:val="0"/>
          <w:szCs w:val="28"/>
        </w:rPr>
        <w:t>3</w:t>
      </w:r>
      <w:r w:rsidRPr="00D72252">
        <w:rPr>
          <w:rFonts w:cs="Times New Roman" w:hint="eastAsia"/>
          <w:kern w:val="0"/>
          <w:szCs w:val="28"/>
        </w:rPr>
        <w:t>日開始實施。截至</w:t>
      </w:r>
      <w:r w:rsidRPr="00D72252">
        <w:rPr>
          <w:rFonts w:cs="Times New Roman"/>
          <w:kern w:val="0"/>
          <w:szCs w:val="28"/>
        </w:rPr>
        <w:t>2018</w:t>
      </w:r>
      <w:r w:rsidRPr="00D72252">
        <w:rPr>
          <w:rFonts w:cs="Times New Roman" w:hint="eastAsia"/>
          <w:kern w:val="0"/>
          <w:szCs w:val="28"/>
        </w:rPr>
        <w:t>年</w:t>
      </w:r>
      <w:r w:rsidRPr="00D72252">
        <w:rPr>
          <w:rFonts w:cs="Times New Roman"/>
          <w:kern w:val="0"/>
          <w:szCs w:val="28"/>
        </w:rPr>
        <w:t>12</w:t>
      </w:r>
      <w:r w:rsidRPr="00D72252">
        <w:rPr>
          <w:rFonts w:cs="Times New Roman" w:hint="eastAsia"/>
          <w:kern w:val="0"/>
          <w:szCs w:val="28"/>
        </w:rPr>
        <w:t>月底為止，中藥組共收到約</w:t>
      </w:r>
      <w:r w:rsidRPr="00D72252">
        <w:rPr>
          <w:rFonts w:cs="Times New Roman"/>
          <w:kern w:val="0"/>
          <w:szCs w:val="28"/>
        </w:rPr>
        <w:t>18 170</w:t>
      </w:r>
      <w:r w:rsidRPr="00D72252">
        <w:rPr>
          <w:rFonts w:cs="Times New Roman" w:hint="eastAsia"/>
          <w:kern w:val="0"/>
          <w:szCs w:val="28"/>
        </w:rPr>
        <w:t>宗中成藥註冊申請，當中有約</w:t>
      </w:r>
      <w:r w:rsidRPr="00D72252">
        <w:rPr>
          <w:rFonts w:cs="Times New Roman"/>
          <w:kern w:val="0"/>
          <w:szCs w:val="28"/>
        </w:rPr>
        <w:t>9 450</w:t>
      </w:r>
      <w:r w:rsidRPr="00D72252">
        <w:rPr>
          <w:rFonts w:cs="Times New Roman" w:hint="eastAsia"/>
          <w:kern w:val="0"/>
          <w:szCs w:val="28"/>
        </w:rPr>
        <w:t>宗申請被拒絕，被拒絕的原因包括申請人未能提交所需文件／報告、</w:t>
      </w:r>
      <w:r w:rsidRPr="00CB1441">
        <w:rPr>
          <w:rFonts w:cs="Times New Roman" w:hint="eastAsia"/>
          <w:spacing w:val="2"/>
          <w:kern w:val="0"/>
          <w:szCs w:val="28"/>
        </w:rPr>
        <w:t>申請人主動撤回申請或有關產品不符合《中醫藥條例》中成藥的定義。</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8</w:t>
      </w:r>
      <w:r>
        <w:rPr>
          <w:rFonts w:cs="Times New Roman"/>
          <w:kern w:val="0"/>
          <w:szCs w:val="28"/>
        </w:rPr>
        <w:t>.</w:t>
      </w:r>
      <w:r w:rsidRPr="00D72252">
        <w:rPr>
          <w:rFonts w:cs="Times New Roman"/>
          <w:kern w:val="0"/>
          <w:szCs w:val="28"/>
        </w:rPr>
        <w:tab/>
      </w:r>
      <w:r w:rsidRPr="00D72252">
        <w:rPr>
          <w:rFonts w:cs="Times New Roman" w:hint="eastAsia"/>
          <w:kern w:val="0"/>
          <w:szCs w:val="28"/>
        </w:rPr>
        <w:t>由</w:t>
      </w:r>
      <w:r w:rsidRPr="00D72252">
        <w:rPr>
          <w:rFonts w:cs="Times New Roman"/>
          <w:kern w:val="0"/>
          <w:szCs w:val="28"/>
        </w:rPr>
        <w:t>2008</w:t>
      </w:r>
      <w:r w:rsidRPr="00D72252">
        <w:rPr>
          <w:rFonts w:cs="Times New Roman" w:hint="eastAsia"/>
          <w:kern w:val="0"/>
          <w:szCs w:val="28"/>
        </w:rPr>
        <w:t>年</w:t>
      </w:r>
      <w:r w:rsidRPr="00D72252">
        <w:rPr>
          <w:rFonts w:cs="Times New Roman"/>
          <w:kern w:val="0"/>
          <w:szCs w:val="28"/>
        </w:rPr>
        <w:t>1</w:t>
      </w:r>
      <w:r w:rsidRPr="00D72252">
        <w:rPr>
          <w:rFonts w:cs="Times New Roman" w:hint="eastAsia"/>
          <w:kern w:val="0"/>
          <w:szCs w:val="28"/>
        </w:rPr>
        <w:t>月起，凡進口或出口《中醫藥條例》訂明的</w:t>
      </w:r>
      <w:r w:rsidRPr="007A389B">
        <w:rPr>
          <w:rFonts w:cs="Times New Roman"/>
          <w:spacing w:val="2"/>
          <w:kern w:val="0"/>
          <w:szCs w:val="28"/>
        </w:rPr>
        <w:t>36</w:t>
      </w:r>
      <w:r w:rsidRPr="007A389B">
        <w:rPr>
          <w:rFonts w:cs="Times New Roman" w:hint="eastAsia"/>
          <w:spacing w:val="2"/>
          <w:kern w:val="0"/>
          <w:szCs w:val="28"/>
        </w:rPr>
        <w:t>種中藥材及中成藥，須向衞生署提交申請。任何人在未有許可證的情況下進口或出口有關中藥，可能會觸犯《進出口條例》（</w:t>
      </w:r>
      <w:r w:rsidRPr="007A389B">
        <w:rPr>
          <w:rFonts w:cs="Times New Roman" w:hint="eastAsia"/>
          <w:spacing w:val="2"/>
          <w:kern w:val="0"/>
          <w:szCs w:val="28"/>
          <w:lang w:eastAsia="zh-HK"/>
        </w:rPr>
        <w:t>第</w:t>
      </w:r>
      <w:r w:rsidRPr="007A389B">
        <w:rPr>
          <w:rFonts w:cs="Times New Roman" w:hint="eastAsia"/>
          <w:spacing w:val="2"/>
          <w:kern w:val="0"/>
          <w:szCs w:val="28"/>
        </w:rPr>
        <w:t>60</w:t>
      </w:r>
      <w:r w:rsidRPr="007A389B">
        <w:rPr>
          <w:rFonts w:cs="Times New Roman" w:hint="eastAsia"/>
          <w:spacing w:val="2"/>
          <w:kern w:val="0"/>
          <w:szCs w:val="28"/>
          <w:lang w:eastAsia="zh-HK"/>
        </w:rPr>
        <w:t>章</w:t>
      </w:r>
      <w:r w:rsidRPr="007A389B">
        <w:rPr>
          <w:rFonts w:cs="Times New Roman" w:hint="eastAsia"/>
          <w:spacing w:val="2"/>
          <w:kern w:val="0"/>
          <w:szCs w:val="28"/>
        </w:rPr>
        <w:t>）</w:t>
      </w:r>
      <w:r w:rsidRPr="00D72252">
        <w:rPr>
          <w:rFonts w:cs="Times New Roman" w:hint="eastAsia"/>
          <w:kern w:val="0"/>
          <w:szCs w:val="28"/>
        </w:rPr>
        <w:t>所訂罪行。</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9</w:t>
      </w:r>
      <w:r w:rsidRPr="00D72252">
        <w:rPr>
          <w:rFonts w:cs="Times New Roman"/>
          <w:kern w:val="0"/>
          <w:szCs w:val="28"/>
        </w:rPr>
        <w:t>.</w:t>
      </w:r>
      <w:r w:rsidRPr="00D72252">
        <w:rPr>
          <w:rFonts w:cs="Times New Roman"/>
          <w:kern w:val="0"/>
          <w:szCs w:val="28"/>
        </w:rPr>
        <w:tab/>
      </w:r>
      <w:r w:rsidRPr="00D72252">
        <w:rPr>
          <w:rFonts w:cs="Times New Roman" w:hint="eastAsia"/>
          <w:kern w:val="0"/>
          <w:szCs w:val="28"/>
        </w:rPr>
        <w:t>衞生署會定期監察市面銷售的中藥材及中成藥的安全及質量，以保障市民的健康。醫護人員應呈報市民使用藥品後，出現不良反應的個案。衞生署會調查有關事故，並採取適當的公共衞生預防及控制措施。</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72252">
        <w:rPr>
          <w:rFonts w:cs="Times New Roman"/>
          <w:kern w:val="0"/>
          <w:szCs w:val="28"/>
        </w:rPr>
        <w:t>1</w:t>
      </w:r>
      <w:r>
        <w:rPr>
          <w:rFonts w:cs="Times New Roman" w:hint="eastAsia"/>
          <w:kern w:val="0"/>
          <w:szCs w:val="28"/>
        </w:rPr>
        <w:t>0</w:t>
      </w:r>
      <w:r>
        <w:rPr>
          <w:rFonts w:cs="Times New Roman"/>
          <w:kern w:val="0"/>
          <w:szCs w:val="28"/>
        </w:rPr>
        <w:t>.</w:t>
      </w:r>
      <w:r w:rsidRPr="00D72252">
        <w:rPr>
          <w:rFonts w:cs="Times New Roman"/>
          <w:kern w:val="0"/>
          <w:szCs w:val="28"/>
        </w:rPr>
        <w:tab/>
      </w:r>
      <w:r w:rsidRPr="00D72252">
        <w:rPr>
          <w:rFonts w:cs="Times New Roman" w:hint="eastAsia"/>
          <w:kern w:val="0"/>
          <w:szCs w:val="28"/>
        </w:rPr>
        <w:t>衞生署現自</w:t>
      </w:r>
      <w:r w:rsidRPr="00D72252">
        <w:rPr>
          <w:rFonts w:cs="Times New Roman"/>
          <w:kern w:val="0"/>
          <w:szCs w:val="28"/>
        </w:rPr>
        <w:t>2002</w:t>
      </w:r>
      <w:r w:rsidRPr="00D72252">
        <w:rPr>
          <w:rFonts w:cs="Times New Roman" w:hint="eastAsia"/>
          <w:kern w:val="0"/>
          <w:szCs w:val="28"/>
        </w:rPr>
        <w:t>起年開展香港中藥材標準研究計劃，目的是為香港常用中藥材的安全和品質制訂參考標準。截至</w:t>
      </w:r>
      <w:r w:rsidRPr="00D72252">
        <w:rPr>
          <w:rFonts w:cs="Times New Roman"/>
          <w:kern w:val="0"/>
          <w:szCs w:val="28"/>
        </w:rPr>
        <w:t>2018</w:t>
      </w:r>
      <w:r w:rsidRPr="00D72252">
        <w:rPr>
          <w:rFonts w:cs="Times New Roman" w:hint="eastAsia"/>
          <w:kern w:val="0"/>
          <w:szCs w:val="28"/>
        </w:rPr>
        <w:t>年</w:t>
      </w:r>
      <w:r w:rsidRPr="00D72252">
        <w:rPr>
          <w:rFonts w:cs="Times New Roman"/>
          <w:kern w:val="0"/>
          <w:szCs w:val="28"/>
        </w:rPr>
        <w:t>12</w:t>
      </w:r>
      <w:r w:rsidRPr="00D72252">
        <w:rPr>
          <w:rFonts w:cs="Times New Roman" w:hint="eastAsia"/>
          <w:kern w:val="0"/>
          <w:szCs w:val="28"/>
        </w:rPr>
        <w:t>月底，這個計劃已為</w:t>
      </w:r>
      <w:r w:rsidRPr="00D72252">
        <w:rPr>
          <w:rFonts w:cs="Times New Roman"/>
          <w:kern w:val="0"/>
          <w:szCs w:val="28"/>
        </w:rPr>
        <w:t>299</w:t>
      </w:r>
      <w:r w:rsidRPr="00D72252">
        <w:rPr>
          <w:rFonts w:cs="Times New Roman" w:hint="eastAsia"/>
          <w:kern w:val="0"/>
          <w:szCs w:val="28"/>
        </w:rPr>
        <w:t>種藥材建立標準，並收載於共九冊的《香港中藥材標準》。</w:t>
      </w:r>
    </w:p>
    <w:p w:rsidR="0074702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D72252">
        <w:rPr>
          <w:rFonts w:cs="Times New Roman" w:hint="eastAsia"/>
          <w:kern w:val="0"/>
          <w:szCs w:val="28"/>
          <w:u w:val="single"/>
        </w:rPr>
        <w:lastRenderedPageBreak/>
        <w:t>有系統的中醫藥訓練</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11</w:t>
      </w:r>
      <w:r>
        <w:rPr>
          <w:rFonts w:cs="Times New Roman"/>
          <w:kern w:val="0"/>
          <w:szCs w:val="28"/>
        </w:rPr>
        <w:t>.</w:t>
      </w:r>
      <w:r w:rsidRPr="00D72252">
        <w:rPr>
          <w:rFonts w:cs="Times New Roman" w:hint="eastAsia"/>
          <w:kern w:val="0"/>
          <w:szCs w:val="28"/>
        </w:rPr>
        <w:tab/>
      </w:r>
      <w:r w:rsidRPr="00D72252">
        <w:rPr>
          <w:rFonts w:cs="Times New Roman" w:hint="eastAsia"/>
          <w:kern w:val="0"/>
          <w:szCs w:val="28"/>
        </w:rPr>
        <w:t>目前已有三間大學設有中醫門診服務，以及全日制中醫藥學士及研究生學位課程。</w:t>
      </w:r>
    </w:p>
    <w:p w:rsidR="00747021" w:rsidRPr="006A4B99"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D72252">
        <w:rPr>
          <w:rFonts w:cs="Times New Roman" w:hint="eastAsia"/>
          <w:kern w:val="0"/>
          <w:szCs w:val="28"/>
          <w:u w:val="single"/>
        </w:rPr>
        <w:t>中醫門診服務</w:t>
      </w:r>
    </w:p>
    <w:p w:rsidR="0074702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1</w:t>
      </w:r>
      <w:r>
        <w:rPr>
          <w:rFonts w:cs="Times New Roman" w:hint="eastAsia"/>
          <w:kern w:val="0"/>
          <w:szCs w:val="28"/>
        </w:rPr>
        <w:t>2</w:t>
      </w:r>
      <w:r>
        <w:rPr>
          <w:rFonts w:cs="Times New Roman"/>
          <w:kern w:val="0"/>
          <w:szCs w:val="28"/>
        </w:rPr>
        <w:t>.</w:t>
      </w:r>
      <w:r w:rsidRPr="00D72252">
        <w:rPr>
          <w:rFonts w:cs="Times New Roman" w:hint="eastAsia"/>
          <w:kern w:val="0"/>
          <w:szCs w:val="28"/>
        </w:rPr>
        <w:tab/>
      </w:r>
      <w:r w:rsidRPr="00D72252">
        <w:rPr>
          <w:rFonts w:cs="Times New Roman" w:hint="eastAsia"/>
          <w:kern w:val="0"/>
          <w:szCs w:val="28"/>
        </w:rPr>
        <w:t>為促進中醫藥以「循證醫學」為本的發展，以及為本地中醫藥學士學位課程畢業生提供實習培訓的機會，全港</w:t>
      </w:r>
      <w:r w:rsidRPr="00D72252">
        <w:rPr>
          <w:rFonts w:cs="Times New Roman"/>
          <w:kern w:val="0"/>
          <w:szCs w:val="28"/>
        </w:rPr>
        <w:t>18</w:t>
      </w:r>
      <w:r w:rsidRPr="00D72252">
        <w:rPr>
          <w:rFonts w:cs="Times New Roman" w:hint="eastAsia"/>
          <w:kern w:val="0"/>
          <w:szCs w:val="28"/>
        </w:rPr>
        <w:t>區每區均開設了一間中醫教研中心。這些中醫教研中心由醫院管理局、非政府機構和本地設有中醫藥學士學位課程的大學（即香港浸會大學、香港中文大學和香港大學），以三方伙伴協作的模式由非政府機構負責中心的日常運作及營運。由於中醫藥已被確立為本港醫療系統的重要部分，</w:t>
      </w:r>
      <w:r w:rsidRPr="00EF2927">
        <w:rPr>
          <w:rFonts w:cs="Times New Roman"/>
          <w:spacing w:val="2"/>
          <w:kern w:val="0"/>
          <w:szCs w:val="28"/>
        </w:rPr>
        <w:t>18</w:t>
      </w:r>
      <w:r w:rsidRPr="00EF2927">
        <w:rPr>
          <w:rFonts w:cs="Times New Roman" w:hint="eastAsia"/>
          <w:spacing w:val="2"/>
          <w:kern w:val="0"/>
          <w:szCs w:val="28"/>
        </w:rPr>
        <w:t>間中醫教研中心亦將轉型成為地區中醫診所，在肩負原有「教」與</w:t>
      </w:r>
      <w:r w:rsidRPr="00D72252">
        <w:rPr>
          <w:rFonts w:cs="Times New Roman" w:hint="eastAsia"/>
          <w:kern w:val="0"/>
          <w:szCs w:val="28"/>
        </w:rPr>
        <w:t>「研」，即教學和研究等職能外，也提供資助的中醫門診服務。</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D72252">
        <w:rPr>
          <w:rFonts w:cs="Times New Roman" w:hint="eastAsia"/>
          <w:kern w:val="0"/>
          <w:szCs w:val="28"/>
          <w:u w:val="single"/>
        </w:rPr>
        <w:t>設立中醫醫院</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72252">
        <w:rPr>
          <w:rFonts w:cs="Times New Roman" w:hint="eastAsia"/>
          <w:kern w:val="0"/>
          <w:szCs w:val="28"/>
        </w:rPr>
        <w:t>1</w:t>
      </w:r>
      <w:r>
        <w:rPr>
          <w:rFonts w:cs="Times New Roman" w:hint="eastAsia"/>
          <w:kern w:val="0"/>
          <w:szCs w:val="28"/>
        </w:rPr>
        <w:t>3</w:t>
      </w:r>
      <w:r>
        <w:rPr>
          <w:rFonts w:cs="Times New Roman"/>
          <w:kern w:val="0"/>
          <w:szCs w:val="28"/>
        </w:rPr>
        <w:t>.</w:t>
      </w:r>
      <w:r w:rsidRPr="00D72252">
        <w:rPr>
          <w:rFonts w:cs="Times New Roman"/>
          <w:kern w:val="0"/>
          <w:szCs w:val="28"/>
        </w:rPr>
        <w:tab/>
      </w:r>
      <w:r w:rsidRPr="00D72252">
        <w:rPr>
          <w:rFonts w:cs="Times New Roman" w:hint="eastAsia"/>
          <w:kern w:val="0"/>
          <w:szCs w:val="28"/>
        </w:rPr>
        <w:t>政府在</w:t>
      </w:r>
      <w:r w:rsidRPr="00D72252">
        <w:rPr>
          <w:rFonts w:cs="Times New Roman"/>
          <w:kern w:val="0"/>
          <w:szCs w:val="28"/>
        </w:rPr>
        <w:t>2014</w:t>
      </w:r>
      <w:r w:rsidRPr="00D72252">
        <w:rPr>
          <w:rFonts w:cs="Times New Roman" w:hint="eastAsia"/>
          <w:kern w:val="0"/>
          <w:szCs w:val="28"/>
        </w:rPr>
        <w:t>年施政報告宣布預留將軍澳一幅土地用作發展中醫醫院。其後行政長官在</w:t>
      </w:r>
      <w:r w:rsidRPr="00D72252">
        <w:rPr>
          <w:rFonts w:cs="Times New Roman"/>
          <w:kern w:val="0"/>
          <w:szCs w:val="28"/>
        </w:rPr>
        <w:t>2017</w:t>
      </w:r>
      <w:r w:rsidRPr="00D72252">
        <w:rPr>
          <w:rFonts w:cs="Times New Roman" w:hint="eastAsia"/>
          <w:kern w:val="0"/>
          <w:szCs w:val="28"/>
        </w:rPr>
        <w:t>年施政報告中宣布，中醫醫院將由政府興建，並會以招標方式挑選合適的非牟利團體負責推展及營運。中醫醫院將提供優質中醫服務，設有約</w:t>
      </w:r>
      <w:r w:rsidRPr="00D72252">
        <w:rPr>
          <w:rFonts w:cs="Times New Roman"/>
          <w:kern w:val="0"/>
          <w:szCs w:val="28"/>
        </w:rPr>
        <w:t>400</w:t>
      </w:r>
      <w:r w:rsidRPr="00D72252">
        <w:rPr>
          <w:rFonts w:cs="Times New Roman" w:hint="eastAsia"/>
          <w:kern w:val="0"/>
          <w:szCs w:val="28"/>
        </w:rPr>
        <w:t>張病床。該院將為香港市民提供純中醫服務和以中醫為主的中西醫協作服務。服務範圍包括住院、日間醫療、門診及社區服務，並提供基層、第二及第三層醫療護理服務，以期促進專科醫療服務的發展。除了為公眾提供中醫住院和門診服務，中醫醫院亦會支援香港高等院校的教學、臨床培訓及科研工作，並協助加強香港中醫專業培訓及推動中醫藥科研的發展。</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72252">
        <w:rPr>
          <w:rFonts w:cs="Times New Roman"/>
          <w:kern w:val="0"/>
          <w:szCs w:val="28"/>
        </w:rPr>
        <w:t>1</w:t>
      </w:r>
      <w:r>
        <w:rPr>
          <w:rFonts w:cs="Times New Roman" w:hint="eastAsia"/>
          <w:kern w:val="0"/>
          <w:szCs w:val="28"/>
        </w:rPr>
        <w:t>4</w:t>
      </w:r>
      <w:r>
        <w:rPr>
          <w:rFonts w:cs="Times New Roman"/>
          <w:kern w:val="0"/>
          <w:szCs w:val="28"/>
        </w:rPr>
        <w:t>.</w:t>
      </w:r>
      <w:r w:rsidRPr="00D72252">
        <w:rPr>
          <w:rFonts w:cs="Times New Roman"/>
          <w:kern w:val="0"/>
          <w:szCs w:val="28"/>
        </w:rPr>
        <w:tab/>
      </w:r>
      <w:r w:rsidRPr="00D72252">
        <w:rPr>
          <w:rFonts w:cs="Times New Roman" w:hint="eastAsia"/>
          <w:kern w:val="0"/>
          <w:szCs w:val="28"/>
        </w:rPr>
        <w:t>食衞局於</w:t>
      </w:r>
      <w:r w:rsidRPr="00D72252">
        <w:rPr>
          <w:rFonts w:cs="Times New Roman"/>
          <w:kern w:val="0"/>
          <w:szCs w:val="28"/>
        </w:rPr>
        <w:t>2018</w:t>
      </w:r>
      <w:r w:rsidRPr="00D72252">
        <w:rPr>
          <w:rFonts w:cs="Times New Roman" w:hint="eastAsia"/>
          <w:kern w:val="0"/>
          <w:szCs w:val="28"/>
        </w:rPr>
        <w:t>年</w:t>
      </w:r>
      <w:r w:rsidRPr="00D72252">
        <w:rPr>
          <w:rFonts w:cs="Times New Roman"/>
          <w:kern w:val="0"/>
          <w:szCs w:val="28"/>
        </w:rPr>
        <w:t>5</w:t>
      </w:r>
      <w:r w:rsidRPr="00D72252">
        <w:rPr>
          <w:rFonts w:cs="Times New Roman" w:hint="eastAsia"/>
          <w:kern w:val="0"/>
          <w:szCs w:val="28"/>
        </w:rPr>
        <w:t>月成立中醫醫院發展計劃辦事處，專門督導和推動中醫醫院的規劃、招標及興建工作。中醫醫院的籌建工作正積極推展，現預計</w:t>
      </w:r>
      <w:r w:rsidRPr="00D72252">
        <w:rPr>
          <w:rFonts w:cs="Times New Roman"/>
          <w:kern w:val="0"/>
          <w:szCs w:val="28"/>
        </w:rPr>
        <w:t>2019</w:t>
      </w:r>
      <w:r w:rsidRPr="00D72252">
        <w:rPr>
          <w:rFonts w:cs="Times New Roman" w:hint="eastAsia"/>
          <w:kern w:val="0"/>
          <w:szCs w:val="28"/>
        </w:rPr>
        <w:t>年下半年將開展營運機構招標程序，目標於</w:t>
      </w:r>
      <w:r w:rsidRPr="00D72252">
        <w:rPr>
          <w:rFonts w:cs="Times New Roman"/>
          <w:kern w:val="0"/>
          <w:szCs w:val="28"/>
        </w:rPr>
        <w:t>2024</w:t>
      </w:r>
      <w:r w:rsidRPr="00D72252">
        <w:rPr>
          <w:rFonts w:cs="Times New Roman" w:hint="eastAsia"/>
          <w:kern w:val="0"/>
          <w:szCs w:val="28"/>
        </w:rPr>
        <w:t>年底落成，並分階段投入服務。</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D72252">
        <w:rPr>
          <w:rFonts w:cs="Times New Roman" w:hint="eastAsia"/>
          <w:kern w:val="0"/>
          <w:szCs w:val="28"/>
          <w:u w:val="single"/>
        </w:rPr>
        <w:lastRenderedPageBreak/>
        <w:t>中西醫協作住院服務</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D72252">
        <w:rPr>
          <w:rFonts w:cs="Times New Roman"/>
          <w:kern w:val="0"/>
          <w:szCs w:val="28"/>
        </w:rPr>
        <w:t>1</w:t>
      </w:r>
      <w:r>
        <w:rPr>
          <w:rFonts w:cs="Times New Roman" w:hint="eastAsia"/>
          <w:kern w:val="0"/>
          <w:szCs w:val="28"/>
        </w:rPr>
        <w:t>5</w:t>
      </w:r>
      <w:r>
        <w:rPr>
          <w:rFonts w:cs="Times New Roman"/>
          <w:kern w:val="0"/>
          <w:szCs w:val="28"/>
        </w:rPr>
        <w:t>.</w:t>
      </w:r>
      <w:r w:rsidRPr="00D72252">
        <w:rPr>
          <w:rFonts w:cs="Times New Roman"/>
          <w:kern w:val="0"/>
          <w:szCs w:val="28"/>
        </w:rPr>
        <w:tab/>
      </w:r>
      <w:r w:rsidRPr="00D72252">
        <w:rPr>
          <w:rFonts w:cs="Times New Roman" w:hint="eastAsia"/>
          <w:kern w:val="0"/>
          <w:szCs w:val="28"/>
        </w:rPr>
        <w:t>自</w:t>
      </w:r>
      <w:r w:rsidRPr="00D72252">
        <w:rPr>
          <w:rFonts w:cs="Times New Roman"/>
          <w:kern w:val="0"/>
          <w:szCs w:val="28"/>
        </w:rPr>
        <w:t>2014</w:t>
      </w:r>
      <w:r w:rsidRPr="00D72252">
        <w:rPr>
          <w:rFonts w:cs="Times New Roman" w:hint="eastAsia"/>
          <w:kern w:val="0"/>
          <w:szCs w:val="28"/>
        </w:rPr>
        <w:t>年起，醫管局於轄下七間公營醫院為四個選定病種（包括中風、下腰背痛、肩頸痛及癌症紓緩治療）的病人，提供中西醫協作治療的住院服務，目的是為汲取中西醫協作和中醫住院服務營運的經驗。政府將增加資助，減低病人需額外繳付的中西醫協作服務費用，由每天收額外</w:t>
      </w:r>
      <w:r w:rsidRPr="00D72252">
        <w:rPr>
          <w:rFonts w:cs="Times New Roman"/>
          <w:kern w:val="0"/>
          <w:szCs w:val="28"/>
        </w:rPr>
        <w:t>200</w:t>
      </w:r>
      <w:r w:rsidRPr="00D72252">
        <w:rPr>
          <w:rFonts w:cs="Times New Roman" w:hint="eastAsia"/>
          <w:kern w:val="0"/>
          <w:szCs w:val="28"/>
        </w:rPr>
        <w:t>元降低至</w:t>
      </w:r>
      <w:r w:rsidRPr="00D72252">
        <w:rPr>
          <w:rFonts w:cs="Times New Roman"/>
          <w:kern w:val="0"/>
          <w:szCs w:val="28"/>
        </w:rPr>
        <w:t>120</w:t>
      </w:r>
      <w:r w:rsidRPr="00D72252">
        <w:rPr>
          <w:rFonts w:cs="Times New Roman" w:hint="eastAsia"/>
          <w:kern w:val="0"/>
          <w:szCs w:val="28"/>
        </w:rPr>
        <w:t>元，以鼓勵更多病人參與。我們正與醫管局研究進一步發展及擴展計劃的病種及涵蓋範圍。有關服務亦能配合將來中醫醫院的需要，培養擁有中醫住院和臨床經驗的人才。</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C929B7"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C929B7">
        <w:rPr>
          <w:rFonts w:cs="Times New Roman" w:hint="eastAsia"/>
          <w:kern w:val="0"/>
          <w:szCs w:val="28"/>
          <w:u w:val="single"/>
        </w:rPr>
        <w:t>政府中藥檢測中心</w:t>
      </w:r>
    </w:p>
    <w:p w:rsidR="00747021" w:rsidRPr="00D72252"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Default="00747021" w:rsidP="00747021">
      <w:pPr>
        <w:widowControl/>
        <w:tabs>
          <w:tab w:val="left" w:pos="1440"/>
          <w:tab w:val="left" w:pos="1680"/>
        </w:tabs>
        <w:adjustRightInd w:val="0"/>
        <w:snapToGrid w:val="0"/>
        <w:spacing w:line="400" w:lineRule="atLeast"/>
        <w:jc w:val="both"/>
        <w:rPr>
          <w:rFonts w:cs="Times New Roman"/>
          <w:kern w:val="0"/>
          <w:szCs w:val="28"/>
        </w:rPr>
        <w:sectPr w:rsidR="00747021" w:rsidSect="00CB1441">
          <w:footerReference w:type="default" r:id="rId67"/>
          <w:footerReference w:type="first" r:id="rId68"/>
          <w:pgSz w:w="11906" w:h="16838"/>
          <w:pgMar w:top="1440" w:right="1800" w:bottom="1440" w:left="1800" w:header="720" w:footer="720" w:gutter="0"/>
          <w:pgNumType w:start="1"/>
          <w:cols w:space="425"/>
          <w:titlePg/>
          <w:docGrid w:type="lines" w:linePitch="381"/>
        </w:sectPr>
      </w:pPr>
      <w:r w:rsidRPr="00520131">
        <w:rPr>
          <w:rFonts w:cs="Times New Roman"/>
          <w:kern w:val="0"/>
          <w:szCs w:val="28"/>
        </w:rPr>
        <w:t>16.</w:t>
      </w:r>
      <w:r w:rsidRPr="00520131">
        <w:rPr>
          <w:rFonts w:cs="Times New Roman"/>
          <w:kern w:val="0"/>
          <w:szCs w:val="28"/>
        </w:rPr>
        <w:tab/>
      </w:r>
      <w:r w:rsidRPr="00520131">
        <w:rPr>
          <w:rFonts w:cs="Times New Roman" w:hint="eastAsia"/>
          <w:kern w:val="0"/>
          <w:szCs w:val="28"/>
        </w:rPr>
        <w:t>政府在</w:t>
      </w:r>
      <w:r w:rsidRPr="00520131">
        <w:rPr>
          <w:rFonts w:cs="Times New Roman"/>
          <w:kern w:val="0"/>
          <w:szCs w:val="28"/>
        </w:rPr>
        <w:t>2015</w:t>
      </w:r>
      <w:r w:rsidRPr="00520131">
        <w:rPr>
          <w:rFonts w:cs="Times New Roman" w:hint="eastAsia"/>
          <w:kern w:val="0"/>
          <w:szCs w:val="28"/>
        </w:rPr>
        <w:t>年的施政報告中宣佈決定籌劃一所由衞生署管理的「政府中藥檢測中心」，專責中藥檢測科研，為中藥安全、品質及檢測方法建立國際認可的參考標準。衞生署已在香港科學園設立規模較小的臨時中心，並已於</w:t>
      </w:r>
      <w:r w:rsidRPr="00520131">
        <w:rPr>
          <w:rFonts w:cs="Times New Roman"/>
          <w:kern w:val="0"/>
          <w:szCs w:val="28"/>
        </w:rPr>
        <w:t>2017</w:t>
      </w:r>
      <w:r w:rsidRPr="00520131">
        <w:rPr>
          <w:rFonts w:cs="Times New Roman" w:hint="eastAsia"/>
          <w:kern w:val="0"/>
          <w:szCs w:val="28"/>
        </w:rPr>
        <w:t>年</w:t>
      </w:r>
      <w:r w:rsidRPr="00520131">
        <w:rPr>
          <w:rFonts w:cs="Times New Roman"/>
          <w:kern w:val="0"/>
          <w:szCs w:val="28"/>
        </w:rPr>
        <w:t>3</w:t>
      </w:r>
      <w:r w:rsidRPr="00520131">
        <w:rPr>
          <w:rFonts w:cs="Times New Roman" w:hint="eastAsia"/>
          <w:kern w:val="0"/>
          <w:szCs w:val="28"/>
        </w:rPr>
        <w:t>月起分階段運作。按政府中藥檢測中心諮詢委員會及其工作小組的建議，政府中藥檢測中心開展了</w:t>
      </w:r>
      <w:r w:rsidRPr="00520131">
        <w:rPr>
          <w:rFonts w:cs="Times New Roman"/>
          <w:kern w:val="0"/>
          <w:szCs w:val="28"/>
        </w:rPr>
        <w:t>6</w:t>
      </w:r>
      <w:r w:rsidRPr="00520131">
        <w:rPr>
          <w:rFonts w:cs="Times New Roman" w:hint="eastAsia"/>
          <w:kern w:val="0"/>
          <w:szCs w:val="28"/>
        </w:rPr>
        <w:t>個研究項目，分別為</w:t>
      </w:r>
      <w:r w:rsidRPr="00520131">
        <w:rPr>
          <w:rFonts w:cs="Times New Roman"/>
          <w:kern w:val="0"/>
          <w:szCs w:val="28"/>
        </w:rPr>
        <w:t>(1)</w:t>
      </w:r>
      <w:r w:rsidRPr="00520131">
        <w:rPr>
          <w:rFonts w:cs="Times New Roman" w:hint="eastAsia"/>
          <w:kern w:val="0"/>
          <w:szCs w:val="28"/>
        </w:rPr>
        <w:t>香港容易混淆中藥的性狀及顯微鑒別研究計劃；</w:t>
      </w:r>
      <w:r w:rsidRPr="00520131">
        <w:rPr>
          <w:rFonts w:cs="Times New Roman"/>
          <w:kern w:val="0"/>
          <w:szCs w:val="28"/>
        </w:rPr>
        <w:t>(2)</w:t>
      </w:r>
      <w:r w:rsidRPr="00520131">
        <w:rPr>
          <w:rFonts w:cs="Times New Roman" w:hint="eastAsia"/>
          <w:kern w:val="0"/>
          <w:szCs w:val="28"/>
        </w:rPr>
        <w:t>政府中藥檢測中心收集標本計劃；</w:t>
      </w:r>
      <w:r w:rsidRPr="00520131">
        <w:rPr>
          <w:rFonts w:cs="Times New Roman"/>
          <w:kern w:val="0"/>
          <w:szCs w:val="28"/>
        </w:rPr>
        <w:t>(3)</w:t>
      </w:r>
      <w:r w:rsidRPr="00520131">
        <w:rPr>
          <w:rFonts w:cs="Times New Roman" w:hint="eastAsia"/>
          <w:kern w:val="0"/>
          <w:szCs w:val="28"/>
        </w:rPr>
        <w:t>構建數碼化中藥標本館；</w:t>
      </w:r>
      <w:r w:rsidRPr="00520131">
        <w:rPr>
          <w:rFonts w:cs="Times New Roman"/>
          <w:kern w:val="0"/>
          <w:szCs w:val="28"/>
        </w:rPr>
        <w:t>(4)</w:t>
      </w:r>
      <w:r w:rsidRPr="00520131">
        <w:rPr>
          <w:rFonts w:cs="Times New Roman" w:hint="eastAsia"/>
          <w:kern w:val="0"/>
          <w:szCs w:val="28"/>
        </w:rPr>
        <w:t>外用藥油中中藥材指標成分的分析；</w:t>
      </w:r>
      <w:r w:rsidRPr="00520131">
        <w:rPr>
          <w:rFonts w:cs="Times New Roman"/>
          <w:kern w:val="0"/>
          <w:szCs w:val="28"/>
        </w:rPr>
        <w:t>(5)</w:t>
      </w:r>
      <w:r w:rsidRPr="00520131">
        <w:rPr>
          <w:rFonts w:cs="Times New Roman" w:hint="eastAsia"/>
          <w:kern w:val="0"/>
          <w:szCs w:val="28"/>
        </w:rPr>
        <w:t>建立中藥材參考</w:t>
      </w:r>
      <w:r w:rsidRPr="00520131">
        <w:rPr>
          <w:rFonts w:cs="Times New Roman"/>
          <w:kern w:val="0"/>
          <w:szCs w:val="28"/>
        </w:rPr>
        <w:t>DNA</w:t>
      </w:r>
      <w:r w:rsidRPr="00520131">
        <w:rPr>
          <w:rFonts w:cs="Times New Roman" w:hint="eastAsia"/>
          <w:kern w:val="0"/>
          <w:szCs w:val="28"/>
        </w:rPr>
        <w:t>序列庫（第一期）及</w:t>
      </w:r>
      <w:r w:rsidRPr="00520131">
        <w:rPr>
          <w:rFonts w:cs="Times New Roman"/>
          <w:kern w:val="0"/>
          <w:szCs w:val="28"/>
        </w:rPr>
        <w:t>(6)</w:t>
      </w:r>
      <w:r w:rsidRPr="00520131">
        <w:rPr>
          <w:rFonts w:cs="Times New Roman" w:hint="eastAsia"/>
          <w:kern w:val="0"/>
          <w:szCs w:val="28"/>
        </w:rPr>
        <w:t>以</w:t>
      </w:r>
      <w:r w:rsidRPr="00520131">
        <w:rPr>
          <w:rFonts w:cs="Times New Roman"/>
          <w:kern w:val="0"/>
          <w:szCs w:val="28"/>
        </w:rPr>
        <w:t>DNA</w:t>
      </w:r>
      <w:r w:rsidRPr="00520131">
        <w:rPr>
          <w:rFonts w:cs="Times New Roman" w:hint="eastAsia"/>
          <w:kern w:val="0"/>
          <w:szCs w:val="28"/>
        </w:rPr>
        <w:t>技術作為鑒別鹿茸的互補檢測方法。政府正積極物色一處永久用地營運政府中藥檢測中心。</w:t>
      </w:r>
    </w:p>
    <w:p w:rsidR="00747021" w:rsidRDefault="00747021" w:rsidP="00747021">
      <w:pPr>
        <w:snapToGrid w:val="0"/>
        <w:spacing w:line="360" w:lineRule="atLeast"/>
        <w:jc w:val="right"/>
        <w:rPr>
          <w:rFonts w:cs="Times New Roman"/>
          <w:b/>
          <w:lang w:val="en-GB"/>
        </w:rPr>
      </w:pPr>
      <w:r w:rsidRPr="00ED0005">
        <w:rPr>
          <w:rFonts w:cs="Times New Roman" w:hint="eastAsia"/>
          <w:b/>
          <w:lang w:val="en-GB"/>
        </w:rPr>
        <w:lastRenderedPageBreak/>
        <w:t>附件</w:t>
      </w:r>
      <w:r w:rsidRPr="00ED0005">
        <w:rPr>
          <w:rFonts w:cs="Times New Roman"/>
          <w:b/>
          <w:lang w:val="en-GB"/>
        </w:rPr>
        <w:t>12C</w:t>
      </w:r>
    </w:p>
    <w:p w:rsidR="00747021" w:rsidRPr="00ED0005" w:rsidRDefault="00747021" w:rsidP="00747021">
      <w:pPr>
        <w:snapToGrid w:val="0"/>
        <w:spacing w:line="360" w:lineRule="atLeast"/>
        <w:jc w:val="right"/>
        <w:rPr>
          <w:rFonts w:cs="Times New Roman"/>
          <w:b/>
          <w:lang w:val="en-GB"/>
        </w:rPr>
      </w:pPr>
    </w:p>
    <w:p w:rsidR="00747021" w:rsidRDefault="00747021" w:rsidP="00747021">
      <w:pPr>
        <w:pStyle w:val="2"/>
        <w:tabs>
          <w:tab w:val="left" w:pos="1440"/>
        </w:tabs>
        <w:adjustRightInd w:val="0"/>
        <w:snapToGrid w:val="0"/>
        <w:spacing w:after="0" w:line="400" w:lineRule="atLeast"/>
        <w:jc w:val="center"/>
        <w:rPr>
          <w:rFonts w:eastAsia="標楷體"/>
          <w:b/>
          <w:bCs/>
          <w:sz w:val="28"/>
          <w:lang w:eastAsia="zh-HK"/>
        </w:rPr>
      </w:pPr>
      <w:r w:rsidRPr="002A4C01">
        <w:rPr>
          <w:rFonts w:eastAsia="標楷體" w:hint="eastAsia"/>
          <w:b/>
          <w:bCs/>
          <w:sz w:val="28"/>
          <w:lang w:eastAsia="zh-HK"/>
        </w:rPr>
        <w:t>禁毒政策及措施</w:t>
      </w:r>
    </w:p>
    <w:p w:rsidR="00747021" w:rsidRDefault="00747021" w:rsidP="00747021">
      <w:pPr>
        <w:pStyle w:val="2"/>
        <w:tabs>
          <w:tab w:val="left" w:pos="1440"/>
        </w:tabs>
        <w:adjustRightInd w:val="0"/>
        <w:snapToGrid w:val="0"/>
        <w:spacing w:after="0" w:line="400" w:lineRule="atLeast"/>
        <w:jc w:val="center"/>
        <w:rPr>
          <w:rFonts w:eastAsia="標楷體"/>
          <w:b/>
          <w:bCs/>
          <w:sz w:val="28"/>
          <w:lang w:eastAsia="zh-HK"/>
        </w:rPr>
      </w:pPr>
    </w:p>
    <w:p w:rsidR="00747021" w:rsidRPr="00B42BFD" w:rsidRDefault="00747021" w:rsidP="00747021">
      <w:pPr>
        <w:pStyle w:val="2"/>
        <w:tabs>
          <w:tab w:val="left" w:pos="1440"/>
        </w:tabs>
        <w:adjustRightInd w:val="0"/>
        <w:snapToGrid w:val="0"/>
        <w:spacing w:after="0" w:line="400" w:lineRule="atLeast"/>
        <w:rPr>
          <w:rFonts w:eastAsia="標楷體"/>
          <w:bCs/>
          <w:sz w:val="28"/>
          <w:u w:val="single"/>
          <w:lang w:eastAsia="zh-HK"/>
        </w:rPr>
      </w:pPr>
      <w:r w:rsidRPr="00B42BFD">
        <w:rPr>
          <w:rFonts w:eastAsia="標楷體" w:hint="eastAsia"/>
          <w:bCs/>
          <w:sz w:val="28"/>
          <w:u w:val="single"/>
          <w:lang w:eastAsia="zh-HK"/>
        </w:rPr>
        <w:t>整體吸</w:t>
      </w:r>
      <w:r w:rsidRPr="00B42BFD">
        <w:rPr>
          <w:rFonts w:eastAsia="標楷體" w:hint="eastAsia"/>
          <w:bCs/>
          <w:sz w:val="28"/>
          <w:u w:val="single"/>
        </w:rPr>
        <w:t>毒</w:t>
      </w:r>
      <w:r w:rsidRPr="00B42BFD">
        <w:rPr>
          <w:rFonts w:eastAsia="標楷體" w:hint="eastAsia"/>
          <w:bCs/>
          <w:sz w:val="28"/>
          <w:u w:val="single"/>
          <w:lang w:eastAsia="zh-HK"/>
        </w:rPr>
        <w:t>情</w:t>
      </w:r>
      <w:r w:rsidRPr="00B42BFD">
        <w:rPr>
          <w:rFonts w:eastAsia="標楷體" w:hint="eastAsia"/>
          <w:bCs/>
          <w:sz w:val="28"/>
          <w:u w:val="single"/>
        </w:rPr>
        <w:t>況</w:t>
      </w:r>
    </w:p>
    <w:p w:rsidR="00747021" w:rsidRDefault="00747021" w:rsidP="00747021">
      <w:pPr>
        <w:pStyle w:val="2"/>
        <w:tabs>
          <w:tab w:val="left" w:pos="1440"/>
        </w:tabs>
        <w:adjustRightInd w:val="0"/>
        <w:snapToGrid w:val="0"/>
        <w:spacing w:after="0" w:line="400" w:lineRule="atLeast"/>
        <w:jc w:val="center"/>
        <w:rPr>
          <w:rFonts w:eastAsia="標楷體"/>
          <w:b/>
          <w:bCs/>
          <w:sz w:val="28"/>
          <w:lang w:eastAsia="zh-HK"/>
        </w:rPr>
      </w:pPr>
    </w:p>
    <w:p w:rsidR="00747021" w:rsidRDefault="00747021" w:rsidP="00747021">
      <w:pPr>
        <w:pStyle w:val="2"/>
        <w:tabs>
          <w:tab w:val="left" w:pos="1440"/>
        </w:tabs>
        <w:adjustRightInd w:val="0"/>
        <w:snapToGrid w:val="0"/>
        <w:spacing w:after="0" w:line="400" w:lineRule="atLeast"/>
        <w:jc w:val="both"/>
        <w:rPr>
          <w:rFonts w:eastAsia="標楷體"/>
          <w:sz w:val="28"/>
          <w:szCs w:val="28"/>
        </w:rPr>
      </w:pPr>
      <w:r w:rsidRPr="002A4C01">
        <w:rPr>
          <w:rFonts w:eastAsia="標楷體"/>
          <w:sz w:val="28"/>
          <w:szCs w:val="28"/>
        </w:rPr>
        <w:t>1</w:t>
      </w:r>
      <w:r>
        <w:rPr>
          <w:rFonts w:eastAsia="標楷體" w:hint="eastAsia"/>
          <w:sz w:val="28"/>
          <w:szCs w:val="28"/>
        </w:rPr>
        <w:t>.</w:t>
      </w:r>
      <w:r w:rsidRPr="002A4C01">
        <w:rPr>
          <w:rFonts w:eastAsia="標楷體"/>
          <w:sz w:val="28"/>
          <w:szCs w:val="28"/>
        </w:rPr>
        <w:tab/>
      </w:r>
      <w:r w:rsidRPr="00B42BFD">
        <w:rPr>
          <w:rFonts w:eastAsia="標楷體" w:hint="eastAsia"/>
          <w:sz w:val="28"/>
          <w:szCs w:val="28"/>
        </w:rPr>
        <w:t>在</w:t>
      </w:r>
      <w:r w:rsidRPr="00B42BFD">
        <w:rPr>
          <w:rFonts w:eastAsia="標楷體" w:hint="eastAsia"/>
          <w:sz w:val="28"/>
          <w:szCs w:val="28"/>
        </w:rPr>
        <w:t>2009</w:t>
      </w:r>
      <w:r w:rsidRPr="00B42BFD">
        <w:rPr>
          <w:rFonts w:eastAsia="標楷體" w:hint="eastAsia"/>
          <w:sz w:val="28"/>
          <w:szCs w:val="28"/>
        </w:rPr>
        <w:t>至</w:t>
      </w:r>
      <w:r w:rsidRPr="00B42BFD">
        <w:rPr>
          <w:rFonts w:eastAsia="標楷體" w:hint="eastAsia"/>
          <w:sz w:val="28"/>
          <w:szCs w:val="28"/>
        </w:rPr>
        <w:t>2018</w:t>
      </w:r>
      <w:r w:rsidRPr="00B42BFD">
        <w:rPr>
          <w:rFonts w:eastAsia="標楷體" w:hint="eastAsia"/>
          <w:sz w:val="28"/>
          <w:szCs w:val="28"/>
        </w:rPr>
        <w:t>年，被呈報吸毒人數呈下降趨勢，整體被呈報吸毒人數由</w:t>
      </w:r>
      <w:r w:rsidRPr="00B42BFD">
        <w:rPr>
          <w:rFonts w:eastAsia="標楷體" w:hint="eastAsia"/>
          <w:sz w:val="28"/>
          <w:szCs w:val="28"/>
        </w:rPr>
        <w:t>13 990</w:t>
      </w:r>
      <w:r w:rsidRPr="00B42BFD">
        <w:rPr>
          <w:rFonts w:eastAsia="標楷體" w:hint="eastAsia"/>
          <w:sz w:val="28"/>
          <w:szCs w:val="28"/>
        </w:rPr>
        <w:t>人下跌至</w:t>
      </w:r>
      <w:r w:rsidRPr="00B42BFD">
        <w:rPr>
          <w:rFonts w:eastAsia="標楷體" w:hint="eastAsia"/>
          <w:sz w:val="28"/>
          <w:szCs w:val="28"/>
        </w:rPr>
        <w:t>6 611</w:t>
      </w:r>
      <w:r w:rsidRPr="00B42BFD">
        <w:rPr>
          <w:rFonts w:eastAsia="標楷體" w:hint="eastAsia"/>
          <w:sz w:val="28"/>
          <w:szCs w:val="28"/>
        </w:rPr>
        <w:t>人，下降</w:t>
      </w:r>
      <w:r w:rsidRPr="00B42BFD">
        <w:rPr>
          <w:rFonts w:eastAsia="標楷體" w:hint="eastAsia"/>
          <w:sz w:val="28"/>
          <w:szCs w:val="28"/>
        </w:rPr>
        <w:t>53%</w:t>
      </w:r>
      <w:r w:rsidRPr="00B42BFD">
        <w:rPr>
          <w:rFonts w:eastAsia="標楷體" w:hint="eastAsia"/>
          <w:sz w:val="28"/>
          <w:szCs w:val="28"/>
        </w:rPr>
        <w:t>；其中，被呈報的</w:t>
      </w:r>
      <w:r w:rsidRPr="00B42BFD">
        <w:rPr>
          <w:rFonts w:eastAsia="標楷體" w:hint="eastAsia"/>
          <w:sz w:val="28"/>
          <w:szCs w:val="28"/>
        </w:rPr>
        <w:t>21</w:t>
      </w:r>
      <w:r w:rsidRPr="00B42BFD">
        <w:rPr>
          <w:rFonts w:eastAsia="標楷體" w:hint="eastAsia"/>
          <w:sz w:val="28"/>
          <w:szCs w:val="28"/>
        </w:rPr>
        <w:t>歲以下青少年吸毒人數由</w:t>
      </w:r>
      <w:r w:rsidRPr="00B42BFD">
        <w:rPr>
          <w:rFonts w:eastAsia="標楷體" w:hint="eastAsia"/>
          <w:sz w:val="28"/>
          <w:szCs w:val="28"/>
        </w:rPr>
        <w:t>3 388</w:t>
      </w:r>
      <w:r w:rsidRPr="00B42BFD">
        <w:rPr>
          <w:rFonts w:eastAsia="標楷體" w:hint="eastAsia"/>
          <w:sz w:val="28"/>
          <w:szCs w:val="28"/>
        </w:rPr>
        <w:t>人下跌至</w:t>
      </w:r>
      <w:r w:rsidRPr="00B42BFD">
        <w:rPr>
          <w:rFonts w:eastAsia="標楷體" w:hint="eastAsia"/>
          <w:sz w:val="28"/>
          <w:szCs w:val="28"/>
        </w:rPr>
        <w:t>471</w:t>
      </w:r>
      <w:r w:rsidRPr="00B42BFD">
        <w:rPr>
          <w:rFonts w:eastAsia="標楷體" w:hint="eastAsia"/>
          <w:sz w:val="28"/>
          <w:szCs w:val="28"/>
        </w:rPr>
        <w:t>人，下降</w:t>
      </w:r>
      <w:r w:rsidRPr="00B42BFD">
        <w:rPr>
          <w:rFonts w:eastAsia="標楷體" w:hint="eastAsia"/>
          <w:sz w:val="28"/>
          <w:szCs w:val="28"/>
        </w:rPr>
        <w:t>86%</w:t>
      </w:r>
      <w:r w:rsidRPr="00B42BFD">
        <w:rPr>
          <w:rFonts w:eastAsia="標楷體" w:hint="eastAsia"/>
          <w:sz w:val="28"/>
          <w:szCs w:val="28"/>
        </w:rPr>
        <w:t>。首次被呈報的吸毒人數由</w:t>
      </w:r>
      <w:r w:rsidRPr="00B42BFD">
        <w:rPr>
          <w:rFonts w:eastAsia="標楷體" w:hint="eastAsia"/>
          <w:sz w:val="28"/>
          <w:szCs w:val="28"/>
        </w:rPr>
        <w:t>4 460</w:t>
      </w:r>
      <w:r w:rsidRPr="00B42BFD">
        <w:rPr>
          <w:rFonts w:eastAsia="標楷體" w:hint="eastAsia"/>
          <w:sz w:val="28"/>
          <w:szCs w:val="28"/>
        </w:rPr>
        <w:t>人下跌至</w:t>
      </w:r>
      <w:r w:rsidRPr="00B42BFD">
        <w:rPr>
          <w:rFonts w:eastAsia="標楷體" w:hint="eastAsia"/>
          <w:sz w:val="28"/>
          <w:szCs w:val="28"/>
        </w:rPr>
        <w:t>1 662</w:t>
      </w:r>
      <w:r w:rsidRPr="00B42BFD">
        <w:rPr>
          <w:rFonts w:eastAsia="標楷體" w:hint="eastAsia"/>
          <w:sz w:val="28"/>
          <w:szCs w:val="28"/>
        </w:rPr>
        <w:t>人，下降</w:t>
      </w:r>
      <w:r w:rsidRPr="00B42BFD">
        <w:rPr>
          <w:rFonts w:eastAsia="標楷體" w:hint="eastAsia"/>
          <w:sz w:val="28"/>
          <w:szCs w:val="28"/>
        </w:rPr>
        <w:t>63%</w:t>
      </w:r>
      <w:r w:rsidRPr="00B42BFD">
        <w:rPr>
          <w:rFonts w:eastAsia="標楷體" w:hint="eastAsia"/>
          <w:sz w:val="28"/>
          <w:szCs w:val="28"/>
        </w:rPr>
        <w:t>。</w:t>
      </w:r>
    </w:p>
    <w:p w:rsidR="00747021" w:rsidRDefault="00747021" w:rsidP="00747021">
      <w:pPr>
        <w:pStyle w:val="2"/>
        <w:tabs>
          <w:tab w:val="left" w:pos="1440"/>
        </w:tabs>
        <w:adjustRightInd w:val="0"/>
        <w:snapToGrid w:val="0"/>
        <w:spacing w:after="0" w:line="400" w:lineRule="atLeast"/>
        <w:jc w:val="both"/>
        <w:rPr>
          <w:rFonts w:eastAsia="標楷體"/>
          <w:b/>
          <w:bCs/>
          <w:sz w:val="28"/>
          <w:lang w:eastAsia="zh-HK"/>
        </w:rPr>
      </w:pPr>
    </w:p>
    <w:p w:rsidR="00747021" w:rsidRDefault="00747021" w:rsidP="00747021">
      <w:pPr>
        <w:pStyle w:val="2"/>
        <w:tabs>
          <w:tab w:val="left" w:pos="1440"/>
        </w:tabs>
        <w:adjustRightInd w:val="0"/>
        <w:snapToGrid w:val="0"/>
        <w:spacing w:after="0" w:line="400" w:lineRule="atLeast"/>
        <w:jc w:val="both"/>
        <w:rPr>
          <w:rFonts w:eastAsia="標楷體"/>
          <w:bCs/>
          <w:sz w:val="28"/>
          <w:u w:val="single"/>
          <w:lang w:eastAsia="zh-HK"/>
        </w:rPr>
      </w:pPr>
      <w:r w:rsidRPr="00B42BFD">
        <w:rPr>
          <w:rFonts w:eastAsia="標楷體" w:hint="eastAsia"/>
          <w:bCs/>
          <w:sz w:val="28"/>
          <w:u w:val="single"/>
          <w:lang w:eastAsia="zh-HK"/>
        </w:rPr>
        <w:t>吸食</w:t>
      </w:r>
      <w:r w:rsidRPr="00B42BFD">
        <w:rPr>
          <w:rFonts w:eastAsia="標楷體" w:hint="eastAsia"/>
          <w:bCs/>
          <w:sz w:val="28"/>
          <w:u w:val="single"/>
        </w:rPr>
        <w:t>毒</w:t>
      </w:r>
      <w:r w:rsidRPr="00B42BFD">
        <w:rPr>
          <w:rFonts w:eastAsia="標楷體" w:hint="eastAsia"/>
          <w:bCs/>
          <w:sz w:val="28"/>
          <w:u w:val="single"/>
          <w:lang w:eastAsia="zh-HK"/>
        </w:rPr>
        <w:t>品種類</w:t>
      </w:r>
    </w:p>
    <w:p w:rsidR="00747021" w:rsidRDefault="00747021" w:rsidP="00747021">
      <w:pPr>
        <w:pStyle w:val="2"/>
        <w:tabs>
          <w:tab w:val="left" w:pos="1440"/>
        </w:tabs>
        <w:adjustRightInd w:val="0"/>
        <w:snapToGrid w:val="0"/>
        <w:spacing w:after="0" w:line="400" w:lineRule="atLeast"/>
        <w:jc w:val="both"/>
        <w:rPr>
          <w:rFonts w:eastAsia="標楷體"/>
          <w:bCs/>
          <w:sz w:val="28"/>
          <w:u w:val="single"/>
          <w:lang w:eastAsia="zh-HK"/>
        </w:rPr>
      </w:pPr>
    </w:p>
    <w:p w:rsidR="00747021" w:rsidRDefault="00747021" w:rsidP="00747021">
      <w:pPr>
        <w:pStyle w:val="2"/>
        <w:tabs>
          <w:tab w:val="left" w:pos="1440"/>
        </w:tabs>
        <w:adjustRightInd w:val="0"/>
        <w:snapToGrid w:val="0"/>
        <w:spacing w:after="0" w:line="400" w:lineRule="atLeast"/>
        <w:jc w:val="both"/>
        <w:rPr>
          <w:rFonts w:eastAsia="標楷體"/>
          <w:sz w:val="28"/>
          <w:szCs w:val="28"/>
        </w:rPr>
      </w:pPr>
      <w:r>
        <w:rPr>
          <w:rFonts w:eastAsia="標楷體" w:hint="eastAsia"/>
          <w:sz w:val="28"/>
          <w:szCs w:val="28"/>
        </w:rPr>
        <w:t>2.</w:t>
      </w:r>
      <w:r w:rsidRPr="002A4C01">
        <w:rPr>
          <w:rFonts w:eastAsia="標楷體"/>
          <w:sz w:val="28"/>
          <w:szCs w:val="28"/>
        </w:rPr>
        <w:tab/>
      </w:r>
      <w:r w:rsidRPr="00B42BFD">
        <w:rPr>
          <w:rFonts w:eastAsia="標楷體" w:hint="eastAsia"/>
          <w:sz w:val="28"/>
          <w:szCs w:val="28"/>
        </w:rPr>
        <w:t>在這段期間，被呈報吸食危害精神毒品的整體人數持續高於吸食麻醉鎮痛劑的人數。在首次被呈報的個案中，吸食危害精神毒品的人數亦一直大幅高於吸食麻醉鎮痛劑的人數。</w:t>
      </w:r>
    </w:p>
    <w:p w:rsidR="00747021" w:rsidRDefault="00747021" w:rsidP="00747021">
      <w:pPr>
        <w:pStyle w:val="2"/>
        <w:tabs>
          <w:tab w:val="left" w:pos="1440"/>
        </w:tabs>
        <w:adjustRightInd w:val="0"/>
        <w:snapToGrid w:val="0"/>
        <w:spacing w:after="0" w:line="400" w:lineRule="atLeast"/>
        <w:jc w:val="both"/>
        <w:rPr>
          <w:rFonts w:eastAsia="標楷體"/>
          <w:sz w:val="28"/>
          <w:szCs w:val="28"/>
        </w:rPr>
      </w:pPr>
    </w:p>
    <w:p w:rsidR="00747021" w:rsidRDefault="00747021" w:rsidP="00747021">
      <w:pPr>
        <w:pStyle w:val="2"/>
        <w:tabs>
          <w:tab w:val="left" w:pos="1440"/>
        </w:tabs>
        <w:adjustRightInd w:val="0"/>
        <w:snapToGrid w:val="0"/>
        <w:spacing w:after="0" w:line="400" w:lineRule="atLeast"/>
        <w:jc w:val="both"/>
        <w:rPr>
          <w:rFonts w:eastAsia="標楷體"/>
          <w:sz w:val="28"/>
          <w:szCs w:val="28"/>
        </w:rPr>
      </w:pPr>
      <w:r>
        <w:rPr>
          <w:rFonts w:eastAsia="標楷體" w:hint="eastAsia"/>
          <w:sz w:val="28"/>
          <w:szCs w:val="28"/>
        </w:rPr>
        <w:t>3.</w:t>
      </w:r>
      <w:r w:rsidRPr="002A4C01">
        <w:rPr>
          <w:rFonts w:eastAsia="標楷體"/>
          <w:sz w:val="28"/>
          <w:szCs w:val="28"/>
        </w:rPr>
        <w:tab/>
      </w:r>
      <w:r w:rsidRPr="00B42BFD">
        <w:rPr>
          <w:rFonts w:eastAsia="標楷體" w:hint="eastAsia"/>
          <w:sz w:val="28"/>
          <w:szCs w:val="28"/>
        </w:rPr>
        <w:t>在</w:t>
      </w:r>
      <w:r w:rsidRPr="00B42BFD">
        <w:rPr>
          <w:rFonts w:eastAsia="標楷體" w:hint="eastAsia"/>
          <w:sz w:val="28"/>
          <w:szCs w:val="28"/>
        </w:rPr>
        <w:t>2018</w:t>
      </w:r>
      <w:r w:rsidRPr="00B42BFD">
        <w:rPr>
          <w:rFonts w:eastAsia="標楷體" w:hint="eastAsia"/>
          <w:sz w:val="28"/>
          <w:szCs w:val="28"/>
        </w:rPr>
        <w:t>年，幾乎所有吸食麻醉鎮痛劑的人都吸食海洛英。甲基安非他明（俗稱「冰毒」）則為最常被吸食的危害精神毒品，其</w:t>
      </w:r>
      <w:r w:rsidRPr="00EF2927">
        <w:rPr>
          <w:rFonts w:eastAsia="標楷體" w:hint="eastAsia"/>
          <w:spacing w:val="2"/>
          <w:sz w:val="28"/>
          <w:szCs w:val="28"/>
        </w:rPr>
        <w:t>次是可卡因、三唑侖／咪達唑侖／佐匹克隆、氯胺酮及大麻。就</w:t>
      </w:r>
      <w:r w:rsidRPr="00EF2927">
        <w:rPr>
          <w:rFonts w:eastAsia="標楷體" w:hint="eastAsia"/>
          <w:spacing w:val="2"/>
          <w:sz w:val="28"/>
          <w:szCs w:val="28"/>
        </w:rPr>
        <w:t>21</w:t>
      </w:r>
      <w:r w:rsidRPr="00EF2927">
        <w:rPr>
          <w:rFonts w:eastAsia="標楷體" w:hint="eastAsia"/>
          <w:spacing w:val="2"/>
          <w:sz w:val="28"/>
          <w:szCs w:val="28"/>
        </w:rPr>
        <w:t>歲</w:t>
      </w:r>
      <w:r w:rsidRPr="00B42BFD">
        <w:rPr>
          <w:rFonts w:eastAsia="標楷體" w:hint="eastAsia"/>
          <w:sz w:val="28"/>
          <w:szCs w:val="28"/>
        </w:rPr>
        <w:t>以下青少年吸毒者而言，可卡因是最常被吸食的危害精神毒品，其次是大麻及「冰毒」。</w:t>
      </w:r>
    </w:p>
    <w:p w:rsidR="00747021" w:rsidRPr="00B42BFD" w:rsidRDefault="00747021" w:rsidP="00747021">
      <w:pPr>
        <w:pStyle w:val="2"/>
        <w:tabs>
          <w:tab w:val="left" w:pos="1440"/>
        </w:tabs>
        <w:adjustRightInd w:val="0"/>
        <w:snapToGrid w:val="0"/>
        <w:spacing w:after="0" w:line="400" w:lineRule="atLeast"/>
        <w:jc w:val="both"/>
        <w:rPr>
          <w:rFonts w:eastAsia="標楷體"/>
          <w:bCs/>
          <w:sz w:val="28"/>
          <w:u w:val="single"/>
          <w:lang w:eastAsia="zh-HK"/>
        </w:rPr>
      </w:pPr>
    </w:p>
    <w:p w:rsidR="00747021" w:rsidRDefault="00747021" w:rsidP="00747021">
      <w:pPr>
        <w:pStyle w:val="2"/>
        <w:tabs>
          <w:tab w:val="left" w:pos="1440"/>
        </w:tabs>
        <w:adjustRightInd w:val="0"/>
        <w:snapToGrid w:val="0"/>
        <w:spacing w:after="0" w:line="400" w:lineRule="atLeast"/>
        <w:rPr>
          <w:rFonts w:eastAsia="標楷體"/>
          <w:bCs/>
          <w:sz w:val="28"/>
          <w:u w:val="single"/>
        </w:rPr>
      </w:pPr>
      <w:r w:rsidRPr="00B42BFD">
        <w:rPr>
          <w:rFonts w:eastAsia="標楷體" w:hint="eastAsia"/>
          <w:bCs/>
          <w:sz w:val="28"/>
          <w:u w:val="single"/>
          <w:lang w:eastAsia="zh-HK"/>
        </w:rPr>
        <w:t>最近受關注的問</w:t>
      </w:r>
      <w:r w:rsidRPr="00B42BFD">
        <w:rPr>
          <w:rFonts w:eastAsia="標楷體" w:hint="eastAsia"/>
          <w:bCs/>
          <w:sz w:val="28"/>
          <w:u w:val="single"/>
        </w:rPr>
        <w:t>題</w:t>
      </w:r>
    </w:p>
    <w:p w:rsidR="00747021" w:rsidRDefault="00747021" w:rsidP="00747021">
      <w:pPr>
        <w:pStyle w:val="2"/>
        <w:tabs>
          <w:tab w:val="left" w:pos="1440"/>
        </w:tabs>
        <w:adjustRightInd w:val="0"/>
        <w:snapToGrid w:val="0"/>
        <w:spacing w:after="0" w:line="400" w:lineRule="atLeast"/>
        <w:rPr>
          <w:rFonts w:eastAsia="標楷體"/>
          <w:bCs/>
          <w:sz w:val="28"/>
          <w:u w:val="single"/>
        </w:rPr>
      </w:pPr>
    </w:p>
    <w:p w:rsidR="00747021" w:rsidRDefault="00747021" w:rsidP="00747021">
      <w:pPr>
        <w:pStyle w:val="2"/>
        <w:tabs>
          <w:tab w:val="left" w:pos="1440"/>
        </w:tabs>
        <w:adjustRightInd w:val="0"/>
        <w:snapToGrid w:val="0"/>
        <w:spacing w:after="0" w:line="400" w:lineRule="atLeast"/>
        <w:jc w:val="both"/>
        <w:rPr>
          <w:rFonts w:eastAsia="標楷體"/>
          <w:sz w:val="28"/>
          <w:szCs w:val="28"/>
        </w:rPr>
      </w:pPr>
      <w:r>
        <w:rPr>
          <w:rFonts w:eastAsia="標楷體" w:hint="eastAsia"/>
          <w:sz w:val="28"/>
          <w:szCs w:val="28"/>
        </w:rPr>
        <w:t>4.</w:t>
      </w:r>
      <w:r w:rsidRPr="002A4C01">
        <w:rPr>
          <w:rFonts w:eastAsia="標楷體"/>
          <w:sz w:val="28"/>
          <w:szCs w:val="28"/>
        </w:rPr>
        <w:tab/>
      </w:r>
      <w:r w:rsidRPr="00B42BFD">
        <w:rPr>
          <w:rFonts w:eastAsia="標楷體" w:hint="eastAsia"/>
          <w:sz w:val="28"/>
          <w:szCs w:val="28"/>
        </w:rPr>
        <w:t>雖然吸毒人數下降，最新的吸毒情況顯示出幾個值得關注的主要問題，包括—</w:t>
      </w:r>
    </w:p>
    <w:p w:rsidR="00747021" w:rsidRDefault="00747021" w:rsidP="00747021">
      <w:pPr>
        <w:pStyle w:val="2"/>
        <w:tabs>
          <w:tab w:val="left" w:pos="1440"/>
        </w:tabs>
        <w:adjustRightInd w:val="0"/>
        <w:snapToGrid w:val="0"/>
        <w:spacing w:after="0" w:line="400" w:lineRule="atLeast"/>
        <w:jc w:val="both"/>
        <w:rPr>
          <w:rFonts w:eastAsia="標楷體"/>
          <w:sz w:val="28"/>
          <w:szCs w:val="28"/>
        </w:rPr>
      </w:pPr>
    </w:p>
    <w:p w:rsidR="00747021" w:rsidRPr="00E5232B" w:rsidRDefault="00747021" w:rsidP="00747021">
      <w:pPr>
        <w:pStyle w:val="2"/>
        <w:tabs>
          <w:tab w:val="left" w:pos="1440"/>
        </w:tabs>
        <w:adjustRightInd w:val="0"/>
        <w:snapToGrid w:val="0"/>
        <w:spacing w:after="0" w:line="400" w:lineRule="atLeast"/>
        <w:ind w:leftChars="257" w:left="1437" w:hangingChars="256" w:hanging="717"/>
        <w:jc w:val="both"/>
        <w:rPr>
          <w:rFonts w:eastAsia="標楷體"/>
          <w:sz w:val="28"/>
          <w:szCs w:val="28"/>
        </w:rPr>
      </w:pPr>
      <w:r w:rsidRPr="00E5232B">
        <w:rPr>
          <w:rFonts w:eastAsia="標楷體"/>
          <w:sz w:val="28"/>
          <w:szCs w:val="28"/>
        </w:rPr>
        <w:t>(a)</w:t>
      </w:r>
      <w:r w:rsidRPr="00E5232B">
        <w:rPr>
          <w:rFonts w:eastAsia="標楷體"/>
          <w:sz w:val="28"/>
          <w:szCs w:val="28"/>
        </w:rPr>
        <w:tab/>
      </w:r>
      <w:r w:rsidRPr="00FD08A2">
        <w:rPr>
          <w:rFonts w:eastAsia="標楷體" w:hint="eastAsia"/>
          <w:b/>
          <w:sz w:val="28"/>
          <w:szCs w:val="28"/>
        </w:rPr>
        <w:t>年輕成年人佔首次被呈報吸毒者的比例較高</w:t>
      </w:r>
      <w:r w:rsidRPr="00E5232B">
        <w:rPr>
          <w:rFonts w:eastAsia="標楷體" w:hint="eastAsia"/>
          <w:sz w:val="28"/>
          <w:szCs w:val="28"/>
        </w:rPr>
        <w:t>—首次被呈報的吸毒者當中，年輕成年人（</w:t>
      </w:r>
      <w:r w:rsidRPr="00E5232B">
        <w:rPr>
          <w:rFonts w:eastAsia="標楷體"/>
          <w:sz w:val="28"/>
          <w:szCs w:val="28"/>
        </w:rPr>
        <w:t>21-35</w:t>
      </w:r>
      <w:r w:rsidRPr="00E5232B">
        <w:rPr>
          <w:rFonts w:eastAsia="標楷體" w:hint="eastAsia"/>
          <w:sz w:val="28"/>
          <w:szCs w:val="28"/>
        </w:rPr>
        <w:t>歲）的比例持續較高（</w:t>
      </w:r>
      <w:r w:rsidRPr="00E5232B">
        <w:rPr>
          <w:rFonts w:eastAsia="標楷體"/>
          <w:sz w:val="28"/>
          <w:szCs w:val="28"/>
        </w:rPr>
        <w:t>2018</w:t>
      </w:r>
      <w:r w:rsidRPr="00E5232B">
        <w:rPr>
          <w:rFonts w:eastAsia="標楷體" w:hint="eastAsia"/>
          <w:sz w:val="28"/>
          <w:szCs w:val="28"/>
        </w:rPr>
        <w:t>年為</w:t>
      </w:r>
      <w:r w:rsidRPr="00E5232B">
        <w:rPr>
          <w:rFonts w:eastAsia="標楷體"/>
          <w:sz w:val="28"/>
          <w:szCs w:val="28"/>
        </w:rPr>
        <w:t>48%</w:t>
      </w:r>
      <w:r w:rsidRPr="00E5232B">
        <w:rPr>
          <w:rFonts w:eastAsia="標楷體" w:hint="eastAsia"/>
          <w:sz w:val="28"/>
          <w:szCs w:val="28"/>
        </w:rPr>
        <w:t>）；</w:t>
      </w:r>
    </w:p>
    <w:p w:rsidR="00747021" w:rsidRPr="00E5232B" w:rsidRDefault="00747021" w:rsidP="00747021">
      <w:pPr>
        <w:pStyle w:val="2"/>
        <w:tabs>
          <w:tab w:val="left" w:pos="1440"/>
        </w:tabs>
        <w:adjustRightInd w:val="0"/>
        <w:snapToGrid w:val="0"/>
        <w:spacing w:after="0" w:line="400" w:lineRule="atLeast"/>
        <w:ind w:leftChars="257" w:left="1437" w:hangingChars="256" w:hanging="717"/>
        <w:jc w:val="both"/>
        <w:rPr>
          <w:rFonts w:eastAsia="標楷體"/>
          <w:sz w:val="28"/>
          <w:szCs w:val="28"/>
        </w:rPr>
      </w:pPr>
    </w:p>
    <w:p w:rsidR="00747021" w:rsidRPr="00E5232B" w:rsidRDefault="00747021" w:rsidP="00747021">
      <w:pPr>
        <w:pStyle w:val="2"/>
        <w:tabs>
          <w:tab w:val="left" w:pos="1440"/>
        </w:tabs>
        <w:adjustRightInd w:val="0"/>
        <w:snapToGrid w:val="0"/>
        <w:spacing w:after="0" w:line="400" w:lineRule="atLeast"/>
        <w:ind w:leftChars="257" w:left="1437" w:hangingChars="256" w:hanging="717"/>
        <w:jc w:val="both"/>
        <w:rPr>
          <w:rFonts w:eastAsia="標楷體"/>
          <w:sz w:val="28"/>
          <w:szCs w:val="28"/>
        </w:rPr>
      </w:pPr>
      <w:r w:rsidRPr="00E5232B">
        <w:rPr>
          <w:rFonts w:eastAsia="標楷體"/>
          <w:sz w:val="28"/>
          <w:szCs w:val="28"/>
        </w:rPr>
        <w:t>(b)</w:t>
      </w:r>
      <w:r w:rsidRPr="00E5232B">
        <w:rPr>
          <w:rFonts w:eastAsia="標楷體"/>
          <w:sz w:val="28"/>
          <w:szCs w:val="28"/>
        </w:rPr>
        <w:tab/>
      </w:r>
      <w:r w:rsidRPr="00FD08A2">
        <w:rPr>
          <w:rFonts w:eastAsia="標楷體" w:hint="eastAsia"/>
          <w:b/>
          <w:sz w:val="28"/>
          <w:szCs w:val="28"/>
        </w:rPr>
        <w:t>吸食危害精神毒品普遍，而吸食大麻和可卡因的人數上升</w:t>
      </w:r>
      <w:r w:rsidRPr="00E5232B">
        <w:rPr>
          <w:rFonts w:eastAsia="標楷體" w:hint="eastAsia"/>
          <w:sz w:val="28"/>
          <w:szCs w:val="28"/>
        </w:rPr>
        <w:t>—雖然「冰毒」是最常被吸食的危害精神毒品，但被呈報吸食「冰毒」人數有所下降（由</w:t>
      </w:r>
      <w:r w:rsidRPr="00E5232B">
        <w:rPr>
          <w:rFonts w:eastAsia="標楷體"/>
          <w:sz w:val="28"/>
          <w:szCs w:val="28"/>
        </w:rPr>
        <w:t>2016</w:t>
      </w:r>
      <w:r w:rsidRPr="00E5232B">
        <w:rPr>
          <w:rFonts w:eastAsia="標楷體" w:hint="eastAsia"/>
          <w:sz w:val="28"/>
          <w:szCs w:val="28"/>
        </w:rPr>
        <w:t>年</w:t>
      </w:r>
      <w:r w:rsidRPr="00E5232B">
        <w:rPr>
          <w:rFonts w:eastAsia="標楷體"/>
          <w:sz w:val="28"/>
          <w:szCs w:val="28"/>
        </w:rPr>
        <w:t>2</w:t>
      </w:r>
      <w:r>
        <w:rPr>
          <w:rFonts w:eastAsia="標楷體"/>
          <w:sz w:val="28"/>
          <w:szCs w:val="28"/>
        </w:rPr>
        <w:t> </w:t>
      </w:r>
      <w:r w:rsidRPr="00E5232B">
        <w:rPr>
          <w:rFonts w:eastAsia="標楷體"/>
          <w:sz w:val="28"/>
          <w:szCs w:val="28"/>
        </w:rPr>
        <w:t>495</w:t>
      </w:r>
      <w:r w:rsidRPr="00E5232B">
        <w:rPr>
          <w:rFonts w:eastAsia="標楷體" w:hint="eastAsia"/>
          <w:sz w:val="28"/>
          <w:szCs w:val="28"/>
        </w:rPr>
        <w:t>人的高峰</w:t>
      </w:r>
      <w:r w:rsidRPr="00EF2927">
        <w:rPr>
          <w:rFonts w:eastAsia="標楷體" w:hint="eastAsia"/>
          <w:spacing w:val="-2"/>
          <w:sz w:val="28"/>
          <w:szCs w:val="28"/>
        </w:rPr>
        <w:lastRenderedPageBreak/>
        <w:t>下跌至</w:t>
      </w:r>
      <w:r w:rsidRPr="00EF2927">
        <w:rPr>
          <w:rFonts w:eastAsia="標楷體"/>
          <w:spacing w:val="-2"/>
          <w:sz w:val="28"/>
          <w:szCs w:val="28"/>
        </w:rPr>
        <w:t>2018</w:t>
      </w:r>
      <w:r w:rsidRPr="00EF2927">
        <w:rPr>
          <w:rFonts w:eastAsia="標楷體" w:hint="eastAsia"/>
          <w:spacing w:val="-2"/>
          <w:sz w:val="28"/>
          <w:szCs w:val="28"/>
        </w:rPr>
        <w:t>年的</w:t>
      </w:r>
      <w:r w:rsidRPr="00EF2927">
        <w:rPr>
          <w:rFonts w:eastAsia="標楷體"/>
          <w:spacing w:val="-2"/>
          <w:sz w:val="28"/>
          <w:szCs w:val="28"/>
        </w:rPr>
        <w:t>1 518</w:t>
      </w:r>
      <w:r w:rsidRPr="00EF2927">
        <w:rPr>
          <w:rFonts w:eastAsia="標楷體" w:hint="eastAsia"/>
          <w:spacing w:val="-2"/>
          <w:sz w:val="28"/>
          <w:szCs w:val="28"/>
        </w:rPr>
        <w:t>人，下降</w:t>
      </w:r>
      <w:r w:rsidRPr="00EF2927">
        <w:rPr>
          <w:rFonts w:eastAsia="標楷體"/>
          <w:spacing w:val="-2"/>
          <w:sz w:val="28"/>
          <w:szCs w:val="28"/>
        </w:rPr>
        <w:t>39%</w:t>
      </w:r>
      <w:r w:rsidRPr="00EF2927">
        <w:rPr>
          <w:rFonts w:eastAsia="標楷體" w:hint="eastAsia"/>
          <w:spacing w:val="-2"/>
          <w:sz w:val="28"/>
          <w:szCs w:val="28"/>
          <w:lang w:eastAsia="zh-HK"/>
        </w:rPr>
        <w:t>）</w:t>
      </w:r>
      <w:r w:rsidRPr="00EF2927">
        <w:rPr>
          <w:rFonts w:eastAsia="標楷體" w:hint="eastAsia"/>
          <w:spacing w:val="-2"/>
          <w:sz w:val="28"/>
          <w:szCs w:val="28"/>
        </w:rPr>
        <w:t>。吸食大麻及可</w:t>
      </w:r>
      <w:r w:rsidRPr="00E5232B">
        <w:rPr>
          <w:rFonts w:eastAsia="標楷體" w:hint="eastAsia"/>
          <w:sz w:val="28"/>
          <w:szCs w:val="28"/>
        </w:rPr>
        <w:t>卡因的人數則有所上升（大麻的吸食人數由</w:t>
      </w:r>
      <w:r w:rsidRPr="00E5232B">
        <w:rPr>
          <w:rFonts w:eastAsia="標楷體"/>
          <w:sz w:val="28"/>
          <w:szCs w:val="28"/>
        </w:rPr>
        <w:t xml:space="preserve"> 2017</w:t>
      </w:r>
      <w:r w:rsidRPr="00E5232B">
        <w:rPr>
          <w:rFonts w:eastAsia="標楷體" w:hint="eastAsia"/>
          <w:sz w:val="28"/>
          <w:szCs w:val="28"/>
        </w:rPr>
        <w:t>年的</w:t>
      </w:r>
      <w:r w:rsidRPr="00E5232B">
        <w:rPr>
          <w:rFonts w:eastAsia="標楷體"/>
          <w:sz w:val="28"/>
          <w:szCs w:val="28"/>
        </w:rPr>
        <w:t>402</w:t>
      </w:r>
      <w:r w:rsidRPr="00E5232B">
        <w:rPr>
          <w:rFonts w:eastAsia="標楷體" w:hint="eastAsia"/>
          <w:sz w:val="28"/>
          <w:szCs w:val="28"/>
        </w:rPr>
        <w:t>人增加至</w:t>
      </w:r>
      <w:r w:rsidRPr="00E5232B">
        <w:rPr>
          <w:rFonts w:eastAsia="標楷體"/>
          <w:sz w:val="28"/>
          <w:szCs w:val="28"/>
        </w:rPr>
        <w:t>2018</w:t>
      </w:r>
      <w:r w:rsidRPr="00E5232B">
        <w:rPr>
          <w:rFonts w:eastAsia="標楷體" w:hint="eastAsia"/>
          <w:sz w:val="28"/>
          <w:szCs w:val="28"/>
        </w:rPr>
        <w:t>年的</w:t>
      </w:r>
      <w:r w:rsidRPr="00E5232B">
        <w:rPr>
          <w:rFonts w:eastAsia="標楷體"/>
          <w:sz w:val="28"/>
          <w:szCs w:val="28"/>
        </w:rPr>
        <w:t>472</w:t>
      </w:r>
      <w:r w:rsidRPr="00E5232B">
        <w:rPr>
          <w:rFonts w:eastAsia="標楷體" w:hint="eastAsia"/>
          <w:sz w:val="28"/>
          <w:szCs w:val="28"/>
        </w:rPr>
        <w:t>人，上升</w:t>
      </w:r>
      <w:r w:rsidRPr="00E5232B">
        <w:rPr>
          <w:rFonts w:eastAsia="標楷體"/>
          <w:sz w:val="28"/>
          <w:szCs w:val="28"/>
        </w:rPr>
        <w:t>17%</w:t>
      </w:r>
      <w:r w:rsidRPr="00E5232B">
        <w:rPr>
          <w:rFonts w:eastAsia="標楷體" w:hint="eastAsia"/>
          <w:sz w:val="28"/>
          <w:szCs w:val="28"/>
        </w:rPr>
        <w:t>；吸食可卡因的人</w:t>
      </w:r>
      <w:r w:rsidRPr="00EF2927">
        <w:rPr>
          <w:rFonts w:eastAsia="標楷體" w:hint="eastAsia"/>
          <w:spacing w:val="-2"/>
          <w:sz w:val="28"/>
          <w:szCs w:val="28"/>
        </w:rPr>
        <w:t>數由</w:t>
      </w:r>
      <w:r w:rsidRPr="00EF2927">
        <w:rPr>
          <w:rFonts w:eastAsia="標楷體"/>
          <w:spacing w:val="-2"/>
          <w:sz w:val="28"/>
          <w:szCs w:val="28"/>
        </w:rPr>
        <w:t>2017</w:t>
      </w:r>
      <w:r w:rsidRPr="00EF2927">
        <w:rPr>
          <w:rFonts w:eastAsia="標楷體" w:hint="eastAsia"/>
          <w:spacing w:val="-2"/>
          <w:sz w:val="28"/>
          <w:szCs w:val="28"/>
        </w:rPr>
        <w:t>年的</w:t>
      </w:r>
      <w:r w:rsidRPr="00EF2927">
        <w:rPr>
          <w:rFonts w:eastAsia="標楷體"/>
          <w:spacing w:val="-2"/>
          <w:sz w:val="28"/>
          <w:szCs w:val="28"/>
        </w:rPr>
        <w:t>871</w:t>
      </w:r>
      <w:r w:rsidRPr="00EF2927">
        <w:rPr>
          <w:rFonts w:eastAsia="標楷體" w:hint="eastAsia"/>
          <w:spacing w:val="-2"/>
          <w:sz w:val="28"/>
          <w:szCs w:val="28"/>
        </w:rPr>
        <w:t>人增加至</w:t>
      </w:r>
      <w:r w:rsidRPr="00EF2927">
        <w:rPr>
          <w:rFonts w:eastAsia="標楷體"/>
          <w:spacing w:val="-2"/>
          <w:sz w:val="28"/>
          <w:szCs w:val="28"/>
        </w:rPr>
        <w:t>2018</w:t>
      </w:r>
      <w:r w:rsidRPr="00EF2927">
        <w:rPr>
          <w:rFonts w:eastAsia="標楷體" w:hint="eastAsia"/>
          <w:spacing w:val="-2"/>
          <w:sz w:val="28"/>
          <w:szCs w:val="28"/>
        </w:rPr>
        <w:t>年的</w:t>
      </w:r>
      <w:r w:rsidRPr="00EF2927">
        <w:rPr>
          <w:rFonts w:eastAsia="標楷體"/>
          <w:spacing w:val="-2"/>
          <w:sz w:val="28"/>
          <w:szCs w:val="28"/>
        </w:rPr>
        <w:t>962</w:t>
      </w:r>
      <w:r w:rsidRPr="00EF2927">
        <w:rPr>
          <w:rFonts w:eastAsia="標楷體" w:hint="eastAsia"/>
          <w:spacing w:val="-2"/>
          <w:sz w:val="28"/>
          <w:szCs w:val="28"/>
        </w:rPr>
        <w:t>人，上升</w:t>
      </w:r>
      <w:r w:rsidRPr="00EF2927">
        <w:rPr>
          <w:rFonts w:eastAsia="標楷體"/>
          <w:spacing w:val="-2"/>
          <w:sz w:val="28"/>
          <w:szCs w:val="28"/>
        </w:rPr>
        <w:t>10%</w:t>
      </w:r>
      <w:r w:rsidRPr="00EF2927">
        <w:rPr>
          <w:rFonts w:eastAsia="標楷體" w:hint="eastAsia"/>
          <w:spacing w:val="-2"/>
          <w:sz w:val="28"/>
          <w:szCs w:val="28"/>
        </w:rPr>
        <w:t>）；及</w:t>
      </w:r>
    </w:p>
    <w:p w:rsidR="00747021" w:rsidRPr="00E5232B" w:rsidRDefault="00747021" w:rsidP="00747021">
      <w:pPr>
        <w:pStyle w:val="2"/>
        <w:tabs>
          <w:tab w:val="left" w:pos="1440"/>
        </w:tabs>
        <w:adjustRightInd w:val="0"/>
        <w:snapToGrid w:val="0"/>
        <w:spacing w:after="0" w:line="400" w:lineRule="atLeast"/>
        <w:ind w:leftChars="257" w:left="1437" w:hangingChars="256" w:hanging="717"/>
        <w:jc w:val="both"/>
        <w:rPr>
          <w:rFonts w:eastAsia="標楷體"/>
          <w:sz w:val="28"/>
          <w:szCs w:val="28"/>
        </w:rPr>
      </w:pPr>
    </w:p>
    <w:p w:rsidR="00747021" w:rsidRPr="00E5232B" w:rsidRDefault="00747021" w:rsidP="00747021">
      <w:pPr>
        <w:pStyle w:val="2"/>
        <w:tabs>
          <w:tab w:val="left" w:pos="1440"/>
        </w:tabs>
        <w:adjustRightInd w:val="0"/>
        <w:snapToGrid w:val="0"/>
        <w:spacing w:after="0" w:line="400" w:lineRule="atLeast"/>
        <w:ind w:leftChars="257" w:left="1437" w:hangingChars="256" w:hanging="717"/>
        <w:jc w:val="both"/>
        <w:rPr>
          <w:rFonts w:eastAsia="標楷體"/>
          <w:sz w:val="28"/>
          <w:szCs w:val="28"/>
        </w:rPr>
      </w:pPr>
      <w:r w:rsidRPr="00E5232B">
        <w:rPr>
          <w:rFonts w:eastAsia="標楷體"/>
          <w:sz w:val="28"/>
          <w:szCs w:val="28"/>
        </w:rPr>
        <w:t>(c)</w:t>
      </w:r>
      <w:r w:rsidRPr="00E5232B">
        <w:rPr>
          <w:rFonts w:eastAsia="標楷體"/>
          <w:sz w:val="28"/>
          <w:szCs w:val="28"/>
        </w:rPr>
        <w:tab/>
      </w:r>
      <w:r w:rsidRPr="00FD08A2">
        <w:rPr>
          <w:rFonts w:eastAsia="標楷體" w:hint="eastAsia"/>
          <w:b/>
          <w:sz w:val="28"/>
          <w:szCs w:val="28"/>
        </w:rPr>
        <w:t>隱蔽吸毒</w:t>
      </w:r>
      <w:r w:rsidRPr="00E5232B">
        <w:rPr>
          <w:rFonts w:eastAsia="標楷體" w:hint="eastAsia"/>
          <w:sz w:val="28"/>
          <w:szCs w:val="28"/>
        </w:rPr>
        <w:t>—在</w:t>
      </w:r>
      <w:r w:rsidRPr="00E5232B">
        <w:rPr>
          <w:rFonts w:eastAsia="標楷體"/>
          <w:sz w:val="28"/>
          <w:szCs w:val="28"/>
        </w:rPr>
        <w:t>2018</w:t>
      </w:r>
      <w:r w:rsidRPr="00E5232B">
        <w:rPr>
          <w:rFonts w:eastAsia="標楷體" w:hint="eastAsia"/>
          <w:sz w:val="28"/>
          <w:szCs w:val="28"/>
        </w:rPr>
        <w:t>年，半數首次被呈報的吸毒者已吸毒最少</w:t>
      </w:r>
      <w:r w:rsidRPr="00E5232B">
        <w:rPr>
          <w:rFonts w:eastAsia="標楷體"/>
          <w:sz w:val="28"/>
          <w:szCs w:val="28"/>
        </w:rPr>
        <w:t>4.7</w:t>
      </w:r>
      <w:r w:rsidRPr="00E5232B">
        <w:rPr>
          <w:rFonts w:eastAsia="標楷體" w:hint="eastAsia"/>
          <w:sz w:val="28"/>
          <w:szCs w:val="28"/>
        </w:rPr>
        <w:t>年，而大部分吸毒者（</w:t>
      </w:r>
      <w:r w:rsidRPr="00E5232B">
        <w:rPr>
          <w:rFonts w:eastAsia="標楷體"/>
          <w:sz w:val="28"/>
          <w:szCs w:val="28"/>
        </w:rPr>
        <w:t>58%</w:t>
      </w:r>
      <w:r w:rsidRPr="00E5232B">
        <w:rPr>
          <w:rFonts w:eastAsia="標楷體" w:hint="eastAsia"/>
          <w:sz w:val="28"/>
          <w:szCs w:val="28"/>
        </w:rPr>
        <w:t>）只在自己或朋友家中吸毒。</w:t>
      </w:r>
    </w:p>
    <w:p w:rsidR="00747021" w:rsidRDefault="00747021" w:rsidP="00747021">
      <w:pPr>
        <w:pStyle w:val="2"/>
        <w:tabs>
          <w:tab w:val="left" w:pos="1440"/>
        </w:tabs>
        <w:adjustRightInd w:val="0"/>
        <w:snapToGrid w:val="0"/>
        <w:spacing w:after="0" w:line="400" w:lineRule="atLeast"/>
        <w:jc w:val="both"/>
        <w:rPr>
          <w:rFonts w:eastAsia="標楷體"/>
          <w:bCs/>
          <w:sz w:val="28"/>
          <w:u w:val="single"/>
          <w:lang w:eastAsia="zh-HK"/>
        </w:rPr>
      </w:pPr>
    </w:p>
    <w:p w:rsidR="00747021" w:rsidRPr="00520131" w:rsidRDefault="00747021" w:rsidP="00747021">
      <w:pPr>
        <w:pStyle w:val="2"/>
        <w:tabs>
          <w:tab w:val="left" w:pos="1440"/>
        </w:tabs>
        <w:adjustRightInd w:val="0"/>
        <w:snapToGrid w:val="0"/>
        <w:spacing w:after="0" w:line="400" w:lineRule="atLeast"/>
        <w:jc w:val="both"/>
        <w:rPr>
          <w:rFonts w:eastAsia="標楷體"/>
          <w:bCs/>
          <w:sz w:val="28"/>
          <w:u w:val="single"/>
        </w:rPr>
      </w:pPr>
      <w:r w:rsidRPr="00520131">
        <w:rPr>
          <w:rFonts w:eastAsia="標楷體" w:hint="eastAsia"/>
          <w:bCs/>
          <w:sz w:val="28"/>
          <w:u w:val="single"/>
          <w:lang w:eastAsia="zh-HK"/>
        </w:rPr>
        <w:t>禁</w:t>
      </w:r>
      <w:r w:rsidRPr="00520131">
        <w:rPr>
          <w:rFonts w:eastAsia="標楷體" w:hint="eastAsia"/>
          <w:bCs/>
          <w:sz w:val="28"/>
          <w:u w:val="single"/>
        </w:rPr>
        <w:t>毒</w:t>
      </w:r>
      <w:r w:rsidRPr="00520131">
        <w:rPr>
          <w:rFonts w:eastAsia="標楷體" w:hint="eastAsia"/>
          <w:bCs/>
          <w:sz w:val="28"/>
          <w:u w:val="single"/>
          <w:lang w:eastAsia="zh-HK"/>
        </w:rPr>
        <w:t>工</w:t>
      </w:r>
      <w:r w:rsidRPr="00520131">
        <w:rPr>
          <w:rFonts w:eastAsia="標楷體" w:hint="eastAsia"/>
          <w:bCs/>
          <w:sz w:val="28"/>
          <w:u w:val="single"/>
        </w:rPr>
        <w:t>作</w:t>
      </w:r>
    </w:p>
    <w:p w:rsidR="00747021" w:rsidRDefault="00747021" w:rsidP="00747021">
      <w:pPr>
        <w:pStyle w:val="2"/>
        <w:tabs>
          <w:tab w:val="left" w:pos="1440"/>
        </w:tabs>
        <w:adjustRightInd w:val="0"/>
        <w:snapToGrid w:val="0"/>
        <w:spacing w:after="0" w:line="400" w:lineRule="atLeast"/>
        <w:jc w:val="both"/>
        <w:rPr>
          <w:rFonts w:eastAsia="標楷體"/>
          <w:bCs/>
          <w:sz w:val="28"/>
          <w:u w:val="single"/>
        </w:rPr>
      </w:pPr>
    </w:p>
    <w:p w:rsidR="00747021" w:rsidRPr="00B42BFD" w:rsidRDefault="00747021" w:rsidP="00747021">
      <w:pPr>
        <w:pStyle w:val="2"/>
        <w:tabs>
          <w:tab w:val="left" w:pos="1440"/>
        </w:tabs>
        <w:adjustRightInd w:val="0"/>
        <w:snapToGrid w:val="0"/>
        <w:spacing w:after="0" w:line="400" w:lineRule="atLeast"/>
        <w:jc w:val="both"/>
        <w:rPr>
          <w:rFonts w:eastAsia="標楷體"/>
          <w:bCs/>
          <w:sz w:val="28"/>
          <w:u w:val="single"/>
          <w:lang w:eastAsia="zh-HK"/>
        </w:rPr>
      </w:pPr>
      <w:r>
        <w:rPr>
          <w:rFonts w:eastAsia="標楷體" w:hint="eastAsia"/>
          <w:sz w:val="28"/>
          <w:szCs w:val="28"/>
        </w:rPr>
        <w:t>5.</w:t>
      </w:r>
      <w:r w:rsidRPr="002A4C01">
        <w:rPr>
          <w:rFonts w:eastAsia="標楷體"/>
          <w:sz w:val="28"/>
          <w:szCs w:val="28"/>
        </w:rPr>
        <w:tab/>
      </w:r>
      <w:r w:rsidRPr="00B42BFD">
        <w:rPr>
          <w:rFonts w:eastAsia="標楷體" w:hint="eastAsia"/>
          <w:sz w:val="28"/>
          <w:szCs w:val="28"/>
        </w:rPr>
        <w:t>如上一次報告第</w:t>
      </w:r>
      <w:r w:rsidRPr="00B42BFD">
        <w:rPr>
          <w:rFonts w:eastAsia="標楷體"/>
          <w:sz w:val="28"/>
          <w:szCs w:val="28"/>
        </w:rPr>
        <w:t>12.119</w:t>
      </w:r>
      <w:r w:rsidRPr="00B42BFD">
        <w:rPr>
          <w:rFonts w:eastAsia="標楷體" w:hint="eastAsia"/>
          <w:sz w:val="28"/>
          <w:szCs w:val="28"/>
        </w:rPr>
        <w:t>段所述，我們的禁毒政策及措施建基於五管齊下的策略，涵蓋預防教育和宣傳、戒毒治療和康復服務、立法和執法、對外合作及研究工作。禁毒是長期工作，需要持續循上述策略協力進行，以應對最新的毒品趨勢。</w:t>
      </w:r>
    </w:p>
    <w:p w:rsidR="00747021" w:rsidRDefault="00747021" w:rsidP="00747021">
      <w:pPr>
        <w:pStyle w:val="2"/>
        <w:tabs>
          <w:tab w:val="left" w:pos="1440"/>
        </w:tabs>
        <w:adjustRightInd w:val="0"/>
        <w:snapToGrid w:val="0"/>
        <w:spacing w:after="0" w:line="400" w:lineRule="atLeast"/>
        <w:jc w:val="center"/>
        <w:rPr>
          <w:rFonts w:eastAsia="標楷體"/>
          <w:b/>
          <w:bCs/>
          <w:sz w:val="28"/>
          <w:lang w:eastAsia="zh-HK"/>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2A4C01">
        <w:rPr>
          <w:rFonts w:cs="Times New Roman" w:hint="eastAsia"/>
          <w:kern w:val="0"/>
          <w:szCs w:val="28"/>
          <w:u w:val="single"/>
        </w:rPr>
        <w:t>預防教育和宣傳</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6.</w:t>
      </w:r>
      <w:r w:rsidRPr="002A4C01">
        <w:rPr>
          <w:rFonts w:cs="Times New Roman"/>
          <w:kern w:val="0"/>
          <w:szCs w:val="28"/>
        </w:rPr>
        <w:tab/>
      </w:r>
      <w:r w:rsidRPr="002A4C01">
        <w:rPr>
          <w:rFonts w:cs="Times New Roman" w:hint="eastAsia"/>
          <w:kern w:val="0"/>
          <w:szCs w:val="28"/>
        </w:rPr>
        <w:t>預防教育和宣傳旨在加強社區認識最新的毒品問題和求助的途徑。近年，我們重點提升公眾對流行毒品禍害的認知、推動及早辨識隱蔽吸毒者，以及鼓勵盡早求助。就青少年及年輕成年人，我們透過不同電子平台，例如受歡迎的網站、流動應用程式及社交媒體，持續推廣禁毒訊息。我們亦與不同機構合作，在年輕人常到的場所舉辦合適的項目。</w:t>
      </w:r>
      <w:r w:rsidRPr="002A4C01">
        <w:rPr>
          <w:rFonts w:cs="Times New Roman"/>
          <w:kern w:val="0"/>
          <w:szCs w:val="28"/>
        </w:rPr>
        <w:t>24</w:t>
      </w:r>
      <w:r w:rsidRPr="002A4C01">
        <w:rPr>
          <w:rFonts w:cs="Times New Roman" w:hint="eastAsia"/>
          <w:kern w:val="0"/>
          <w:szCs w:val="28"/>
        </w:rPr>
        <w:t>小時電話求助熱線及即時通訊服務分別自</w:t>
      </w:r>
      <w:r w:rsidRPr="002A4C01">
        <w:rPr>
          <w:rFonts w:cs="Times New Roman"/>
          <w:kern w:val="0"/>
          <w:szCs w:val="28"/>
        </w:rPr>
        <w:t>2012</w:t>
      </w:r>
      <w:r w:rsidRPr="002A4C01">
        <w:rPr>
          <w:rFonts w:cs="Times New Roman" w:hint="eastAsia"/>
          <w:kern w:val="0"/>
          <w:szCs w:val="28"/>
        </w:rPr>
        <w:t>年及</w:t>
      </w:r>
      <w:r w:rsidRPr="002A4C01">
        <w:rPr>
          <w:rFonts w:cs="Times New Roman"/>
          <w:kern w:val="0"/>
          <w:szCs w:val="28"/>
        </w:rPr>
        <w:t>2014</w:t>
      </w:r>
      <w:r w:rsidRPr="002A4C01">
        <w:rPr>
          <w:rFonts w:cs="Times New Roman" w:hint="eastAsia"/>
          <w:kern w:val="0"/>
          <w:szCs w:val="28"/>
        </w:rPr>
        <w:t>年投入運作，提供即時協助。</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7.</w:t>
      </w:r>
      <w:r w:rsidRPr="002A4C01">
        <w:rPr>
          <w:rFonts w:cs="Times New Roman"/>
          <w:kern w:val="0"/>
          <w:szCs w:val="28"/>
        </w:rPr>
        <w:tab/>
      </w:r>
      <w:r w:rsidRPr="002A4C01">
        <w:rPr>
          <w:rFonts w:cs="Times New Roman" w:hint="eastAsia"/>
          <w:kern w:val="0"/>
          <w:szCs w:val="28"/>
        </w:rPr>
        <w:t>香港賽馬會藥物資訊天地繼續作為禁毒預防教育和宣傳及業界交流的中心。我們繼續為個別目標群組舉辦不同的項目，包括向年輕人推廣健康生活的展覽、活動和分享會，以及為學生、家長及抗毒伙伴安排的參觀和講座等。藥物資訊天地於</w:t>
      </w:r>
      <w:r w:rsidRPr="002A4C01">
        <w:rPr>
          <w:rFonts w:cs="Times New Roman"/>
          <w:kern w:val="0"/>
          <w:szCs w:val="28"/>
        </w:rPr>
        <w:t>2004</w:t>
      </w:r>
      <w:r w:rsidRPr="002A4C01">
        <w:rPr>
          <w:rFonts w:cs="Times New Roman" w:hint="eastAsia"/>
          <w:kern w:val="0"/>
          <w:szCs w:val="28"/>
        </w:rPr>
        <w:t>年啟用，直至</w:t>
      </w:r>
      <w:r w:rsidRPr="00EF2927">
        <w:rPr>
          <w:rFonts w:cs="Times New Roman"/>
          <w:spacing w:val="2"/>
          <w:kern w:val="0"/>
          <w:szCs w:val="28"/>
        </w:rPr>
        <w:t>2018</w:t>
      </w:r>
      <w:r w:rsidRPr="00EF2927">
        <w:rPr>
          <w:rFonts w:cs="Times New Roman" w:hint="eastAsia"/>
          <w:spacing w:val="2"/>
          <w:kern w:val="0"/>
          <w:szCs w:val="28"/>
        </w:rPr>
        <w:t>年底，已接待超過</w:t>
      </w:r>
      <w:r w:rsidRPr="00EF2927">
        <w:rPr>
          <w:rFonts w:cs="Times New Roman"/>
          <w:spacing w:val="2"/>
          <w:kern w:val="0"/>
          <w:szCs w:val="28"/>
        </w:rPr>
        <w:t>507 000</w:t>
      </w:r>
      <w:r w:rsidRPr="00EF2927">
        <w:rPr>
          <w:rFonts w:cs="Times New Roman" w:hint="eastAsia"/>
          <w:spacing w:val="2"/>
          <w:kern w:val="0"/>
          <w:szCs w:val="28"/>
        </w:rPr>
        <w:t>名訪客。藥物資訊天地已運作超過</w:t>
      </w:r>
      <w:r w:rsidRPr="00EF2927">
        <w:rPr>
          <w:rFonts w:cs="Times New Roman"/>
          <w:spacing w:val="2"/>
          <w:kern w:val="0"/>
          <w:szCs w:val="28"/>
        </w:rPr>
        <w:t>10</w:t>
      </w:r>
      <w:r w:rsidRPr="002A4C01">
        <w:rPr>
          <w:rFonts w:cs="Times New Roman" w:hint="eastAsia"/>
          <w:kern w:val="0"/>
          <w:szCs w:val="28"/>
        </w:rPr>
        <w:t>年，行將翻新硬件和展覽品。</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lastRenderedPageBreak/>
        <w:t>8.</w:t>
      </w:r>
      <w:r w:rsidRPr="002A4C01">
        <w:rPr>
          <w:rFonts w:cs="Times New Roman"/>
          <w:kern w:val="0"/>
          <w:szCs w:val="28"/>
        </w:rPr>
        <w:tab/>
      </w:r>
      <w:r w:rsidRPr="002A4C01">
        <w:rPr>
          <w:rFonts w:cs="Times New Roman" w:hint="eastAsia"/>
          <w:kern w:val="0"/>
          <w:szCs w:val="28"/>
        </w:rPr>
        <w:t>學校方面，如上一次報告第</w:t>
      </w:r>
      <w:r w:rsidRPr="002A4C01">
        <w:rPr>
          <w:rFonts w:cs="Times New Roman"/>
          <w:kern w:val="0"/>
          <w:szCs w:val="28"/>
        </w:rPr>
        <w:t>12.126</w:t>
      </w:r>
      <w:r w:rsidRPr="002A4C01">
        <w:rPr>
          <w:rFonts w:cs="Times New Roman" w:hint="eastAsia"/>
          <w:kern w:val="0"/>
          <w:szCs w:val="28"/>
        </w:rPr>
        <w:t>至</w:t>
      </w:r>
      <w:r w:rsidRPr="002A4C01">
        <w:rPr>
          <w:rFonts w:cs="Times New Roman"/>
          <w:kern w:val="0"/>
          <w:szCs w:val="28"/>
        </w:rPr>
        <w:t>12.128</w:t>
      </w:r>
      <w:r w:rsidRPr="002A4C01">
        <w:rPr>
          <w:rFonts w:cs="Times New Roman" w:hint="eastAsia"/>
          <w:kern w:val="0"/>
          <w:szCs w:val="28"/>
        </w:rPr>
        <w:t>段所述，我們繼續為教師、學校管理人員及學生安排合適的禁毒培訓。中學則獲提供資源推行含測檢元素的「健康校園計劃」（該計劃是繼上一次報告第</w:t>
      </w:r>
      <w:r w:rsidRPr="002A4C01">
        <w:rPr>
          <w:rFonts w:cs="Times New Roman"/>
          <w:kern w:val="0"/>
          <w:szCs w:val="28"/>
        </w:rPr>
        <w:t>12.137</w:t>
      </w:r>
      <w:r w:rsidRPr="002A4C01">
        <w:rPr>
          <w:rFonts w:cs="Times New Roman" w:hint="eastAsia"/>
          <w:kern w:val="0"/>
          <w:szCs w:val="28"/>
        </w:rPr>
        <w:t>段所述，</w:t>
      </w:r>
      <w:r w:rsidRPr="002A4C01">
        <w:rPr>
          <w:rFonts w:cs="Times New Roman"/>
          <w:kern w:val="0"/>
          <w:szCs w:val="28"/>
        </w:rPr>
        <w:t>2009-10</w:t>
      </w:r>
      <w:r w:rsidRPr="002A4C01">
        <w:rPr>
          <w:rFonts w:cs="Times New Roman" w:hint="eastAsia"/>
          <w:kern w:val="0"/>
          <w:szCs w:val="28"/>
        </w:rPr>
        <w:t>及</w:t>
      </w:r>
      <w:r w:rsidRPr="002A4C01">
        <w:rPr>
          <w:rFonts w:cs="Times New Roman"/>
          <w:kern w:val="0"/>
          <w:szCs w:val="28"/>
        </w:rPr>
        <w:t>2010-11</w:t>
      </w:r>
      <w:r w:rsidRPr="002A4C01">
        <w:rPr>
          <w:rFonts w:cs="Times New Roman" w:hint="eastAsia"/>
          <w:kern w:val="0"/>
          <w:szCs w:val="28"/>
        </w:rPr>
        <w:t>學年試行計劃順利推行後而在</w:t>
      </w:r>
      <w:r w:rsidRPr="002A4C01">
        <w:rPr>
          <w:rFonts w:cs="Times New Roman"/>
          <w:kern w:val="0"/>
          <w:szCs w:val="28"/>
        </w:rPr>
        <w:t>2011-12</w:t>
      </w:r>
      <w:r w:rsidRPr="002A4C01">
        <w:rPr>
          <w:rFonts w:cs="Times New Roman" w:hint="eastAsia"/>
          <w:kern w:val="0"/>
          <w:szCs w:val="28"/>
        </w:rPr>
        <w:t>學年開展），作為以學校為本的預防教育措施，目的是幫助學生建立健康生活方式和正面人生態度、加強學生拒絕毒品的決心，以及建立無毒校園文化。</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2A4C01">
        <w:rPr>
          <w:rFonts w:cs="Times New Roman" w:hint="eastAsia"/>
          <w:kern w:val="0"/>
          <w:szCs w:val="28"/>
          <w:u w:val="single"/>
        </w:rPr>
        <w:t>戒毒治療和康復服務</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9.</w:t>
      </w:r>
      <w:r w:rsidRPr="002A4C01">
        <w:rPr>
          <w:rFonts w:cs="Times New Roman"/>
          <w:kern w:val="0"/>
          <w:szCs w:val="28"/>
        </w:rPr>
        <w:tab/>
      </w:r>
      <w:r w:rsidRPr="002A4C01">
        <w:rPr>
          <w:rFonts w:cs="Times New Roman" w:hint="eastAsia"/>
          <w:kern w:val="0"/>
          <w:szCs w:val="28"/>
        </w:rPr>
        <w:t>如第一次報告第</w:t>
      </w:r>
      <w:r w:rsidRPr="002A4C01">
        <w:rPr>
          <w:rFonts w:cs="Times New Roman"/>
          <w:kern w:val="0"/>
          <w:szCs w:val="28"/>
        </w:rPr>
        <w:t>294</w:t>
      </w:r>
      <w:r w:rsidRPr="002A4C01">
        <w:rPr>
          <w:rFonts w:cs="Times New Roman" w:hint="eastAsia"/>
          <w:kern w:val="0"/>
          <w:szCs w:val="28"/>
        </w:rPr>
        <w:t>至</w:t>
      </w:r>
      <w:r w:rsidRPr="002A4C01">
        <w:rPr>
          <w:rFonts w:cs="Times New Roman"/>
          <w:kern w:val="0"/>
          <w:szCs w:val="28"/>
        </w:rPr>
        <w:t>298</w:t>
      </w:r>
      <w:r w:rsidRPr="002A4C01">
        <w:rPr>
          <w:rFonts w:cs="Times New Roman" w:hint="eastAsia"/>
          <w:kern w:val="0"/>
          <w:szCs w:val="28"/>
        </w:rPr>
        <w:t>段及上一次報告第</w:t>
      </w:r>
      <w:r w:rsidRPr="002A4C01">
        <w:rPr>
          <w:rFonts w:cs="Times New Roman"/>
          <w:kern w:val="0"/>
          <w:szCs w:val="28"/>
        </w:rPr>
        <w:t>12.131</w:t>
      </w:r>
      <w:r w:rsidRPr="002A4C01">
        <w:rPr>
          <w:rFonts w:cs="Times New Roman" w:hint="eastAsia"/>
          <w:kern w:val="0"/>
          <w:szCs w:val="28"/>
        </w:rPr>
        <w:t>至</w:t>
      </w:r>
      <w:r w:rsidRPr="002A4C01">
        <w:rPr>
          <w:rFonts w:cs="Times New Roman"/>
          <w:kern w:val="0"/>
          <w:szCs w:val="28"/>
        </w:rPr>
        <w:t>12.136</w:t>
      </w:r>
      <w:r w:rsidRPr="002A4C01">
        <w:rPr>
          <w:rFonts w:cs="Times New Roman" w:hint="eastAsia"/>
          <w:kern w:val="0"/>
          <w:szCs w:val="28"/>
        </w:rPr>
        <w:t>段所述，我們繼續採用多模式服務，以照顧吸毒者的不同戒毒治療和康復需要，當中包括懲教署在轄下戒毒所推行的強迫戒毒計劃、非政府機構在戒毒治療及康復中心推行的自願住院計劃、衞生署管理的美沙酮自願門診治療計劃、醫管局轄下的物質誤用診所，以及由非政府機構以社區為本為吸食危害精神毒品者營辦的輔導中心和為吸毒者營辦的戒毒輔導服務中心。</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10.</w:t>
      </w:r>
      <w:r w:rsidRPr="002A4C01">
        <w:rPr>
          <w:rFonts w:cs="Times New Roman"/>
          <w:kern w:val="0"/>
          <w:szCs w:val="28"/>
        </w:rPr>
        <w:tab/>
      </w:r>
      <w:r w:rsidRPr="002A4C01">
        <w:rPr>
          <w:rFonts w:cs="Times New Roman" w:hint="eastAsia"/>
          <w:kern w:val="0"/>
          <w:szCs w:val="28"/>
        </w:rPr>
        <w:t>我們自</w:t>
      </w:r>
      <w:r w:rsidRPr="002A4C01">
        <w:rPr>
          <w:rFonts w:cs="Times New Roman"/>
          <w:kern w:val="0"/>
          <w:szCs w:val="28"/>
        </w:rPr>
        <w:t>1997</w:t>
      </w:r>
      <w:r w:rsidRPr="002A4C01">
        <w:rPr>
          <w:rFonts w:cs="Times New Roman" w:hint="eastAsia"/>
          <w:kern w:val="0"/>
          <w:szCs w:val="28"/>
        </w:rPr>
        <w:t>年與禁毒界的持份者共同制定戒毒治療和康復服務三年計劃，釐定有關服務的優次和策略，作為服務提供者的參考，以便他們檢討有關服務，以及因應最新的吸毒情況，發展相應的計劃和項目。我們在</w:t>
      </w:r>
      <w:r w:rsidRPr="002A4C01">
        <w:rPr>
          <w:rFonts w:cs="Times New Roman"/>
          <w:kern w:val="0"/>
          <w:szCs w:val="28"/>
        </w:rPr>
        <w:t>2018</w:t>
      </w:r>
      <w:r w:rsidRPr="002A4C01">
        <w:rPr>
          <w:rFonts w:cs="Times New Roman" w:hint="eastAsia"/>
          <w:kern w:val="0"/>
          <w:szCs w:val="28"/>
        </w:rPr>
        <w:t>年</w:t>
      </w:r>
      <w:r w:rsidRPr="002A4C01">
        <w:rPr>
          <w:rFonts w:cs="Times New Roman"/>
          <w:kern w:val="0"/>
          <w:szCs w:val="28"/>
        </w:rPr>
        <w:t>3</w:t>
      </w:r>
      <w:r w:rsidRPr="002A4C01">
        <w:rPr>
          <w:rFonts w:cs="Times New Roman" w:hint="eastAsia"/>
          <w:kern w:val="0"/>
          <w:szCs w:val="28"/>
        </w:rPr>
        <w:t>月發布了《香港戒毒治療和康復服務三年計劃（</w:t>
      </w:r>
      <w:r w:rsidRPr="002A4C01">
        <w:rPr>
          <w:rFonts w:cs="Times New Roman"/>
          <w:kern w:val="0"/>
          <w:szCs w:val="28"/>
        </w:rPr>
        <w:t>2018-2020</w:t>
      </w:r>
      <w:r w:rsidRPr="002A4C01">
        <w:rPr>
          <w:rFonts w:cs="Times New Roman" w:hint="eastAsia"/>
          <w:kern w:val="0"/>
          <w:szCs w:val="28"/>
        </w:rPr>
        <w:t>）》。該計劃是根據禁毒服務提供者及持份者的</w:t>
      </w:r>
      <w:r w:rsidRPr="008C02ED">
        <w:rPr>
          <w:rFonts w:cs="Times New Roman" w:hint="eastAsia"/>
          <w:spacing w:val="2"/>
          <w:kern w:val="0"/>
          <w:szCs w:val="28"/>
        </w:rPr>
        <w:t>意見及構思擬備，就四個主要議題釐定戒毒治療和康復服務的策略性</w:t>
      </w:r>
      <w:r w:rsidRPr="008C02ED">
        <w:rPr>
          <w:rFonts w:cs="Times New Roman" w:hint="eastAsia"/>
          <w:spacing w:val="4"/>
          <w:kern w:val="0"/>
          <w:szCs w:val="28"/>
        </w:rPr>
        <w:t>方向，即有吸食「冰毒」問題的人士、隱蔽吸毒、年齡介乎</w:t>
      </w:r>
      <w:r w:rsidRPr="008C02ED">
        <w:rPr>
          <w:rFonts w:cs="Times New Roman"/>
          <w:spacing w:val="4"/>
          <w:kern w:val="0"/>
          <w:szCs w:val="28"/>
        </w:rPr>
        <w:t>21</w:t>
      </w:r>
      <w:r w:rsidRPr="008C02ED">
        <w:rPr>
          <w:rFonts w:cs="Times New Roman" w:hint="eastAsia"/>
          <w:spacing w:val="4"/>
          <w:kern w:val="0"/>
          <w:szCs w:val="28"/>
        </w:rPr>
        <w:t>至</w:t>
      </w:r>
      <w:r w:rsidRPr="008C02ED">
        <w:rPr>
          <w:rFonts w:cs="Times New Roman"/>
          <w:spacing w:val="2"/>
          <w:kern w:val="0"/>
          <w:szCs w:val="28"/>
        </w:rPr>
        <w:t>35</w:t>
      </w:r>
      <w:r w:rsidRPr="008C02ED">
        <w:rPr>
          <w:rFonts w:cs="Times New Roman" w:hint="eastAsia"/>
          <w:spacing w:val="2"/>
          <w:kern w:val="0"/>
          <w:szCs w:val="28"/>
        </w:rPr>
        <w:t>歲的年輕成年吸毒者的比例較高，以及有吸毒問題的特定群組，包</w:t>
      </w:r>
      <w:r w:rsidRPr="002A4C01">
        <w:rPr>
          <w:rFonts w:cs="Times New Roman" w:hint="eastAsia"/>
          <w:kern w:val="0"/>
          <w:szCs w:val="28"/>
        </w:rPr>
        <w:t>括少數族裔及性小眾吸毒者，以及懷孕吸毒者／吸毒母親。該計劃有助禁毒服務提供者檢討和制定這三年期間的計劃及項目。</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11.</w:t>
      </w:r>
      <w:r w:rsidRPr="002A4C01">
        <w:rPr>
          <w:rFonts w:cs="Times New Roman"/>
          <w:kern w:val="0"/>
          <w:szCs w:val="28"/>
        </w:rPr>
        <w:tab/>
      </w:r>
      <w:r w:rsidRPr="002A4C01">
        <w:rPr>
          <w:rFonts w:cs="Times New Roman" w:hint="eastAsia"/>
          <w:kern w:val="0"/>
          <w:szCs w:val="28"/>
        </w:rPr>
        <w:t>自上一次報告後，我們繼續增撥額外資源，積極推動和實施相關措施。自</w:t>
      </w:r>
      <w:r w:rsidRPr="002A4C01">
        <w:rPr>
          <w:rFonts w:cs="Times New Roman"/>
          <w:kern w:val="0"/>
          <w:szCs w:val="28"/>
        </w:rPr>
        <w:t>2011-12</w:t>
      </w:r>
      <w:r w:rsidRPr="002A4C01">
        <w:rPr>
          <w:rFonts w:cs="Times New Roman" w:hint="eastAsia"/>
          <w:kern w:val="0"/>
          <w:szCs w:val="28"/>
        </w:rPr>
        <w:t>年，我們每年增撥約</w:t>
      </w:r>
      <w:r w:rsidRPr="002A4C01">
        <w:rPr>
          <w:rFonts w:cs="Times New Roman"/>
          <w:kern w:val="0"/>
          <w:szCs w:val="28"/>
        </w:rPr>
        <w:t>5,000</w:t>
      </w:r>
      <w:r w:rsidRPr="002A4C01">
        <w:rPr>
          <w:rFonts w:cs="Times New Roman" w:hint="eastAsia"/>
          <w:kern w:val="0"/>
          <w:szCs w:val="28"/>
        </w:rPr>
        <w:t>萬元的經常性撥款，以增加兩成學校社工的人手，進行聚焦的抗毒工作，並加強相關的輔導工作。上一次報告第</w:t>
      </w:r>
      <w:r w:rsidRPr="002A4C01">
        <w:rPr>
          <w:rFonts w:cs="Times New Roman"/>
          <w:kern w:val="0"/>
          <w:szCs w:val="28"/>
        </w:rPr>
        <w:t>12.134</w:t>
      </w:r>
      <w:r w:rsidRPr="002A4C01">
        <w:rPr>
          <w:rFonts w:cs="Times New Roman" w:hint="eastAsia"/>
          <w:kern w:val="0"/>
          <w:szCs w:val="28"/>
        </w:rPr>
        <w:t>段所述的加強感化服務試行計劃，</w:t>
      </w:r>
      <w:r w:rsidRPr="002A4C01">
        <w:rPr>
          <w:rFonts w:cs="Times New Roman" w:hint="eastAsia"/>
          <w:kern w:val="0"/>
          <w:szCs w:val="28"/>
        </w:rPr>
        <w:lastRenderedPageBreak/>
        <w:t>已自</w:t>
      </w:r>
      <w:r w:rsidRPr="002A4C01">
        <w:rPr>
          <w:rFonts w:cs="Times New Roman"/>
          <w:kern w:val="0"/>
          <w:szCs w:val="28"/>
        </w:rPr>
        <w:t>2016-17</w:t>
      </w:r>
      <w:r w:rsidRPr="002A4C01">
        <w:rPr>
          <w:rFonts w:cs="Times New Roman" w:hint="eastAsia"/>
          <w:kern w:val="0"/>
          <w:szCs w:val="28"/>
        </w:rPr>
        <w:t>年常規化為長期服務。而以社區為本的輔導中心獲增加資源，以提供實地醫療支援服務。</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12.</w:t>
      </w:r>
      <w:r w:rsidRPr="002A4C01">
        <w:rPr>
          <w:rFonts w:cs="Times New Roman"/>
          <w:kern w:val="0"/>
          <w:szCs w:val="28"/>
        </w:rPr>
        <w:tab/>
      </w:r>
      <w:r w:rsidRPr="002A4C01">
        <w:rPr>
          <w:rFonts w:cs="Times New Roman" w:hint="eastAsia"/>
          <w:kern w:val="0"/>
          <w:szCs w:val="28"/>
        </w:rPr>
        <w:t>有關上一次報告第</w:t>
      </w:r>
      <w:r w:rsidRPr="002A4C01">
        <w:rPr>
          <w:rFonts w:cs="Times New Roman"/>
          <w:kern w:val="0"/>
          <w:szCs w:val="28"/>
        </w:rPr>
        <w:t>12.137</w:t>
      </w:r>
      <w:r w:rsidRPr="002A4C01">
        <w:rPr>
          <w:rFonts w:cs="Times New Roman" w:hint="eastAsia"/>
          <w:kern w:val="0"/>
          <w:szCs w:val="28"/>
        </w:rPr>
        <w:t>段提及的社區驗毒，禁毒常務委員會作為政府的禁毒諮詢組織，在</w:t>
      </w:r>
      <w:r w:rsidRPr="002A4C01">
        <w:rPr>
          <w:rFonts w:cs="Times New Roman"/>
          <w:kern w:val="0"/>
          <w:szCs w:val="28"/>
        </w:rPr>
        <w:t>2013</w:t>
      </w:r>
      <w:r w:rsidRPr="002A4C01">
        <w:rPr>
          <w:rFonts w:cs="Times New Roman" w:hint="eastAsia"/>
          <w:kern w:val="0"/>
          <w:szCs w:val="28"/>
        </w:rPr>
        <w:t>年</w:t>
      </w:r>
      <w:r w:rsidRPr="002A4C01">
        <w:rPr>
          <w:rFonts w:cs="Times New Roman"/>
          <w:kern w:val="0"/>
          <w:szCs w:val="28"/>
        </w:rPr>
        <w:t>9</w:t>
      </w:r>
      <w:r w:rsidRPr="002A4C01">
        <w:rPr>
          <w:rFonts w:cs="Times New Roman" w:hint="eastAsia"/>
          <w:kern w:val="0"/>
          <w:szCs w:val="28"/>
        </w:rPr>
        <w:t>月至</w:t>
      </w:r>
      <w:r w:rsidRPr="002A4C01">
        <w:rPr>
          <w:rFonts w:cs="Times New Roman"/>
          <w:kern w:val="0"/>
          <w:szCs w:val="28"/>
        </w:rPr>
        <w:t>2014</w:t>
      </w:r>
      <w:r w:rsidRPr="002A4C01">
        <w:rPr>
          <w:rFonts w:cs="Times New Roman" w:hint="eastAsia"/>
          <w:kern w:val="0"/>
          <w:szCs w:val="28"/>
        </w:rPr>
        <w:t>年</w:t>
      </w:r>
      <w:r w:rsidRPr="002A4C01">
        <w:rPr>
          <w:rFonts w:cs="Times New Roman"/>
          <w:kern w:val="0"/>
          <w:szCs w:val="28"/>
        </w:rPr>
        <w:t>1</w:t>
      </w:r>
      <w:r w:rsidRPr="002A4C01">
        <w:rPr>
          <w:rFonts w:cs="Times New Roman" w:hint="eastAsia"/>
          <w:kern w:val="0"/>
          <w:szCs w:val="28"/>
        </w:rPr>
        <w:t>月進行了「驗毒助康復計劃」公眾諮詢，收到不同的意見。在</w:t>
      </w:r>
      <w:r w:rsidRPr="002A4C01">
        <w:rPr>
          <w:rFonts w:cs="Times New Roman"/>
          <w:kern w:val="0"/>
          <w:szCs w:val="28"/>
        </w:rPr>
        <w:t>2014</w:t>
      </w:r>
      <w:r w:rsidRPr="002A4C01">
        <w:rPr>
          <w:rFonts w:cs="Times New Roman" w:hint="eastAsia"/>
          <w:kern w:val="0"/>
          <w:szCs w:val="28"/>
        </w:rPr>
        <w:t>年</w:t>
      </w:r>
      <w:r w:rsidRPr="002A4C01">
        <w:rPr>
          <w:rFonts w:cs="Times New Roman"/>
          <w:kern w:val="0"/>
          <w:szCs w:val="28"/>
        </w:rPr>
        <w:t>7</w:t>
      </w:r>
      <w:r w:rsidRPr="002A4C01">
        <w:rPr>
          <w:rFonts w:cs="Times New Roman" w:hint="eastAsia"/>
          <w:kern w:val="0"/>
          <w:szCs w:val="28"/>
        </w:rPr>
        <w:t>月公佈諮詢總結時，禁毒常務委員會建議政府繼續與持份者、專業團體及公眾進行討論；探討可行方案處理他們的關注；以及研究設立一套能有效平衡給予吸毒者機會，而又能使他們接受輔導及治療的後續跟進機制，以進行第二階段諮詢。我們會繼續與相關界別和持份者保持溝通。</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13.</w:t>
      </w:r>
      <w:r w:rsidRPr="002A4C01">
        <w:rPr>
          <w:rFonts w:cs="Times New Roman"/>
          <w:kern w:val="0"/>
          <w:szCs w:val="28"/>
        </w:rPr>
        <w:tab/>
      </w:r>
      <w:r w:rsidRPr="002A4C01">
        <w:rPr>
          <w:rFonts w:cs="Times New Roman" w:hint="eastAsia"/>
          <w:kern w:val="0"/>
          <w:szCs w:val="28"/>
        </w:rPr>
        <w:t>就上一次報告第</w:t>
      </w:r>
      <w:r w:rsidRPr="002A4C01">
        <w:rPr>
          <w:rFonts w:cs="Times New Roman"/>
          <w:kern w:val="0"/>
          <w:szCs w:val="28"/>
        </w:rPr>
        <w:t>12.139</w:t>
      </w:r>
      <w:r w:rsidRPr="002A4C01">
        <w:rPr>
          <w:rFonts w:cs="Times New Roman" w:hint="eastAsia"/>
          <w:kern w:val="0"/>
          <w:szCs w:val="28"/>
        </w:rPr>
        <w:t>段所述的頭髮驗毒，有關技術已在</w:t>
      </w:r>
      <w:r w:rsidRPr="002A4C01">
        <w:rPr>
          <w:rFonts w:cs="Times New Roman"/>
          <w:kern w:val="0"/>
          <w:szCs w:val="28"/>
        </w:rPr>
        <w:t>2011</w:t>
      </w:r>
      <w:r w:rsidRPr="002A4C01">
        <w:rPr>
          <w:rFonts w:cs="Times New Roman" w:hint="eastAsia"/>
          <w:kern w:val="0"/>
          <w:szCs w:val="28"/>
        </w:rPr>
        <w:t>年轉移業界。此外，在政府的禁毒基金撥款支持下，一所本地大學開發了頭髮驗毒平台，可供社區使用，測試方法在</w:t>
      </w:r>
      <w:r w:rsidRPr="002A4C01">
        <w:rPr>
          <w:rFonts w:cs="Times New Roman"/>
          <w:kern w:val="0"/>
          <w:szCs w:val="28"/>
        </w:rPr>
        <w:t>2014</w:t>
      </w:r>
      <w:r w:rsidRPr="002A4C01">
        <w:rPr>
          <w:rFonts w:cs="Times New Roman" w:hint="eastAsia"/>
          <w:kern w:val="0"/>
          <w:szCs w:val="28"/>
        </w:rPr>
        <w:t>年獲得相關認證。</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2A4C01">
        <w:rPr>
          <w:rFonts w:cs="Times New Roman" w:hint="eastAsia"/>
          <w:kern w:val="0"/>
          <w:szCs w:val="28"/>
          <w:u w:val="single"/>
        </w:rPr>
        <w:t>立法、執法及對外合作</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14.</w:t>
      </w:r>
      <w:r w:rsidRPr="002A4C01">
        <w:rPr>
          <w:rFonts w:cs="Times New Roman"/>
          <w:kern w:val="0"/>
          <w:szCs w:val="28"/>
        </w:rPr>
        <w:tab/>
      </w:r>
      <w:r w:rsidRPr="002A4C01">
        <w:rPr>
          <w:rFonts w:cs="Times New Roman" w:hint="eastAsia"/>
          <w:kern w:val="0"/>
          <w:szCs w:val="28"/>
        </w:rPr>
        <w:t>如上一次報告第</w:t>
      </w:r>
      <w:r w:rsidRPr="002A4C01">
        <w:rPr>
          <w:rFonts w:cs="Times New Roman"/>
          <w:kern w:val="0"/>
          <w:szCs w:val="28"/>
        </w:rPr>
        <w:t>12.120</w:t>
      </w:r>
      <w:r w:rsidRPr="002A4C01">
        <w:rPr>
          <w:rFonts w:cs="Times New Roman" w:hint="eastAsia"/>
          <w:kern w:val="0"/>
          <w:szCs w:val="28"/>
        </w:rPr>
        <w:t>至</w:t>
      </w:r>
      <w:r w:rsidRPr="002A4C01">
        <w:rPr>
          <w:rFonts w:cs="Times New Roman"/>
          <w:kern w:val="0"/>
          <w:szCs w:val="28"/>
        </w:rPr>
        <w:t>12.124</w:t>
      </w:r>
      <w:r w:rsidRPr="002A4C01">
        <w:rPr>
          <w:rFonts w:cs="Times New Roman" w:hint="eastAsia"/>
          <w:kern w:val="0"/>
          <w:szCs w:val="28"/>
        </w:rPr>
        <w:t>段所述，我們繼續定期檢視有關危險藥物的法例，並嚴格執法。我們注視海外及本地的毒品趨勢和相關國際規管要求，並適時修訂法例以將新興毒品納入管制。執法機構針對毒品供應源頭，堵截毒品非法流入、加強巡邏黑點，以及採取措施打擊販毒。執法機關亦與地區及國際上的合作伙伴聯繫和交流情報，並進行合適的聯合行動。</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15.</w:t>
      </w:r>
      <w:r w:rsidRPr="002A4C01">
        <w:rPr>
          <w:rFonts w:cs="Times New Roman"/>
          <w:kern w:val="0"/>
          <w:szCs w:val="28"/>
        </w:rPr>
        <w:tab/>
      </w:r>
      <w:r w:rsidRPr="002A4C01">
        <w:rPr>
          <w:rFonts w:cs="Times New Roman" w:hint="eastAsia"/>
          <w:kern w:val="0"/>
          <w:szCs w:val="28"/>
        </w:rPr>
        <w:t>香港以中國代表團成員的身分，參與有關國際組織（例如聯合國麻醉藥品委員會）的會議。</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2A4C01">
        <w:rPr>
          <w:rFonts w:cs="Times New Roman" w:hint="eastAsia"/>
          <w:kern w:val="0"/>
          <w:szCs w:val="28"/>
          <w:u w:val="single"/>
        </w:rPr>
        <w:t>研究</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16.</w:t>
      </w:r>
      <w:r w:rsidRPr="002A4C01">
        <w:rPr>
          <w:rFonts w:cs="Times New Roman"/>
          <w:kern w:val="0"/>
          <w:szCs w:val="28"/>
        </w:rPr>
        <w:tab/>
      </w:r>
      <w:r w:rsidRPr="002A4C01">
        <w:rPr>
          <w:rFonts w:cs="Times New Roman" w:hint="eastAsia"/>
          <w:kern w:val="0"/>
          <w:szCs w:val="28"/>
        </w:rPr>
        <w:t>如上一次報告第</w:t>
      </w:r>
      <w:r w:rsidRPr="002A4C01">
        <w:rPr>
          <w:rFonts w:cs="Times New Roman"/>
          <w:kern w:val="0"/>
          <w:szCs w:val="28"/>
        </w:rPr>
        <w:t>12.129</w:t>
      </w:r>
      <w:r w:rsidRPr="002A4C01">
        <w:rPr>
          <w:rFonts w:cs="Times New Roman" w:hint="eastAsia"/>
          <w:kern w:val="0"/>
          <w:szCs w:val="28"/>
        </w:rPr>
        <w:t>段所述，與毒品相關的研究由研究諮詢小組統籌，支援以實證為本的方式制定禁毒政策。我們繼續鼓勵有興趣者就廣泛的課題進行與毒品相關的研究，包括毒品的禍害、</w:t>
      </w:r>
      <w:r w:rsidRPr="002A4C01">
        <w:rPr>
          <w:rFonts w:cs="Times New Roman" w:hint="eastAsia"/>
          <w:kern w:val="0"/>
          <w:szCs w:val="28"/>
        </w:rPr>
        <w:lastRenderedPageBreak/>
        <w:t>吸毒者的特性、戒毒治療和康復服務模式的成效、復吸及其預防、隱蔽吸毒的成因等。</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2A4C01">
        <w:rPr>
          <w:rFonts w:cs="Times New Roman" w:hint="eastAsia"/>
          <w:kern w:val="0"/>
          <w:szCs w:val="28"/>
          <w:u w:val="single"/>
        </w:rPr>
        <w:t>禁毒基金</w:t>
      </w: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2A4C01"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2A4C01">
        <w:rPr>
          <w:rFonts w:cs="Times New Roman"/>
          <w:kern w:val="0"/>
          <w:szCs w:val="28"/>
        </w:rPr>
        <w:t>1</w:t>
      </w:r>
      <w:r>
        <w:rPr>
          <w:rFonts w:cs="Times New Roman" w:hint="eastAsia"/>
          <w:kern w:val="0"/>
          <w:szCs w:val="28"/>
        </w:rPr>
        <w:t>7</w:t>
      </w:r>
      <w:r w:rsidRPr="002A4C01">
        <w:rPr>
          <w:rFonts w:cs="Times New Roman"/>
          <w:kern w:val="0"/>
          <w:szCs w:val="28"/>
        </w:rPr>
        <w:t>.</w:t>
      </w:r>
      <w:r w:rsidRPr="002A4C01">
        <w:rPr>
          <w:rFonts w:cs="Times New Roman"/>
          <w:kern w:val="0"/>
          <w:szCs w:val="28"/>
        </w:rPr>
        <w:tab/>
      </w:r>
      <w:r w:rsidRPr="002A4C01">
        <w:rPr>
          <w:rFonts w:cs="Times New Roman" w:hint="eastAsia"/>
          <w:kern w:val="0"/>
          <w:szCs w:val="28"/>
        </w:rPr>
        <w:t>自上一次報告第</w:t>
      </w:r>
      <w:r w:rsidRPr="002A4C01">
        <w:rPr>
          <w:rFonts w:cs="Times New Roman"/>
          <w:kern w:val="0"/>
          <w:szCs w:val="28"/>
        </w:rPr>
        <w:t>12.130</w:t>
      </w:r>
      <w:r w:rsidRPr="002A4C01">
        <w:rPr>
          <w:rFonts w:cs="Times New Roman" w:hint="eastAsia"/>
          <w:kern w:val="0"/>
          <w:szCs w:val="28"/>
        </w:rPr>
        <w:t>段所述，政府在</w:t>
      </w:r>
      <w:r w:rsidRPr="002A4C01">
        <w:rPr>
          <w:rFonts w:cs="Times New Roman"/>
          <w:kern w:val="0"/>
          <w:szCs w:val="28"/>
        </w:rPr>
        <w:t>2010</w:t>
      </w:r>
      <w:r w:rsidRPr="002A4C01">
        <w:rPr>
          <w:rFonts w:cs="Times New Roman" w:hint="eastAsia"/>
          <w:kern w:val="0"/>
          <w:szCs w:val="28"/>
        </w:rPr>
        <w:t>年向禁毒基金注資</w:t>
      </w:r>
      <w:r w:rsidRPr="002A4C01">
        <w:rPr>
          <w:rFonts w:cs="Times New Roman"/>
          <w:kern w:val="0"/>
          <w:szCs w:val="28"/>
        </w:rPr>
        <w:t>30</w:t>
      </w:r>
      <w:r w:rsidRPr="002A4C01">
        <w:rPr>
          <w:rFonts w:cs="Times New Roman" w:hint="eastAsia"/>
          <w:kern w:val="0"/>
          <w:szCs w:val="28"/>
        </w:rPr>
        <w:t>億元，資助社會上不同機構推行持續的禁毒工作。自</w:t>
      </w:r>
      <w:r w:rsidRPr="002A4C01">
        <w:rPr>
          <w:rFonts w:cs="Times New Roman"/>
          <w:kern w:val="0"/>
          <w:szCs w:val="28"/>
        </w:rPr>
        <w:t>2010</w:t>
      </w:r>
      <w:r w:rsidRPr="002A4C01">
        <w:rPr>
          <w:rFonts w:cs="Times New Roman" w:hint="eastAsia"/>
          <w:kern w:val="0"/>
          <w:szCs w:val="28"/>
        </w:rPr>
        <w:t>年，禁毒基金共撥款約</w:t>
      </w:r>
      <w:r w:rsidRPr="002A4C01">
        <w:rPr>
          <w:rFonts w:cs="Times New Roman"/>
          <w:kern w:val="0"/>
          <w:szCs w:val="28"/>
        </w:rPr>
        <w:t>11</w:t>
      </w:r>
      <w:r w:rsidRPr="002A4C01">
        <w:rPr>
          <w:rFonts w:cs="Times New Roman" w:hint="eastAsia"/>
          <w:kern w:val="0"/>
          <w:szCs w:val="28"/>
        </w:rPr>
        <w:t>億元，資助超過</w:t>
      </w:r>
      <w:r w:rsidRPr="002A4C01">
        <w:rPr>
          <w:rFonts w:cs="Times New Roman"/>
          <w:kern w:val="0"/>
          <w:szCs w:val="28"/>
        </w:rPr>
        <w:t>780</w:t>
      </w:r>
      <w:r w:rsidRPr="002A4C01">
        <w:rPr>
          <w:rFonts w:cs="Times New Roman" w:hint="eastAsia"/>
          <w:kern w:val="0"/>
          <w:szCs w:val="28"/>
        </w:rPr>
        <w:t>個計劃。</w:t>
      </w:r>
    </w:p>
    <w:p w:rsidR="00747021" w:rsidRDefault="00747021" w:rsidP="00747021">
      <w:pPr>
        <w:pStyle w:val="2"/>
        <w:tabs>
          <w:tab w:val="left" w:pos="1440"/>
        </w:tabs>
        <w:adjustRightInd w:val="0"/>
        <w:snapToGrid w:val="0"/>
        <w:spacing w:after="0" w:line="400" w:lineRule="atLeast"/>
        <w:jc w:val="both"/>
        <w:rPr>
          <w:rFonts w:eastAsia="標楷體"/>
        </w:rPr>
      </w:pPr>
    </w:p>
    <w:p w:rsidR="00747021" w:rsidRDefault="00747021" w:rsidP="00747021">
      <w:pPr>
        <w:pStyle w:val="2"/>
        <w:tabs>
          <w:tab w:val="left" w:pos="1440"/>
        </w:tabs>
        <w:adjustRightInd w:val="0"/>
        <w:snapToGrid w:val="0"/>
        <w:spacing w:after="0" w:line="400" w:lineRule="atLeast"/>
        <w:jc w:val="both"/>
        <w:rPr>
          <w:rFonts w:eastAsia="標楷體"/>
        </w:rPr>
        <w:sectPr w:rsidR="00747021" w:rsidSect="00EF2927">
          <w:pgSz w:w="11906" w:h="16838"/>
          <w:pgMar w:top="1440" w:right="1800" w:bottom="1440" w:left="1800" w:header="720" w:footer="720" w:gutter="0"/>
          <w:pgNumType w:start="1"/>
          <w:cols w:space="425"/>
          <w:titlePg/>
          <w:docGrid w:type="lines" w:linePitch="381"/>
        </w:sectPr>
      </w:pPr>
    </w:p>
    <w:p w:rsidR="00747021" w:rsidRDefault="00747021" w:rsidP="00747021">
      <w:pPr>
        <w:snapToGrid w:val="0"/>
        <w:spacing w:line="360" w:lineRule="atLeast"/>
        <w:jc w:val="right"/>
        <w:rPr>
          <w:rFonts w:cs="Times New Roman"/>
          <w:b/>
          <w:lang w:val="en-GB"/>
        </w:rPr>
      </w:pPr>
      <w:r w:rsidRPr="00ED0005">
        <w:rPr>
          <w:rFonts w:cs="Times New Roman" w:hint="eastAsia"/>
          <w:b/>
          <w:lang w:val="en-GB"/>
        </w:rPr>
        <w:lastRenderedPageBreak/>
        <w:t>附件</w:t>
      </w:r>
      <w:r w:rsidRPr="00ED0005">
        <w:rPr>
          <w:rFonts w:cs="Times New Roman" w:hint="eastAsia"/>
          <w:b/>
          <w:lang w:val="en-GB"/>
        </w:rPr>
        <w:t>12D</w:t>
      </w:r>
    </w:p>
    <w:p w:rsidR="00747021" w:rsidRPr="00ED0005" w:rsidRDefault="00747021" w:rsidP="00747021">
      <w:pPr>
        <w:snapToGrid w:val="0"/>
        <w:spacing w:line="360" w:lineRule="atLeast"/>
        <w:jc w:val="right"/>
        <w:rPr>
          <w:rFonts w:cs="Times New Roman"/>
          <w:b/>
          <w:lang w:val="en-GB"/>
        </w:rPr>
      </w:pPr>
    </w:p>
    <w:p w:rsidR="00747021" w:rsidRPr="0064657C" w:rsidRDefault="00747021" w:rsidP="00747021">
      <w:pPr>
        <w:pStyle w:val="2"/>
        <w:tabs>
          <w:tab w:val="left" w:pos="1440"/>
        </w:tabs>
        <w:adjustRightInd w:val="0"/>
        <w:snapToGrid w:val="0"/>
        <w:spacing w:after="0" w:line="400" w:lineRule="atLeast"/>
        <w:jc w:val="center"/>
        <w:rPr>
          <w:rFonts w:eastAsia="標楷體"/>
          <w:b/>
          <w:lang w:eastAsia="zh-HK"/>
        </w:rPr>
      </w:pPr>
      <w:r w:rsidRPr="0064657C">
        <w:rPr>
          <w:rFonts w:eastAsia="標楷體" w:hint="eastAsia"/>
          <w:b/>
          <w:sz w:val="28"/>
          <w:szCs w:val="28"/>
        </w:rPr>
        <w:t>本地酒精相關危害的情況</w:t>
      </w:r>
      <w:r w:rsidRPr="0064657C">
        <w:rPr>
          <w:rFonts w:eastAsia="標楷體" w:hint="eastAsia"/>
          <w:b/>
          <w:sz w:val="28"/>
          <w:szCs w:val="28"/>
          <w:lang w:eastAsia="zh-HK"/>
        </w:rPr>
        <w:t>及</w:t>
      </w:r>
      <w:r w:rsidRPr="0064657C">
        <w:rPr>
          <w:rFonts w:eastAsia="標楷體"/>
          <w:b/>
          <w:sz w:val="28"/>
          <w:szCs w:val="28"/>
          <w:lang w:eastAsia="zh-HK"/>
        </w:rPr>
        <w:br/>
      </w:r>
      <w:r w:rsidRPr="0064657C">
        <w:rPr>
          <w:rFonts w:eastAsia="標楷體" w:hint="eastAsia"/>
          <w:b/>
          <w:sz w:val="28"/>
          <w:szCs w:val="28"/>
        </w:rPr>
        <w:t>現行介入措施</w:t>
      </w:r>
    </w:p>
    <w:p w:rsidR="00747021" w:rsidRDefault="00747021" w:rsidP="00747021">
      <w:pPr>
        <w:pStyle w:val="2"/>
        <w:tabs>
          <w:tab w:val="left" w:pos="1440"/>
        </w:tabs>
        <w:adjustRightInd w:val="0"/>
        <w:snapToGrid w:val="0"/>
        <w:spacing w:after="0" w:line="400" w:lineRule="atLeast"/>
        <w:jc w:val="both"/>
        <w:rPr>
          <w:rFonts w:eastAsia="標楷體"/>
        </w:rPr>
      </w:pPr>
    </w:p>
    <w:p w:rsidR="00747021" w:rsidRDefault="00747021" w:rsidP="00747021">
      <w:pPr>
        <w:widowControl/>
        <w:tabs>
          <w:tab w:val="left" w:pos="1440"/>
          <w:tab w:val="left" w:pos="1680"/>
        </w:tabs>
        <w:adjustRightInd w:val="0"/>
        <w:snapToGrid w:val="0"/>
        <w:spacing w:line="400" w:lineRule="atLeast"/>
        <w:jc w:val="both"/>
      </w:pPr>
      <w:r>
        <w:rPr>
          <w:rFonts w:cs="Times New Roman" w:hint="eastAsia"/>
          <w:kern w:val="0"/>
          <w:szCs w:val="28"/>
        </w:rPr>
        <w:t>1</w:t>
      </w:r>
      <w:r>
        <w:rPr>
          <w:rFonts w:cs="Times New Roman"/>
          <w:kern w:val="0"/>
          <w:szCs w:val="28"/>
        </w:rPr>
        <w:t>.</w:t>
      </w:r>
      <w:r>
        <w:rPr>
          <w:rFonts w:cs="Times New Roman"/>
          <w:kern w:val="0"/>
          <w:szCs w:val="28"/>
        </w:rPr>
        <w:tab/>
      </w:r>
      <w:r w:rsidRPr="00851CE7">
        <w:rPr>
          <w:rFonts w:cs="Times New Roman" w:hint="eastAsia"/>
          <w:kern w:val="0"/>
          <w:szCs w:val="28"/>
        </w:rPr>
        <w:t>減少酒精相關危害是《促進健康：香港非傳染病防控策略框架》</w:t>
      </w:r>
      <w:r>
        <w:rPr>
          <w:rStyle w:val="a9"/>
          <w:kern w:val="0"/>
          <w:szCs w:val="28"/>
        </w:rPr>
        <w:footnoteReference w:id="13"/>
      </w:r>
      <w:r w:rsidRPr="00851CE7">
        <w:rPr>
          <w:rFonts w:cs="Times New Roman" w:hint="eastAsia"/>
          <w:kern w:val="0"/>
          <w:szCs w:val="28"/>
        </w:rPr>
        <w:t>文件訂出的其中一項優先行動範疇。為加強反飲酒工作，政府於</w:t>
      </w:r>
      <w:r w:rsidRPr="00851CE7">
        <w:rPr>
          <w:rFonts w:cs="Times New Roman"/>
          <w:kern w:val="0"/>
          <w:szCs w:val="28"/>
        </w:rPr>
        <w:t>2018</w:t>
      </w:r>
      <w:r w:rsidRPr="00851CE7">
        <w:rPr>
          <w:rFonts w:cs="Times New Roman" w:hint="eastAsia"/>
          <w:kern w:val="0"/>
          <w:szCs w:val="28"/>
        </w:rPr>
        <w:t>年</w:t>
      </w:r>
      <w:r w:rsidRPr="00851CE7">
        <w:rPr>
          <w:rFonts w:cs="Times New Roman"/>
          <w:kern w:val="0"/>
          <w:szCs w:val="28"/>
        </w:rPr>
        <w:t>5</w:t>
      </w:r>
      <w:r w:rsidRPr="00851CE7">
        <w:rPr>
          <w:rFonts w:cs="Times New Roman" w:hint="eastAsia"/>
          <w:kern w:val="0"/>
          <w:szCs w:val="28"/>
        </w:rPr>
        <w:t>月推出《邁向</w:t>
      </w:r>
      <w:r w:rsidRPr="00851CE7">
        <w:rPr>
          <w:rFonts w:cs="Times New Roman"/>
          <w:kern w:val="0"/>
          <w:szCs w:val="28"/>
        </w:rPr>
        <w:t>2025</w:t>
      </w:r>
      <w:r w:rsidRPr="00851CE7">
        <w:rPr>
          <w:rFonts w:cs="Times New Roman" w:hint="eastAsia"/>
          <w:kern w:val="0"/>
          <w:szCs w:val="28"/>
        </w:rPr>
        <w:t>：香港非傳染病防控策略及行動計劃》，包括目標二：務求在</w:t>
      </w:r>
      <w:r w:rsidRPr="00851CE7">
        <w:rPr>
          <w:rFonts w:cs="Times New Roman"/>
          <w:kern w:val="0"/>
          <w:szCs w:val="28"/>
        </w:rPr>
        <w:t>2025</w:t>
      </w:r>
      <w:r w:rsidRPr="00851CE7">
        <w:rPr>
          <w:rFonts w:cs="Times New Roman" w:hint="eastAsia"/>
          <w:kern w:val="0"/>
          <w:szCs w:val="28"/>
        </w:rPr>
        <w:t>年或之前將成年人暴飲與有害的飲酒行為及青少年飲</w:t>
      </w:r>
      <w:r>
        <w:rPr>
          <w:rFonts w:cs="Times New Roman" w:hint="eastAsia"/>
          <w:kern w:val="0"/>
          <w:szCs w:val="28"/>
        </w:rPr>
        <w:t>+</w:t>
      </w:r>
      <w:r>
        <w:rPr>
          <w:rFonts w:cs="Times New Roman"/>
          <w:kern w:val="0"/>
          <w:szCs w:val="28"/>
        </w:rPr>
        <w:t>+-</w:t>
      </w:r>
      <w:r w:rsidRPr="00851CE7">
        <w:rPr>
          <w:rFonts w:cs="Times New Roman" w:hint="eastAsia"/>
          <w:kern w:val="0"/>
          <w:szCs w:val="28"/>
        </w:rPr>
        <w:t>酒的普遍率相對降低至少</w:t>
      </w:r>
      <w:r w:rsidRPr="00851CE7">
        <w:rPr>
          <w:rFonts w:cs="Times New Roman"/>
          <w:kern w:val="0"/>
          <w:szCs w:val="28"/>
        </w:rPr>
        <w:t>10%</w:t>
      </w:r>
      <w:r w:rsidRPr="00851CE7">
        <w:rPr>
          <w:rFonts w:cs="Times New Roman" w:hint="eastAsia"/>
          <w:kern w:val="0"/>
          <w:szCs w:val="28"/>
        </w:rPr>
        <w:t>。政府會繼續與醫護人員及社區團體合作，減少酒精相關危害。</w:t>
      </w:r>
    </w:p>
    <w:p w:rsidR="00747021" w:rsidRDefault="00747021" w:rsidP="00747021">
      <w:pPr>
        <w:pStyle w:val="2"/>
        <w:tabs>
          <w:tab w:val="left" w:pos="1440"/>
        </w:tabs>
        <w:adjustRightInd w:val="0"/>
        <w:snapToGrid w:val="0"/>
        <w:spacing w:after="0" w:line="400" w:lineRule="atLeast"/>
        <w:jc w:val="both"/>
        <w:rPr>
          <w:rFonts w:eastAsia="標楷體"/>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64657C">
        <w:rPr>
          <w:rFonts w:cs="Times New Roman" w:hint="eastAsia"/>
          <w:kern w:val="0"/>
          <w:szCs w:val="28"/>
          <w:u w:val="single"/>
        </w:rPr>
        <w:t>本地酒精相關危害的情況</w:t>
      </w: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2</w:t>
      </w:r>
      <w:r>
        <w:rPr>
          <w:rFonts w:cs="Times New Roman" w:hint="eastAsia"/>
          <w:kern w:val="0"/>
          <w:szCs w:val="28"/>
        </w:rPr>
        <w:t>.</w:t>
      </w:r>
      <w:r w:rsidRPr="0064657C">
        <w:rPr>
          <w:rFonts w:cs="Times New Roman"/>
          <w:kern w:val="0"/>
          <w:szCs w:val="28"/>
        </w:rPr>
        <w:tab/>
      </w:r>
      <w:r w:rsidRPr="0064657C">
        <w:rPr>
          <w:rFonts w:cs="Times New Roman" w:hint="eastAsia"/>
          <w:kern w:val="0"/>
          <w:szCs w:val="28"/>
        </w:rPr>
        <w:t>衞生署定期監察使用酒精的模式。香港的估計總人均飲酒量，由</w:t>
      </w:r>
      <w:r w:rsidRPr="0064657C">
        <w:rPr>
          <w:rFonts w:cs="Times New Roman" w:hint="eastAsia"/>
          <w:kern w:val="0"/>
          <w:szCs w:val="28"/>
        </w:rPr>
        <w:t>2004</w:t>
      </w:r>
      <w:r w:rsidRPr="0064657C">
        <w:rPr>
          <w:rFonts w:cs="Times New Roman" w:hint="eastAsia"/>
          <w:kern w:val="0"/>
          <w:szCs w:val="28"/>
        </w:rPr>
        <w:t>年的</w:t>
      </w:r>
      <w:r w:rsidRPr="0064657C">
        <w:rPr>
          <w:rFonts w:cs="Times New Roman"/>
          <w:kern w:val="0"/>
          <w:szCs w:val="28"/>
        </w:rPr>
        <w:t>2.57</w:t>
      </w:r>
      <w:r w:rsidRPr="0064657C">
        <w:rPr>
          <w:rFonts w:cs="Times New Roman" w:hint="eastAsia"/>
          <w:kern w:val="0"/>
          <w:szCs w:val="28"/>
        </w:rPr>
        <w:t>升遞增至</w:t>
      </w:r>
      <w:r w:rsidRPr="0064657C">
        <w:rPr>
          <w:rFonts w:cs="Times New Roman" w:hint="eastAsia"/>
          <w:kern w:val="0"/>
          <w:szCs w:val="28"/>
        </w:rPr>
        <w:t>2017</w:t>
      </w:r>
      <w:r w:rsidRPr="0064657C">
        <w:rPr>
          <w:rFonts w:cs="Times New Roman" w:hint="eastAsia"/>
          <w:kern w:val="0"/>
          <w:szCs w:val="28"/>
        </w:rPr>
        <w:t>年的</w:t>
      </w:r>
      <w:r w:rsidRPr="0064657C">
        <w:rPr>
          <w:rFonts w:cs="Times New Roman"/>
          <w:kern w:val="0"/>
          <w:szCs w:val="28"/>
        </w:rPr>
        <w:t>2.87</w:t>
      </w:r>
      <w:r w:rsidRPr="0064657C">
        <w:rPr>
          <w:rFonts w:cs="Times New Roman" w:hint="eastAsia"/>
          <w:kern w:val="0"/>
          <w:szCs w:val="28"/>
        </w:rPr>
        <w:t>升。於年齡</w:t>
      </w:r>
      <w:r w:rsidRPr="0064657C">
        <w:rPr>
          <w:rFonts w:cs="Times New Roman"/>
          <w:kern w:val="0"/>
          <w:szCs w:val="28"/>
        </w:rPr>
        <w:t>15</w:t>
      </w:r>
      <w:r w:rsidRPr="0064657C">
        <w:rPr>
          <w:rFonts w:cs="Times New Roman" w:hint="eastAsia"/>
          <w:kern w:val="0"/>
          <w:szCs w:val="28"/>
        </w:rPr>
        <w:t>歲及以上人士中，衞生署人口住戶健康調查結果亦顯示，飲酒的比率由</w:t>
      </w:r>
      <w:r w:rsidRPr="0064657C">
        <w:rPr>
          <w:rFonts w:cs="Times New Roman" w:hint="eastAsia"/>
          <w:kern w:val="0"/>
          <w:szCs w:val="28"/>
        </w:rPr>
        <w:t>2003</w:t>
      </w:r>
      <w:r w:rsidRPr="0064657C">
        <w:rPr>
          <w:rFonts w:cs="Times New Roman" w:hint="eastAsia"/>
          <w:kern w:val="0"/>
          <w:szCs w:val="28"/>
        </w:rPr>
        <w:t>至</w:t>
      </w:r>
      <w:r w:rsidRPr="0064657C">
        <w:rPr>
          <w:rFonts w:cs="Times New Roman" w:hint="eastAsia"/>
          <w:kern w:val="0"/>
          <w:szCs w:val="28"/>
        </w:rPr>
        <w:t>2004</w:t>
      </w:r>
      <w:r w:rsidRPr="0064657C">
        <w:rPr>
          <w:rFonts w:cs="Times New Roman" w:hint="eastAsia"/>
          <w:kern w:val="0"/>
          <w:szCs w:val="28"/>
        </w:rPr>
        <w:t>年度的</w:t>
      </w:r>
      <w:r w:rsidRPr="0064657C">
        <w:rPr>
          <w:rFonts w:cs="Times New Roman"/>
          <w:kern w:val="0"/>
          <w:szCs w:val="28"/>
        </w:rPr>
        <w:t>33.3%</w:t>
      </w:r>
      <w:r w:rsidRPr="0064657C">
        <w:rPr>
          <w:rFonts w:cs="Times New Roman" w:hint="eastAsia"/>
          <w:kern w:val="0"/>
          <w:szCs w:val="28"/>
        </w:rPr>
        <w:t>，顯著上升至</w:t>
      </w:r>
      <w:r w:rsidRPr="0064657C">
        <w:rPr>
          <w:rFonts w:cs="Times New Roman" w:hint="eastAsia"/>
          <w:kern w:val="0"/>
          <w:szCs w:val="28"/>
        </w:rPr>
        <w:t>2014</w:t>
      </w:r>
      <w:r w:rsidRPr="0064657C">
        <w:rPr>
          <w:rFonts w:cs="Times New Roman" w:hint="eastAsia"/>
          <w:kern w:val="0"/>
          <w:szCs w:val="28"/>
        </w:rPr>
        <w:t>至</w:t>
      </w:r>
      <w:r w:rsidRPr="0064657C">
        <w:rPr>
          <w:rFonts w:cs="Times New Roman" w:hint="eastAsia"/>
          <w:kern w:val="0"/>
          <w:szCs w:val="28"/>
        </w:rPr>
        <w:t>2015</w:t>
      </w:r>
      <w:r w:rsidRPr="0064657C">
        <w:rPr>
          <w:rFonts w:cs="Times New Roman" w:hint="eastAsia"/>
          <w:kern w:val="0"/>
          <w:szCs w:val="28"/>
        </w:rPr>
        <w:t>年度的</w:t>
      </w:r>
      <w:r w:rsidRPr="0064657C">
        <w:rPr>
          <w:rFonts w:cs="Times New Roman"/>
          <w:kern w:val="0"/>
          <w:szCs w:val="28"/>
        </w:rPr>
        <w:t>61.4%</w:t>
      </w:r>
      <w:r w:rsidRPr="0064657C">
        <w:rPr>
          <w:rFonts w:cs="Times New Roman" w:hint="eastAsia"/>
          <w:kern w:val="0"/>
          <w:szCs w:val="28"/>
        </w:rPr>
        <w:t>。</w:t>
      </w: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3</w:t>
      </w:r>
      <w:r>
        <w:rPr>
          <w:rFonts w:cs="Times New Roman" w:hint="eastAsia"/>
          <w:kern w:val="0"/>
          <w:szCs w:val="28"/>
        </w:rPr>
        <w:t>.</w:t>
      </w:r>
      <w:r w:rsidRPr="0064657C">
        <w:rPr>
          <w:rFonts w:cs="Times New Roman"/>
          <w:kern w:val="0"/>
          <w:szCs w:val="28"/>
        </w:rPr>
        <w:tab/>
      </w:r>
      <w:r w:rsidRPr="0064657C">
        <w:rPr>
          <w:rFonts w:cs="Times New Roman" w:hint="eastAsia"/>
          <w:kern w:val="0"/>
          <w:szCs w:val="28"/>
        </w:rPr>
        <w:t>在</w:t>
      </w:r>
      <w:r w:rsidRPr="0064657C">
        <w:rPr>
          <w:rFonts w:cs="Times New Roman"/>
          <w:kern w:val="0"/>
          <w:szCs w:val="28"/>
        </w:rPr>
        <w:t>2017</w:t>
      </w:r>
      <w:r w:rsidRPr="0064657C">
        <w:rPr>
          <w:rFonts w:cs="Times New Roman" w:hint="eastAsia"/>
          <w:kern w:val="0"/>
          <w:szCs w:val="28"/>
        </w:rPr>
        <w:t>年，公私營醫院共有</w:t>
      </w:r>
      <w:r w:rsidRPr="0064657C">
        <w:rPr>
          <w:rFonts w:cs="Times New Roman"/>
          <w:kern w:val="0"/>
          <w:szCs w:val="28"/>
        </w:rPr>
        <w:t>2 525</w:t>
      </w:r>
      <w:r w:rsidRPr="0064657C">
        <w:rPr>
          <w:rFonts w:cs="Times New Roman" w:hint="eastAsia"/>
          <w:kern w:val="0"/>
          <w:szCs w:val="28"/>
        </w:rPr>
        <w:t>住院人次的出院主要診斷為與酒精有關的問題。這些住院個案中，因使用酒精而導致精神</w:t>
      </w:r>
      <w:r w:rsidRPr="008C02ED">
        <w:rPr>
          <w:rFonts w:cs="Times New Roman" w:hint="eastAsia"/>
          <w:spacing w:val="2"/>
          <w:kern w:val="0"/>
          <w:szCs w:val="28"/>
        </w:rPr>
        <w:t>和行為障礙的患者（</w:t>
      </w:r>
      <w:r w:rsidRPr="008C02ED">
        <w:rPr>
          <w:rFonts w:cs="Times New Roman"/>
          <w:spacing w:val="2"/>
          <w:kern w:val="0"/>
          <w:szCs w:val="28"/>
        </w:rPr>
        <w:t>75.2%</w:t>
      </w:r>
      <w:r w:rsidRPr="008C02ED">
        <w:rPr>
          <w:rFonts w:cs="Times New Roman" w:hint="eastAsia"/>
          <w:spacing w:val="2"/>
          <w:kern w:val="0"/>
          <w:szCs w:val="28"/>
        </w:rPr>
        <w:t>）佔大部分。酒精性肝病（</w:t>
      </w:r>
      <w:r w:rsidRPr="008C02ED">
        <w:rPr>
          <w:rFonts w:cs="Times New Roman"/>
          <w:spacing w:val="2"/>
          <w:kern w:val="0"/>
          <w:szCs w:val="28"/>
        </w:rPr>
        <w:t>24.8%</w:t>
      </w:r>
      <w:r w:rsidRPr="008C02ED">
        <w:rPr>
          <w:rFonts w:cs="Times New Roman" w:hint="eastAsia"/>
          <w:spacing w:val="2"/>
          <w:kern w:val="0"/>
          <w:szCs w:val="28"/>
        </w:rPr>
        <w:t>）是另一</w:t>
      </w:r>
      <w:r w:rsidRPr="0064657C">
        <w:rPr>
          <w:rFonts w:cs="Times New Roman" w:hint="eastAsia"/>
          <w:kern w:val="0"/>
          <w:szCs w:val="28"/>
        </w:rPr>
        <w:t>主要住院原因。此外，在</w:t>
      </w:r>
      <w:r w:rsidRPr="0064657C">
        <w:rPr>
          <w:rFonts w:cs="Times New Roman"/>
          <w:kern w:val="0"/>
          <w:szCs w:val="28"/>
        </w:rPr>
        <w:t>2017</w:t>
      </w:r>
      <w:r w:rsidRPr="0064657C">
        <w:rPr>
          <w:rFonts w:cs="Times New Roman" w:hint="eastAsia"/>
          <w:kern w:val="0"/>
          <w:szCs w:val="28"/>
        </w:rPr>
        <w:t>年有</w:t>
      </w:r>
      <w:r w:rsidRPr="0064657C">
        <w:rPr>
          <w:rFonts w:cs="Times New Roman"/>
          <w:kern w:val="0"/>
          <w:szCs w:val="28"/>
        </w:rPr>
        <w:t>58</w:t>
      </w:r>
      <w:r w:rsidRPr="0064657C">
        <w:rPr>
          <w:rFonts w:cs="Times New Roman" w:hint="eastAsia"/>
          <w:kern w:val="0"/>
          <w:szCs w:val="28"/>
        </w:rPr>
        <w:t>宗與酒精有關的登記死亡個案。</w:t>
      </w: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u w:val="single"/>
        </w:rPr>
      </w:pPr>
      <w:r w:rsidRPr="0064657C">
        <w:rPr>
          <w:rFonts w:cs="Times New Roman" w:hint="eastAsia"/>
          <w:kern w:val="0"/>
          <w:szCs w:val="28"/>
          <w:u w:val="single"/>
        </w:rPr>
        <w:t>減少酒精相關危害的現行介入措施</w:t>
      </w: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4</w:t>
      </w:r>
      <w:r>
        <w:rPr>
          <w:rFonts w:cs="Times New Roman" w:hint="eastAsia"/>
          <w:kern w:val="0"/>
          <w:szCs w:val="28"/>
        </w:rPr>
        <w:t>.</w:t>
      </w:r>
      <w:r w:rsidRPr="0064657C">
        <w:rPr>
          <w:rFonts w:cs="Times New Roman"/>
          <w:kern w:val="0"/>
          <w:szCs w:val="28"/>
        </w:rPr>
        <w:tab/>
      </w:r>
      <w:r w:rsidRPr="0064657C">
        <w:rPr>
          <w:rFonts w:cs="Times New Roman" w:hint="eastAsia"/>
          <w:kern w:val="0"/>
          <w:szCs w:val="28"/>
        </w:rPr>
        <w:t>香港訂有規定和規例，控制有害使用酒精及其影響。任何人在任何道路上駕駛、企圖駕駛或掌管汽車，而在其呼氣、血液或尿</w:t>
      </w:r>
      <w:r w:rsidRPr="008C02ED">
        <w:rPr>
          <w:rFonts w:cs="Times New Roman" w:hint="eastAsia"/>
          <w:spacing w:val="2"/>
          <w:kern w:val="0"/>
          <w:szCs w:val="28"/>
        </w:rPr>
        <w:t>液中的酒精比例超過訂明限制，即屬犯罪。此外，隨機呼氣測試於</w:t>
      </w:r>
      <w:r w:rsidRPr="008C02ED">
        <w:rPr>
          <w:rFonts w:cs="Times New Roman"/>
          <w:spacing w:val="2"/>
          <w:kern w:val="0"/>
          <w:szCs w:val="28"/>
        </w:rPr>
        <w:t>2009</w:t>
      </w:r>
      <w:r w:rsidRPr="0064657C">
        <w:rPr>
          <w:rFonts w:cs="Times New Roman" w:hint="eastAsia"/>
          <w:kern w:val="0"/>
          <w:szCs w:val="28"/>
        </w:rPr>
        <w:t>年</w:t>
      </w:r>
      <w:r w:rsidRPr="0064657C">
        <w:rPr>
          <w:rFonts w:cs="Times New Roman"/>
          <w:kern w:val="0"/>
          <w:szCs w:val="28"/>
        </w:rPr>
        <w:t>2</w:t>
      </w:r>
      <w:r w:rsidRPr="0064657C">
        <w:rPr>
          <w:rFonts w:cs="Times New Roman" w:hint="eastAsia"/>
          <w:kern w:val="0"/>
          <w:szCs w:val="28"/>
        </w:rPr>
        <w:t>月</w:t>
      </w:r>
      <w:r w:rsidRPr="0064657C">
        <w:rPr>
          <w:rFonts w:cs="Times New Roman"/>
          <w:kern w:val="0"/>
          <w:szCs w:val="28"/>
        </w:rPr>
        <w:t>9</w:t>
      </w:r>
      <w:r w:rsidRPr="0064657C">
        <w:rPr>
          <w:rFonts w:cs="Times New Roman" w:hint="eastAsia"/>
          <w:kern w:val="0"/>
          <w:szCs w:val="28"/>
        </w:rPr>
        <w:t>日推出，穿著制服的警務人員無須合理懷疑，也可要</w:t>
      </w:r>
      <w:r w:rsidRPr="0064657C">
        <w:rPr>
          <w:rFonts w:cs="Times New Roman" w:hint="eastAsia"/>
          <w:kern w:val="0"/>
          <w:szCs w:val="28"/>
        </w:rPr>
        <w:lastRenderedPageBreak/>
        <w:t>求任何正在道路上駕駛、企圖在道路上駕駛或掌管道路上的汽車的人接受呼氣測試。為保護青少年免受酒精相關危害，禁止在業務過程中向未成年人售賣和供應酒類的新控酒法例已於</w:t>
      </w:r>
      <w:r w:rsidRPr="0064657C">
        <w:rPr>
          <w:rFonts w:cs="Times New Roman" w:hint="eastAsia"/>
          <w:kern w:val="0"/>
          <w:szCs w:val="28"/>
        </w:rPr>
        <w:t>2018</w:t>
      </w:r>
      <w:r w:rsidRPr="0064657C">
        <w:rPr>
          <w:rFonts w:cs="Times New Roman" w:hint="eastAsia"/>
          <w:kern w:val="0"/>
          <w:szCs w:val="28"/>
        </w:rPr>
        <w:t>年</w:t>
      </w:r>
      <w:r w:rsidRPr="0064657C">
        <w:rPr>
          <w:rFonts w:cs="Times New Roman" w:hint="eastAsia"/>
          <w:kern w:val="0"/>
          <w:szCs w:val="28"/>
        </w:rPr>
        <w:t>11</w:t>
      </w:r>
      <w:r w:rsidRPr="0064657C">
        <w:rPr>
          <w:rFonts w:cs="Times New Roman" w:hint="eastAsia"/>
          <w:kern w:val="0"/>
          <w:szCs w:val="28"/>
        </w:rPr>
        <w:t>月</w:t>
      </w:r>
      <w:r w:rsidRPr="0064657C">
        <w:rPr>
          <w:rFonts w:cs="Times New Roman" w:hint="eastAsia"/>
          <w:kern w:val="0"/>
          <w:szCs w:val="28"/>
        </w:rPr>
        <w:t>30</w:t>
      </w:r>
      <w:r w:rsidRPr="0064657C">
        <w:rPr>
          <w:rFonts w:cs="Times New Roman" w:hint="eastAsia"/>
          <w:kern w:val="0"/>
          <w:szCs w:val="28"/>
        </w:rPr>
        <w:t>日開始生效。根據香港法律，任何人不得在業務過程中，不論是透過當面或遙距分發的方式，向</w:t>
      </w:r>
      <w:r w:rsidRPr="0064657C">
        <w:rPr>
          <w:rFonts w:cs="Times New Roman"/>
          <w:kern w:val="0"/>
          <w:szCs w:val="28"/>
        </w:rPr>
        <w:t>18</w:t>
      </w:r>
      <w:r w:rsidRPr="0064657C">
        <w:rPr>
          <w:rFonts w:cs="Times New Roman" w:hint="eastAsia"/>
          <w:kern w:val="0"/>
          <w:szCs w:val="28"/>
        </w:rPr>
        <w:t>歲以下的未成年人士售賣或供應令人醺醉的酒類。法例同時禁止以銷售機售賣酒類飲品。令人醺醉的酒類是指以量計含多於</w:t>
      </w:r>
      <w:r w:rsidRPr="0064657C">
        <w:rPr>
          <w:rFonts w:cs="Times New Roman"/>
          <w:kern w:val="0"/>
          <w:szCs w:val="28"/>
        </w:rPr>
        <w:t>1.2%</w:t>
      </w:r>
      <w:r w:rsidRPr="0064657C">
        <w:rPr>
          <w:rFonts w:cs="Times New Roman" w:hint="eastAsia"/>
          <w:kern w:val="0"/>
          <w:szCs w:val="28"/>
        </w:rPr>
        <w:t>乙醇，並適合或擬作為飲品飲用的酒類。一經簡易程序定罪，違法者最高可被判罰款</w:t>
      </w:r>
      <w:r w:rsidRPr="0064657C">
        <w:rPr>
          <w:rFonts w:cs="Times New Roman"/>
          <w:kern w:val="0"/>
          <w:szCs w:val="28"/>
        </w:rPr>
        <w:t>50,000</w:t>
      </w:r>
      <w:r w:rsidRPr="0064657C">
        <w:rPr>
          <w:rFonts w:cs="Times New Roman" w:hint="eastAsia"/>
          <w:kern w:val="0"/>
          <w:szCs w:val="28"/>
        </w:rPr>
        <w:t>元。</w:t>
      </w: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5</w:t>
      </w:r>
      <w:r>
        <w:rPr>
          <w:rFonts w:cs="Times New Roman" w:hint="eastAsia"/>
          <w:kern w:val="0"/>
          <w:szCs w:val="28"/>
        </w:rPr>
        <w:t>.</w:t>
      </w:r>
      <w:r w:rsidRPr="0064657C">
        <w:rPr>
          <w:rFonts w:cs="Times New Roman" w:hint="eastAsia"/>
          <w:kern w:val="0"/>
          <w:szCs w:val="28"/>
        </w:rPr>
        <w:tab/>
      </w:r>
      <w:r w:rsidRPr="0064657C">
        <w:rPr>
          <w:rFonts w:cs="Times New Roman" w:hint="eastAsia"/>
          <w:kern w:val="0"/>
          <w:szCs w:val="28"/>
        </w:rPr>
        <w:t>衞生署通過公眾教育增加市民對酒精相關危害的認識。該署利用印刷材料、</w:t>
      </w:r>
      <w:r w:rsidRPr="0064657C">
        <w:rPr>
          <w:rFonts w:cs="Times New Roman"/>
          <w:kern w:val="0"/>
          <w:szCs w:val="28"/>
        </w:rPr>
        <w:t>24</w:t>
      </w:r>
      <w:r w:rsidRPr="0064657C">
        <w:rPr>
          <w:rFonts w:cs="Times New Roman" w:hint="eastAsia"/>
          <w:kern w:val="0"/>
          <w:szCs w:val="28"/>
        </w:rPr>
        <w:t>小時教育熱線、網頁及電子刊物，為公眾提供健康資訊，教育公眾切忌有害使用酒精。衞生署於</w:t>
      </w:r>
      <w:r w:rsidRPr="0064657C">
        <w:rPr>
          <w:rFonts w:cs="Times New Roman"/>
          <w:kern w:val="0"/>
          <w:szCs w:val="28"/>
        </w:rPr>
        <w:t>2016</w:t>
      </w:r>
      <w:r w:rsidRPr="0064657C">
        <w:rPr>
          <w:rFonts w:cs="Times New Roman" w:hint="eastAsia"/>
          <w:kern w:val="0"/>
          <w:szCs w:val="28"/>
        </w:rPr>
        <w:t>年年底展開名為「年少無酒」的宣傳教育運動，與青少年和家長團體、學界、醫護</w:t>
      </w:r>
      <w:r w:rsidRPr="00FE1EFE">
        <w:rPr>
          <w:rFonts w:cs="Times New Roman" w:hint="eastAsia"/>
          <w:spacing w:val="2"/>
          <w:kern w:val="0"/>
          <w:szCs w:val="28"/>
        </w:rPr>
        <w:t>專業及相關政府決策局和部門攜手合作，透過各種方法和途徑加強宣</w:t>
      </w:r>
      <w:r w:rsidRPr="0064657C">
        <w:rPr>
          <w:rFonts w:cs="Times New Roman" w:hint="eastAsia"/>
          <w:kern w:val="0"/>
          <w:szCs w:val="28"/>
        </w:rPr>
        <w:t>傳和教育未成年人士切勿飲酒。於</w:t>
      </w:r>
      <w:r w:rsidRPr="0064657C">
        <w:rPr>
          <w:rFonts w:cs="Times New Roman"/>
          <w:kern w:val="0"/>
          <w:szCs w:val="28"/>
        </w:rPr>
        <w:t>2017</w:t>
      </w:r>
      <w:r w:rsidRPr="0064657C">
        <w:rPr>
          <w:rFonts w:cs="Times New Roman" w:hint="eastAsia"/>
          <w:kern w:val="0"/>
          <w:szCs w:val="28"/>
        </w:rPr>
        <w:t>年年底，衞生署亦推出名為「酒為下著」的公眾教育活動，以一般市民為對象並與醫護專業人員合作提供有關酒精相關危害的最新實證；提醒市民就飲酒事宜作出知情選擇的重要性；協助市民識別</w:t>
      </w:r>
      <w:r w:rsidRPr="0064657C">
        <w:rPr>
          <w:rFonts w:cs="Times New Roman" w:hint="eastAsia"/>
          <w:kern w:val="0"/>
          <w:szCs w:val="28"/>
          <w:lang w:eastAsia="zh-HK"/>
        </w:rPr>
        <w:t>具</w:t>
      </w:r>
      <w:r w:rsidRPr="0064657C">
        <w:rPr>
          <w:rFonts w:cs="Times New Roman" w:hint="eastAsia"/>
          <w:kern w:val="0"/>
          <w:szCs w:val="28"/>
        </w:rPr>
        <w:t>風險的飲酒模式並減少以此模式飲酒。運輸署、道路安全議會和警方已製作有關防止酒後駕駛的宣傳短片／聲帶，在電視及電台播放。相關的標語亦於宣傳橫額及廣告牌上展示，提醒公眾酒後切勿駕駛。非政府機構亦為公眾提供健康教育材料和輔助熱線。</w:t>
      </w: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64657C"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kern w:val="0"/>
          <w:szCs w:val="28"/>
        </w:rPr>
        <w:t>6</w:t>
      </w:r>
      <w:r>
        <w:rPr>
          <w:rFonts w:cs="Times New Roman" w:hint="eastAsia"/>
          <w:kern w:val="0"/>
          <w:szCs w:val="28"/>
        </w:rPr>
        <w:t>.</w:t>
      </w:r>
      <w:r w:rsidRPr="0064657C">
        <w:rPr>
          <w:rFonts w:cs="Times New Roman" w:hint="eastAsia"/>
          <w:kern w:val="0"/>
          <w:szCs w:val="28"/>
        </w:rPr>
        <w:tab/>
      </w:r>
      <w:r w:rsidRPr="0064657C">
        <w:rPr>
          <w:rFonts w:cs="Times New Roman" w:hint="eastAsia"/>
          <w:kern w:val="0"/>
          <w:szCs w:val="28"/>
        </w:rPr>
        <w:t>有關治療、輔導和康復服務方面，現時醫院、酗酒診療所和一些非政府機構，包括戒酒無名會等，為有酗酒問題的人士提供服務。</w:t>
      </w:r>
    </w:p>
    <w:p w:rsidR="00747021" w:rsidRDefault="00747021" w:rsidP="00747021">
      <w:pPr>
        <w:widowControl/>
        <w:rPr>
          <w:rFonts w:cs="Times New Roman"/>
          <w:kern w:val="0"/>
          <w:sz w:val="20"/>
          <w:szCs w:val="20"/>
        </w:rPr>
      </w:pPr>
      <w:r>
        <w:br w:type="page"/>
      </w:r>
    </w:p>
    <w:p w:rsidR="00747021" w:rsidRPr="00742BCD" w:rsidRDefault="00747021" w:rsidP="00747021">
      <w:pPr>
        <w:widowControl/>
        <w:rPr>
          <w:rFonts w:cs="Times New Roman"/>
          <w:kern w:val="0"/>
          <w:sz w:val="20"/>
          <w:szCs w:val="20"/>
        </w:rPr>
        <w:sectPr w:rsidR="00747021" w:rsidRPr="00742BCD" w:rsidSect="008C02ED">
          <w:footerReference w:type="default" r:id="rId69"/>
          <w:footerReference w:type="first" r:id="rId70"/>
          <w:footnotePr>
            <w:numRestart w:val="eachSect"/>
          </w:footnotePr>
          <w:pgSz w:w="11906" w:h="16838"/>
          <w:pgMar w:top="1440" w:right="1800" w:bottom="1440" w:left="1800" w:header="720" w:footer="720" w:gutter="0"/>
          <w:pgNumType w:start="1"/>
          <w:cols w:space="425"/>
          <w:titlePg/>
          <w:docGrid w:type="lines" w:linePitch="381"/>
        </w:sectPr>
      </w:pPr>
    </w:p>
    <w:p w:rsidR="00747021" w:rsidRDefault="00747021" w:rsidP="00747021">
      <w:pPr>
        <w:snapToGrid w:val="0"/>
        <w:spacing w:line="360" w:lineRule="atLeast"/>
        <w:jc w:val="right"/>
        <w:rPr>
          <w:rFonts w:cs="Times New Roman"/>
          <w:b/>
          <w:lang w:val="en-GB"/>
        </w:rPr>
      </w:pPr>
      <w:r w:rsidRPr="00ED0005">
        <w:rPr>
          <w:rFonts w:cs="Times New Roman"/>
          <w:b/>
          <w:lang w:val="en-GB"/>
        </w:rPr>
        <w:lastRenderedPageBreak/>
        <w:t>附件</w:t>
      </w:r>
      <w:r w:rsidRPr="00ED0005">
        <w:rPr>
          <w:rFonts w:cs="Times New Roman" w:hint="eastAsia"/>
          <w:b/>
          <w:lang w:val="en-GB"/>
        </w:rPr>
        <w:t>1</w:t>
      </w:r>
      <w:r w:rsidRPr="00ED0005">
        <w:rPr>
          <w:rFonts w:cs="Times New Roman"/>
          <w:b/>
          <w:lang w:val="en-GB"/>
        </w:rPr>
        <w:t>2</w:t>
      </w:r>
      <w:r w:rsidRPr="00ED0005">
        <w:rPr>
          <w:rFonts w:cs="Times New Roman" w:hint="eastAsia"/>
          <w:b/>
          <w:lang w:val="en-GB"/>
        </w:rPr>
        <w:t>E</w:t>
      </w:r>
    </w:p>
    <w:p w:rsidR="00747021" w:rsidRPr="00ED0005" w:rsidRDefault="00747021" w:rsidP="00747021">
      <w:pPr>
        <w:snapToGrid w:val="0"/>
        <w:spacing w:line="360" w:lineRule="atLeast"/>
        <w:jc w:val="right"/>
        <w:rPr>
          <w:rFonts w:cs="Times New Roman"/>
          <w:b/>
          <w:lang w:val="en-GB"/>
        </w:rPr>
      </w:pPr>
    </w:p>
    <w:p w:rsidR="00747021" w:rsidRPr="009E32DA" w:rsidRDefault="00747021" w:rsidP="00747021">
      <w:pPr>
        <w:pStyle w:val="2"/>
        <w:tabs>
          <w:tab w:val="left" w:pos="1440"/>
          <w:tab w:val="left" w:pos="1680"/>
        </w:tabs>
        <w:adjustRightInd w:val="0"/>
        <w:snapToGrid w:val="0"/>
        <w:spacing w:after="0" w:line="400" w:lineRule="atLeast"/>
        <w:jc w:val="center"/>
        <w:rPr>
          <w:rFonts w:eastAsia="標楷體"/>
          <w:b/>
          <w:sz w:val="28"/>
          <w:szCs w:val="28"/>
        </w:rPr>
      </w:pPr>
      <w:r w:rsidRPr="00520131">
        <w:rPr>
          <w:rFonts w:eastAsia="標楷體" w:hint="eastAsia"/>
          <w:b/>
          <w:sz w:val="28"/>
          <w:szCs w:val="28"/>
        </w:rPr>
        <w:t>食物安全</w:t>
      </w:r>
    </w:p>
    <w:p w:rsidR="00747021" w:rsidRPr="00520131" w:rsidRDefault="00747021" w:rsidP="00747021">
      <w:pPr>
        <w:pStyle w:val="2"/>
        <w:tabs>
          <w:tab w:val="left" w:pos="1440"/>
          <w:tab w:val="left" w:pos="1680"/>
        </w:tabs>
        <w:adjustRightInd w:val="0"/>
        <w:snapToGrid w:val="0"/>
        <w:spacing w:after="0" w:line="400" w:lineRule="atLeast"/>
        <w:jc w:val="center"/>
        <w:rPr>
          <w:rFonts w:eastAsia="標楷體"/>
          <w:b/>
          <w:sz w:val="28"/>
          <w:szCs w:val="28"/>
        </w:rPr>
      </w:pPr>
    </w:p>
    <w:p w:rsidR="00747021" w:rsidRPr="008E60AF" w:rsidRDefault="00747021" w:rsidP="00747021">
      <w:pPr>
        <w:pStyle w:val="2"/>
        <w:tabs>
          <w:tab w:val="left" w:pos="1440"/>
        </w:tabs>
        <w:adjustRightInd w:val="0"/>
        <w:snapToGrid w:val="0"/>
        <w:spacing w:after="0" w:line="400" w:lineRule="atLeast"/>
        <w:jc w:val="both"/>
        <w:rPr>
          <w:rFonts w:eastAsia="標楷體"/>
          <w:sz w:val="28"/>
          <w:szCs w:val="28"/>
        </w:rPr>
      </w:pPr>
      <w:r>
        <w:rPr>
          <w:rFonts w:eastAsia="標楷體" w:hint="eastAsia"/>
          <w:sz w:val="28"/>
          <w:szCs w:val="28"/>
        </w:rPr>
        <w:t>1.</w:t>
      </w:r>
      <w:r>
        <w:rPr>
          <w:rFonts w:eastAsia="標楷體" w:hint="eastAsia"/>
          <w:sz w:val="28"/>
          <w:szCs w:val="28"/>
        </w:rPr>
        <w:tab/>
      </w:r>
      <w:r w:rsidRPr="008E60AF">
        <w:rPr>
          <w:rFonts w:eastAsia="標楷體" w:hint="eastAsia"/>
          <w:sz w:val="28"/>
          <w:szCs w:val="28"/>
        </w:rPr>
        <w:t>政府多管齊下保障食物安全，包括制定有效的食物安全法例及更新食物標準、融合「從農場到餐桌」的概念擬定全面的食物監察策略、與主要食品出口經濟體的規管當局及相關國際機構緊密聯繫，及加強與食品商和消費者的溝通。</w:t>
      </w:r>
    </w:p>
    <w:p w:rsidR="00747021" w:rsidRPr="008E60AF"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Pr="008E60AF"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2.</w:t>
      </w:r>
      <w:r>
        <w:rPr>
          <w:rFonts w:eastAsia="標楷體" w:hint="eastAsia"/>
          <w:sz w:val="28"/>
          <w:szCs w:val="28"/>
        </w:rPr>
        <w:tab/>
      </w:r>
      <w:r w:rsidRPr="008E60AF">
        <w:rPr>
          <w:rFonts w:eastAsia="標楷體" w:hint="eastAsia"/>
          <w:sz w:val="28"/>
          <w:szCs w:val="28"/>
        </w:rPr>
        <w:t>食物環境衞生署食物安全中心（食安中心）是食物安全的監管當局。食安中心採用國際食物安全機關所倡導的風險分析機制，包括風險評估、風險管理及風險傳達，規定高風險食物須受衞生證明書等入口管制，並與本地業界、主要食品出口經濟體的有關當局，以及食物安全相關的國際機構保持緊密合作。</w:t>
      </w:r>
    </w:p>
    <w:p w:rsidR="00747021" w:rsidRPr="008E60AF"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Pr="008E60AF"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3.</w:t>
      </w:r>
      <w:r>
        <w:rPr>
          <w:rFonts w:eastAsia="標楷體" w:hint="eastAsia"/>
          <w:sz w:val="28"/>
          <w:szCs w:val="28"/>
        </w:rPr>
        <w:tab/>
      </w:r>
      <w:r w:rsidRPr="008E60AF">
        <w:rPr>
          <w:rFonts w:eastAsia="標楷體" w:hint="eastAsia"/>
          <w:sz w:val="28"/>
          <w:szCs w:val="28"/>
        </w:rPr>
        <w:t>食安中心在全港推行食物監察計劃，是在食物供應鏈下游保障食物安全的重要一環。透過此計劃，食安中心每年從入口、批發</w:t>
      </w:r>
      <w:r w:rsidRPr="00FE1EFE">
        <w:rPr>
          <w:rFonts w:eastAsia="標楷體" w:hint="eastAsia"/>
          <w:spacing w:val="2"/>
          <w:sz w:val="28"/>
          <w:szCs w:val="28"/>
        </w:rPr>
        <w:t>及零售層面抽取約</w:t>
      </w:r>
      <w:r w:rsidRPr="00FE1EFE">
        <w:rPr>
          <w:rFonts w:eastAsia="標楷體"/>
          <w:spacing w:val="2"/>
          <w:sz w:val="28"/>
          <w:szCs w:val="28"/>
        </w:rPr>
        <w:t>65 000</w:t>
      </w:r>
      <w:r w:rsidRPr="00FE1EFE">
        <w:rPr>
          <w:rFonts w:eastAsia="標楷體" w:hint="eastAsia"/>
          <w:spacing w:val="2"/>
          <w:sz w:val="28"/>
          <w:szCs w:val="28"/>
        </w:rPr>
        <w:t>個食物樣本作化學、微生物及輻射測試，並按風險為本的原則決定擬抽取的樣本類別、抽樣次數、樣本數目，以</w:t>
      </w:r>
      <w:r w:rsidRPr="008E60AF">
        <w:rPr>
          <w:rFonts w:eastAsia="標楷體" w:hint="eastAsia"/>
          <w:sz w:val="28"/>
          <w:szCs w:val="28"/>
        </w:rPr>
        <w:t>及擬進行的化驗分析。近年來，上述測試的整體合格率一直維持於</w:t>
      </w:r>
      <w:r>
        <w:rPr>
          <w:rFonts w:eastAsia="標楷體" w:hint="eastAsia"/>
          <w:sz w:val="28"/>
          <w:szCs w:val="28"/>
        </w:rPr>
        <w:t>9</w:t>
      </w:r>
      <w:r>
        <w:rPr>
          <w:rFonts w:eastAsia="標楷體"/>
          <w:sz w:val="28"/>
          <w:szCs w:val="28"/>
        </w:rPr>
        <w:t>9.8%</w:t>
      </w:r>
      <w:r w:rsidRPr="008E60AF">
        <w:rPr>
          <w:rFonts w:eastAsia="標楷體" w:hint="eastAsia"/>
          <w:sz w:val="28"/>
          <w:szCs w:val="28"/>
        </w:rPr>
        <w:t>。</w:t>
      </w:r>
    </w:p>
    <w:p w:rsidR="00747021" w:rsidRPr="008E60AF"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4.</w:t>
      </w:r>
      <w:r>
        <w:rPr>
          <w:rFonts w:eastAsia="標楷體" w:hint="eastAsia"/>
          <w:sz w:val="28"/>
          <w:szCs w:val="28"/>
        </w:rPr>
        <w:tab/>
      </w:r>
      <w:r w:rsidRPr="008E60AF">
        <w:rPr>
          <w:rFonts w:eastAsia="標楷體" w:hint="eastAsia"/>
          <w:sz w:val="28"/>
          <w:szCs w:val="28"/>
        </w:rPr>
        <w:t>本地有關食物安全規管的法律框架載於《公眾衞生及市政條例》（第</w:t>
      </w:r>
      <w:r w:rsidRPr="008E60AF">
        <w:rPr>
          <w:rFonts w:eastAsia="標楷體"/>
          <w:sz w:val="28"/>
          <w:szCs w:val="28"/>
        </w:rPr>
        <w:t>132</w:t>
      </w:r>
      <w:r w:rsidRPr="008E60AF">
        <w:rPr>
          <w:rFonts w:eastAsia="標楷體" w:hint="eastAsia"/>
          <w:sz w:val="28"/>
          <w:szCs w:val="28"/>
        </w:rPr>
        <w:t>章）及其附屬法例，我們會參考國際標準及發展，檢視及適時更新本地的食物安全標準。當遇上食物事故，食安中心根據《食物安全條例》（第</w:t>
      </w:r>
      <w:r w:rsidRPr="008E60AF">
        <w:rPr>
          <w:rFonts w:eastAsia="標楷體"/>
          <w:sz w:val="28"/>
          <w:szCs w:val="28"/>
        </w:rPr>
        <w:t>612</w:t>
      </w:r>
      <w:r w:rsidRPr="008E60AF">
        <w:rPr>
          <w:rFonts w:eastAsia="標楷體" w:hint="eastAsia"/>
          <w:sz w:val="28"/>
          <w:szCs w:val="28"/>
        </w:rPr>
        <w:t>章）訂立的食物追蹤機制，可有效地追蹤食物來源及迅速採取行動。我們亦設立了食物進口商和分銷商登記制度，並規定食品商須妥為備存交易紀錄，以助食物溯源。</w:t>
      </w:r>
    </w:p>
    <w:p w:rsidR="00747021"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3966A8"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5.</w:t>
      </w:r>
      <w:r>
        <w:rPr>
          <w:rFonts w:eastAsia="標楷體" w:hint="eastAsia"/>
          <w:sz w:val="28"/>
          <w:szCs w:val="28"/>
        </w:rPr>
        <w:tab/>
      </w:r>
      <w:r w:rsidRPr="008E60AF">
        <w:rPr>
          <w:rFonts w:eastAsia="標楷體" w:hint="eastAsia"/>
          <w:sz w:val="28"/>
          <w:szCs w:val="28"/>
        </w:rPr>
        <w:t>我們會繼續密切留意國際間就保障食物安全方面的發展及措施，按需要適時更新食物安全的監管安排。</w:t>
      </w:r>
    </w:p>
    <w:p w:rsidR="003966A8" w:rsidRDefault="003966A8">
      <w:pPr>
        <w:widowControl/>
        <w:rPr>
          <w:rFonts w:cs="Times New Roman"/>
          <w:kern w:val="0"/>
          <w:szCs w:val="28"/>
        </w:rPr>
      </w:pPr>
      <w:r>
        <w:rPr>
          <w:szCs w:val="28"/>
        </w:rPr>
        <w:br w:type="page"/>
      </w:r>
    </w:p>
    <w:p w:rsidR="00747021" w:rsidRDefault="00747021" w:rsidP="00747021">
      <w:pPr>
        <w:pStyle w:val="2"/>
        <w:tabs>
          <w:tab w:val="left" w:pos="1440"/>
          <w:tab w:val="left" w:pos="1680"/>
        </w:tabs>
        <w:adjustRightInd w:val="0"/>
        <w:snapToGrid w:val="0"/>
        <w:spacing w:after="0" w:line="400" w:lineRule="atLeast"/>
        <w:jc w:val="both"/>
        <w:rPr>
          <w:rFonts w:eastAsia="標楷體"/>
          <w:sz w:val="28"/>
          <w:szCs w:val="28"/>
        </w:rPr>
        <w:sectPr w:rsidR="00747021" w:rsidSect="00FE1EFE">
          <w:footerReference w:type="default" r:id="rId71"/>
          <w:footnotePr>
            <w:numRestart w:val="eachSect"/>
          </w:footnotePr>
          <w:type w:val="continuous"/>
          <w:pgSz w:w="11906" w:h="16838"/>
          <w:pgMar w:top="1440" w:right="1800" w:bottom="1440" w:left="1800" w:header="720" w:footer="720" w:gutter="0"/>
          <w:pgNumType w:start="1"/>
          <w:cols w:space="425"/>
          <w:titlePg/>
          <w:docGrid w:type="lines" w:linePitch="381"/>
        </w:sectPr>
      </w:pPr>
    </w:p>
    <w:p w:rsidR="00747021" w:rsidRDefault="00747021" w:rsidP="00747021">
      <w:pPr>
        <w:snapToGrid w:val="0"/>
        <w:spacing w:line="360" w:lineRule="atLeast"/>
        <w:jc w:val="right"/>
        <w:rPr>
          <w:rFonts w:cs="Times New Roman"/>
          <w:b/>
          <w:lang w:val="en-GB"/>
        </w:rPr>
      </w:pPr>
      <w:r w:rsidRPr="00ED0005">
        <w:rPr>
          <w:rFonts w:cs="Times New Roman" w:hint="eastAsia"/>
          <w:b/>
          <w:lang w:val="en-GB"/>
        </w:rPr>
        <w:lastRenderedPageBreak/>
        <w:t>附件</w:t>
      </w:r>
      <w:r w:rsidRPr="00ED0005">
        <w:rPr>
          <w:rFonts w:cs="Times New Roman" w:hint="eastAsia"/>
          <w:b/>
          <w:lang w:val="en-GB"/>
        </w:rPr>
        <w:t>12F</w:t>
      </w:r>
    </w:p>
    <w:p w:rsidR="00747021" w:rsidRPr="00ED0005" w:rsidRDefault="00747021" w:rsidP="00747021">
      <w:pPr>
        <w:snapToGrid w:val="0"/>
        <w:spacing w:line="360" w:lineRule="atLeast"/>
        <w:jc w:val="right"/>
        <w:rPr>
          <w:rFonts w:cs="Times New Roman"/>
          <w:b/>
          <w:lang w:val="en-GB"/>
        </w:rPr>
      </w:pPr>
    </w:p>
    <w:p w:rsidR="00747021" w:rsidRPr="00910836" w:rsidRDefault="00747021" w:rsidP="00747021">
      <w:pPr>
        <w:pStyle w:val="2"/>
        <w:tabs>
          <w:tab w:val="left" w:pos="1440"/>
        </w:tabs>
        <w:adjustRightInd w:val="0"/>
        <w:snapToGrid w:val="0"/>
        <w:spacing w:after="0" w:line="400" w:lineRule="atLeast"/>
        <w:jc w:val="center"/>
        <w:rPr>
          <w:rFonts w:eastAsia="標楷體"/>
          <w:b/>
          <w:sz w:val="28"/>
          <w:lang w:val="en-GB"/>
        </w:rPr>
      </w:pPr>
      <w:r>
        <w:rPr>
          <w:rFonts w:eastAsia="標楷體" w:hint="eastAsia"/>
          <w:b/>
          <w:sz w:val="28"/>
          <w:lang w:val="en-GB" w:eastAsia="zh-HK"/>
        </w:rPr>
        <w:t>為殘疾人士提供的</w:t>
      </w:r>
      <w:r>
        <w:rPr>
          <w:rFonts w:eastAsia="標楷體"/>
          <w:b/>
          <w:sz w:val="28"/>
          <w:lang w:val="en-GB" w:eastAsia="zh-HK"/>
        </w:rPr>
        <w:br/>
      </w:r>
      <w:r w:rsidRPr="00910836">
        <w:rPr>
          <w:rFonts w:eastAsia="標楷體" w:hint="eastAsia"/>
          <w:b/>
          <w:bCs/>
          <w:sz w:val="28"/>
          <w:lang w:eastAsia="zh-HK"/>
        </w:rPr>
        <w:t>社區支援服務及住宿照顧服務</w:t>
      </w:r>
    </w:p>
    <w:p w:rsidR="00747021" w:rsidRDefault="00747021" w:rsidP="00747021">
      <w:pPr>
        <w:pStyle w:val="2"/>
        <w:tabs>
          <w:tab w:val="left" w:pos="1440"/>
        </w:tabs>
        <w:adjustRightInd w:val="0"/>
        <w:snapToGrid w:val="0"/>
        <w:spacing w:after="0" w:line="400" w:lineRule="atLeast"/>
        <w:jc w:val="right"/>
        <w:rPr>
          <w:rFonts w:eastAsia="標楷體"/>
          <w:b/>
          <w:sz w:val="28"/>
          <w:lang w:val="en-GB"/>
        </w:rPr>
      </w:pPr>
    </w:p>
    <w:p w:rsidR="00747021" w:rsidRPr="00910836" w:rsidRDefault="00747021" w:rsidP="00747021">
      <w:pPr>
        <w:widowControl/>
        <w:tabs>
          <w:tab w:val="left" w:pos="1440"/>
        </w:tabs>
        <w:adjustRightInd w:val="0"/>
        <w:snapToGrid w:val="0"/>
        <w:spacing w:line="400" w:lineRule="atLeast"/>
        <w:jc w:val="both"/>
        <w:rPr>
          <w:rFonts w:cs="Times New Roman"/>
          <w:kern w:val="0"/>
          <w:szCs w:val="28"/>
        </w:rPr>
      </w:pPr>
      <w:r w:rsidRPr="00910836">
        <w:rPr>
          <w:rFonts w:cs="Times New Roman"/>
          <w:kern w:val="0"/>
          <w:szCs w:val="28"/>
        </w:rPr>
        <w:t>1</w:t>
      </w:r>
      <w:r>
        <w:rPr>
          <w:rFonts w:cs="Times New Roman" w:hint="eastAsia"/>
          <w:kern w:val="0"/>
          <w:szCs w:val="28"/>
        </w:rPr>
        <w:t>.</w:t>
      </w:r>
      <w:r w:rsidRPr="00910836">
        <w:rPr>
          <w:rFonts w:cs="Times New Roman"/>
          <w:kern w:val="0"/>
          <w:szCs w:val="28"/>
        </w:rPr>
        <w:tab/>
      </w:r>
      <w:r w:rsidRPr="00910836">
        <w:rPr>
          <w:rFonts w:cs="Times New Roman" w:hint="eastAsia"/>
          <w:kern w:val="0"/>
          <w:szCs w:val="28"/>
        </w:rPr>
        <w:t>我們透過下列措施致力提高康復服務／設施的質與量：</w:t>
      </w:r>
    </w:p>
    <w:p w:rsidR="00747021" w:rsidRPr="00910836" w:rsidRDefault="00747021" w:rsidP="00747021">
      <w:pPr>
        <w:widowControl/>
        <w:tabs>
          <w:tab w:val="left" w:pos="1440"/>
          <w:tab w:val="left" w:pos="1680"/>
        </w:tabs>
        <w:adjustRightInd w:val="0"/>
        <w:snapToGrid w:val="0"/>
        <w:spacing w:line="400" w:lineRule="atLeast"/>
        <w:jc w:val="center"/>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t>(a)</w:t>
      </w:r>
      <w:r w:rsidRPr="00910836">
        <w:rPr>
          <w:rFonts w:cs="Times New Roman"/>
          <w:kern w:val="0"/>
          <w:szCs w:val="28"/>
        </w:rPr>
        <w:tab/>
      </w:r>
      <w:r w:rsidRPr="00910836">
        <w:rPr>
          <w:rFonts w:cs="Times New Roman" w:hint="eastAsia"/>
          <w:kern w:val="0"/>
          <w:szCs w:val="28"/>
        </w:rPr>
        <w:t>持續增加住宿照顧及社區支援服務名額：截至</w:t>
      </w:r>
      <w:r w:rsidRPr="00910836">
        <w:rPr>
          <w:rFonts w:cs="Times New Roman"/>
          <w:kern w:val="0"/>
          <w:szCs w:val="28"/>
        </w:rPr>
        <w:t>2018</w:t>
      </w:r>
      <w:r w:rsidRPr="00910836">
        <w:rPr>
          <w:rFonts w:cs="Times New Roman" w:hint="eastAsia"/>
          <w:kern w:val="0"/>
          <w:szCs w:val="28"/>
        </w:rPr>
        <w:t>年年底，社署正計劃</w:t>
      </w:r>
      <w:r w:rsidRPr="00910836">
        <w:rPr>
          <w:rFonts w:cs="Times New Roman"/>
          <w:kern w:val="0"/>
          <w:szCs w:val="28"/>
        </w:rPr>
        <w:t>36</w:t>
      </w:r>
      <w:r w:rsidRPr="00910836">
        <w:rPr>
          <w:rFonts w:cs="Times New Roman" w:hint="eastAsia"/>
          <w:kern w:val="0"/>
          <w:szCs w:val="28"/>
        </w:rPr>
        <w:t>個發展項目以提供更多康復服務名額，</w:t>
      </w:r>
      <w:r w:rsidRPr="00FE1EFE">
        <w:rPr>
          <w:rFonts w:cs="Times New Roman" w:hint="eastAsia"/>
          <w:spacing w:val="-2"/>
          <w:kern w:val="0"/>
          <w:szCs w:val="28"/>
        </w:rPr>
        <w:t>預計在</w:t>
      </w:r>
      <w:r w:rsidRPr="00FE1EFE">
        <w:rPr>
          <w:rFonts w:cs="Times New Roman"/>
          <w:spacing w:val="-2"/>
          <w:kern w:val="0"/>
          <w:szCs w:val="28"/>
        </w:rPr>
        <w:t>2026</w:t>
      </w:r>
      <w:r w:rsidRPr="00FE1EFE">
        <w:rPr>
          <w:rFonts w:cs="Times New Roman" w:hint="eastAsia"/>
          <w:spacing w:val="-2"/>
          <w:kern w:val="0"/>
          <w:szCs w:val="28"/>
        </w:rPr>
        <w:t>年前可新增約</w:t>
      </w:r>
      <w:r w:rsidRPr="00FE1EFE">
        <w:rPr>
          <w:rFonts w:cs="Times New Roman"/>
          <w:spacing w:val="-2"/>
          <w:kern w:val="0"/>
          <w:szCs w:val="28"/>
        </w:rPr>
        <w:t>6 900</w:t>
      </w:r>
      <w:r w:rsidRPr="00FE1EFE">
        <w:rPr>
          <w:rFonts w:cs="Times New Roman" w:hint="eastAsia"/>
          <w:spacing w:val="-2"/>
          <w:kern w:val="0"/>
          <w:szCs w:val="28"/>
        </w:rPr>
        <w:t>個康復服務名額，包括</w:t>
      </w:r>
      <w:r w:rsidRPr="00910836">
        <w:rPr>
          <w:rFonts w:cs="Times New Roman" w:hint="eastAsia"/>
          <w:kern w:val="0"/>
          <w:szCs w:val="28"/>
        </w:rPr>
        <w:t>約</w:t>
      </w:r>
      <w:r w:rsidRPr="00FE1EFE">
        <w:rPr>
          <w:rFonts w:cs="Times New Roman"/>
          <w:spacing w:val="-2"/>
          <w:kern w:val="0"/>
          <w:szCs w:val="28"/>
        </w:rPr>
        <w:t>2 600</w:t>
      </w:r>
      <w:r w:rsidRPr="00FE1EFE">
        <w:rPr>
          <w:rFonts w:cs="Times New Roman" w:hint="eastAsia"/>
          <w:spacing w:val="-2"/>
          <w:kern w:val="0"/>
          <w:szCs w:val="28"/>
        </w:rPr>
        <w:t>個住宿照顧服務名額，約</w:t>
      </w:r>
      <w:r w:rsidRPr="00FE1EFE">
        <w:rPr>
          <w:rFonts w:cs="Times New Roman"/>
          <w:spacing w:val="-2"/>
          <w:kern w:val="0"/>
          <w:szCs w:val="28"/>
        </w:rPr>
        <w:t>2 300</w:t>
      </w:r>
      <w:r w:rsidRPr="00FE1EFE">
        <w:rPr>
          <w:rFonts w:cs="Times New Roman" w:hint="eastAsia"/>
          <w:spacing w:val="-2"/>
          <w:kern w:val="0"/>
          <w:szCs w:val="28"/>
        </w:rPr>
        <w:t>個日間訓練及職業</w:t>
      </w:r>
      <w:r w:rsidRPr="00910836">
        <w:rPr>
          <w:rFonts w:cs="Times New Roman" w:hint="eastAsia"/>
          <w:kern w:val="0"/>
          <w:szCs w:val="28"/>
        </w:rPr>
        <w:t>康復服務名額，及約</w:t>
      </w:r>
      <w:r w:rsidRPr="00910836">
        <w:rPr>
          <w:rFonts w:cs="Times New Roman"/>
          <w:kern w:val="0"/>
          <w:szCs w:val="28"/>
        </w:rPr>
        <w:t>2 000</w:t>
      </w:r>
      <w:r w:rsidRPr="00910836">
        <w:rPr>
          <w:rFonts w:cs="Times New Roman" w:hint="eastAsia"/>
          <w:kern w:val="0"/>
          <w:szCs w:val="28"/>
        </w:rPr>
        <w:t>個學前康復服務名額；</w:t>
      </w: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t>(b)</w:t>
      </w:r>
      <w:r w:rsidRPr="00910836">
        <w:rPr>
          <w:rFonts w:cs="Times New Roman"/>
          <w:kern w:val="0"/>
          <w:szCs w:val="28"/>
        </w:rPr>
        <w:tab/>
      </w:r>
      <w:r w:rsidRPr="00910836">
        <w:rPr>
          <w:rFonts w:cs="Times New Roman" w:hint="eastAsia"/>
          <w:kern w:val="0"/>
          <w:szCs w:val="28"/>
        </w:rPr>
        <w:t>撥款超過</w:t>
      </w:r>
      <w:r w:rsidRPr="00910836">
        <w:rPr>
          <w:rFonts w:cs="Times New Roman"/>
          <w:kern w:val="0"/>
          <w:szCs w:val="28"/>
        </w:rPr>
        <w:t>2</w:t>
      </w:r>
      <w:r w:rsidRPr="00910836">
        <w:rPr>
          <w:rFonts w:cs="Times New Roman" w:hint="eastAsia"/>
          <w:kern w:val="0"/>
          <w:szCs w:val="28"/>
        </w:rPr>
        <w:t>億元，推出一個為期</w:t>
      </w:r>
      <w:r w:rsidRPr="00910836">
        <w:rPr>
          <w:rFonts w:cs="Times New Roman"/>
          <w:kern w:val="0"/>
          <w:szCs w:val="28"/>
        </w:rPr>
        <w:t>5</w:t>
      </w:r>
      <w:r w:rsidRPr="00910836">
        <w:rPr>
          <w:rFonts w:cs="Times New Roman" w:hint="eastAsia"/>
          <w:kern w:val="0"/>
          <w:szCs w:val="28"/>
        </w:rPr>
        <w:t>年的計劃，全數資助所有殘疾人士院舍的主管、保健員和護理員修讀在資歷架構下認可的訓練課程；及一個為期</w:t>
      </w:r>
      <w:r w:rsidRPr="00910836">
        <w:rPr>
          <w:rFonts w:cs="Times New Roman"/>
          <w:kern w:val="0"/>
          <w:szCs w:val="28"/>
        </w:rPr>
        <w:t>4</w:t>
      </w:r>
      <w:r w:rsidRPr="00910836">
        <w:rPr>
          <w:rFonts w:cs="Times New Roman" w:hint="eastAsia"/>
          <w:kern w:val="0"/>
          <w:szCs w:val="28"/>
        </w:rPr>
        <w:t>年的試驗計劃，成立地區為本的專業團隊，為私營殘疾人士院舍的住客提供外展服務；</w:t>
      </w: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t>(c)</w:t>
      </w:r>
      <w:r w:rsidRPr="00910836">
        <w:rPr>
          <w:rFonts w:cs="Times New Roman"/>
          <w:kern w:val="0"/>
          <w:szCs w:val="28"/>
        </w:rPr>
        <w:tab/>
      </w:r>
      <w:r w:rsidRPr="00910836">
        <w:rPr>
          <w:rFonts w:cs="Times New Roman" w:hint="eastAsia"/>
          <w:kern w:val="0"/>
          <w:szCs w:val="28"/>
        </w:rPr>
        <w:t>每年撥款約</w:t>
      </w:r>
      <w:r w:rsidRPr="00910836">
        <w:rPr>
          <w:rFonts w:cs="Times New Roman"/>
          <w:kern w:val="0"/>
          <w:szCs w:val="28"/>
        </w:rPr>
        <w:t>5,700</w:t>
      </w:r>
      <w:r w:rsidRPr="00910836">
        <w:rPr>
          <w:rFonts w:cs="Times New Roman" w:hint="eastAsia"/>
          <w:kern w:val="0"/>
          <w:szCs w:val="28"/>
        </w:rPr>
        <w:t>萬元，為殘疾人士院舍院友提供醫生到診及言語治療服務，並為輔助宿舍增設保健員；</w:t>
      </w: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t>(d)</w:t>
      </w:r>
      <w:r w:rsidRPr="00910836">
        <w:rPr>
          <w:rFonts w:cs="Times New Roman"/>
          <w:kern w:val="0"/>
          <w:szCs w:val="28"/>
        </w:rPr>
        <w:tab/>
      </w:r>
      <w:r w:rsidRPr="00910836">
        <w:rPr>
          <w:rFonts w:cs="Times New Roman" w:hint="eastAsia"/>
          <w:kern w:val="0"/>
          <w:szCs w:val="28"/>
        </w:rPr>
        <w:t>於</w:t>
      </w:r>
      <w:r w:rsidRPr="00910836">
        <w:rPr>
          <w:rFonts w:cs="Times New Roman"/>
          <w:kern w:val="0"/>
          <w:szCs w:val="28"/>
        </w:rPr>
        <w:t>2018</w:t>
      </w:r>
      <w:r w:rsidRPr="00910836">
        <w:rPr>
          <w:rFonts w:cs="Times New Roman" w:hint="eastAsia"/>
          <w:kern w:val="0"/>
          <w:szCs w:val="28"/>
        </w:rPr>
        <w:t>年</w:t>
      </w:r>
      <w:r w:rsidRPr="00910836">
        <w:rPr>
          <w:rFonts w:cs="Times New Roman"/>
          <w:kern w:val="0"/>
          <w:szCs w:val="28"/>
        </w:rPr>
        <w:t>12</w:t>
      </w:r>
      <w:r w:rsidRPr="00910836">
        <w:rPr>
          <w:rFonts w:cs="Times New Roman" w:hint="eastAsia"/>
          <w:kern w:val="0"/>
          <w:szCs w:val="28"/>
        </w:rPr>
        <w:t>月成立一個</w:t>
      </w:r>
      <w:r w:rsidRPr="00910836">
        <w:rPr>
          <w:rFonts w:cs="Times New Roman"/>
          <w:kern w:val="0"/>
          <w:szCs w:val="28"/>
        </w:rPr>
        <w:t>10</w:t>
      </w:r>
      <w:r w:rsidRPr="00910836">
        <w:rPr>
          <w:rFonts w:cs="Times New Roman" w:hint="eastAsia"/>
          <w:kern w:val="0"/>
          <w:szCs w:val="28"/>
        </w:rPr>
        <w:t>億元的「樂齡及康復創科應用基金」，透過資助購置、租借或試用創新科技產品改善殘疾人士在康復服務單位（及長者在安老服務單位）的生活質素，及減輕護理人員和照顧者的壓力。預計約</w:t>
      </w:r>
      <w:r w:rsidRPr="00910836">
        <w:rPr>
          <w:rFonts w:cs="Times New Roman"/>
          <w:kern w:val="0"/>
          <w:szCs w:val="28"/>
        </w:rPr>
        <w:t>540</w:t>
      </w:r>
      <w:r w:rsidRPr="00910836">
        <w:rPr>
          <w:rFonts w:cs="Times New Roman" w:hint="eastAsia"/>
          <w:kern w:val="0"/>
          <w:szCs w:val="28"/>
        </w:rPr>
        <w:t>間殘疾人士及安老院舍，及超過</w:t>
      </w:r>
      <w:r w:rsidRPr="00910836">
        <w:rPr>
          <w:rFonts w:cs="Times New Roman"/>
          <w:kern w:val="0"/>
          <w:szCs w:val="28"/>
        </w:rPr>
        <w:t>720</w:t>
      </w:r>
      <w:r w:rsidRPr="00910836">
        <w:rPr>
          <w:rFonts w:cs="Times New Roman" w:hint="eastAsia"/>
          <w:kern w:val="0"/>
          <w:szCs w:val="28"/>
        </w:rPr>
        <w:t>個資助社區照顧及支援服務單位將會受惠。</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r w:rsidRPr="00910836">
        <w:rPr>
          <w:rFonts w:cs="Times New Roman" w:hint="eastAsia"/>
          <w:kern w:val="0"/>
          <w:szCs w:val="28"/>
        </w:rPr>
        <w:t>我們亦在</w:t>
      </w:r>
      <w:r w:rsidRPr="00910836">
        <w:rPr>
          <w:rFonts w:cs="Times New Roman"/>
          <w:kern w:val="0"/>
          <w:szCs w:val="28"/>
        </w:rPr>
        <w:t>2013</w:t>
      </w:r>
      <w:r w:rsidRPr="00910836">
        <w:rPr>
          <w:rFonts w:cs="Times New Roman" w:hint="eastAsia"/>
          <w:kern w:val="0"/>
          <w:szCs w:val="28"/>
        </w:rPr>
        <w:t>年推出一項特別計劃，鼓勵社福機構透過原址擴建或重建善用其土地增加安老和康復設施，並提供政府資助。</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2.</w:t>
      </w:r>
      <w:r w:rsidRPr="00910836">
        <w:rPr>
          <w:rFonts w:cs="Times New Roman"/>
          <w:kern w:val="0"/>
          <w:szCs w:val="28"/>
        </w:rPr>
        <w:tab/>
      </w:r>
      <w:r w:rsidRPr="00910836">
        <w:rPr>
          <w:rFonts w:cs="Times New Roman" w:hint="eastAsia"/>
          <w:kern w:val="0"/>
          <w:szCs w:val="28"/>
        </w:rPr>
        <w:t>同時，社署近年一直持續加強社區支援服務：</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lastRenderedPageBreak/>
        <w:t>(a)</w:t>
      </w:r>
      <w:r w:rsidRPr="00910836">
        <w:rPr>
          <w:rFonts w:cs="Times New Roman"/>
          <w:kern w:val="0"/>
          <w:szCs w:val="28"/>
        </w:rPr>
        <w:tab/>
      </w:r>
      <w:r w:rsidRPr="00910836">
        <w:rPr>
          <w:rFonts w:cs="Times New Roman" w:hint="eastAsia"/>
          <w:kern w:val="0"/>
          <w:szCs w:val="28"/>
        </w:rPr>
        <w:t>持續向殘疾人士地區支援中心</w:t>
      </w:r>
      <w:r w:rsidRPr="00910836">
        <w:rPr>
          <w:rFonts w:cs="Times New Roman"/>
          <w:kern w:val="0"/>
          <w:szCs w:val="28"/>
          <w:vertAlign w:val="superscript"/>
        </w:rPr>
        <w:footnoteReference w:id="14"/>
      </w:r>
      <w:r w:rsidRPr="00910836">
        <w:rPr>
          <w:rFonts w:cs="Times New Roman" w:hint="eastAsia"/>
          <w:kern w:val="0"/>
          <w:szCs w:val="28"/>
        </w:rPr>
        <w:t>增撥資源以加強支援殘疾人士，透過增加社工人手及日間照顧服務名額，為他們提供更合適的服務，並於《</w:t>
      </w:r>
      <w:r w:rsidRPr="00910836">
        <w:rPr>
          <w:rFonts w:cs="Times New Roman" w:hint="eastAsia"/>
          <w:kern w:val="0"/>
          <w:szCs w:val="28"/>
          <w:lang w:eastAsia="zh-HK"/>
        </w:rPr>
        <w:t>行政長官</w:t>
      </w:r>
      <w:r w:rsidRPr="00910836">
        <w:rPr>
          <w:rFonts w:cs="Times New Roman"/>
          <w:kern w:val="0"/>
          <w:szCs w:val="28"/>
        </w:rPr>
        <w:t>2018</w:t>
      </w:r>
      <w:r w:rsidRPr="00910836">
        <w:rPr>
          <w:rFonts w:cs="Times New Roman" w:hint="eastAsia"/>
          <w:kern w:val="0"/>
          <w:szCs w:val="28"/>
        </w:rPr>
        <w:t>年施政報告》中宣布增設五間殘疾人士地區支援中心；</w:t>
      </w: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t>(b)</w:t>
      </w:r>
      <w:r w:rsidRPr="00910836">
        <w:rPr>
          <w:rFonts w:cs="Times New Roman"/>
          <w:kern w:val="0"/>
          <w:szCs w:val="28"/>
        </w:rPr>
        <w:tab/>
      </w:r>
      <w:r w:rsidRPr="00910836">
        <w:rPr>
          <w:rFonts w:cs="Times New Roman" w:hint="eastAsia"/>
          <w:kern w:val="0"/>
          <w:szCs w:val="28"/>
        </w:rPr>
        <w:t>推出兩項家居照顧服務計劃，包括嚴重殘疾人士家居照顧服務及嚴重肢體傷殘人士綜合支援服務，為居於社區的嚴重殘疾人士提供一系列的綜合到戶服務，包括職業／物理治療、護理照顧、個人照顧及照顧者支援服務等，以協助他們留在社區生活，亦可紓緩其照顧者的壓力。</w:t>
      </w:r>
      <w:r w:rsidRPr="00910836">
        <w:rPr>
          <w:rFonts w:cs="Times New Roman" w:hint="eastAsia"/>
          <w:bCs/>
          <w:kern w:val="0"/>
          <w:szCs w:val="28"/>
        </w:rPr>
        <w:t>《行政長官</w:t>
      </w:r>
      <w:r w:rsidRPr="00910836">
        <w:rPr>
          <w:rFonts w:cs="Times New Roman"/>
          <w:bCs/>
          <w:kern w:val="0"/>
          <w:szCs w:val="28"/>
        </w:rPr>
        <w:t>2018</w:t>
      </w:r>
      <w:r w:rsidRPr="00910836">
        <w:rPr>
          <w:rFonts w:cs="Times New Roman" w:hint="eastAsia"/>
          <w:bCs/>
          <w:kern w:val="0"/>
          <w:szCs w:val="28"/>
        </w:rPr>
        <w:t>年施政報告》</w:t>
      </w:r>
      <w:r w:rsidRPr="00910836">
        <w:rPr>
          <w:rFonts w:cs="Times New Roman" w:hint="eastAsia"/>
          <w:kern w:val="0"/>
          <w:szCs w:val="28"/>
        </w:rPr>
        <w:t>中宣布，香港特區政府將增撥資源為額外約</w:t>
      </w:r>
      <w:r w:rsidRPr="00910836">
        <w:rPr>
          <w:rFonts w:cs="Times New Roman"/>
          <w:kern w:val="0"/>
          <w:szCs w:val="28"/>
        </w:rPr>
        <w:t>1 800</w:t>
      </w:r>
      <w:r w:rsidRPr="00910836">
        <w:rPr>
          <w:rFonts w:cs="Times New Roman" w:hint="eastAsia"/>
          <w:kern w:val="0"/>
          <w:szCs w:val="28"/>
        </w:rPr>
        <w:t>名居於社區的殘疾人士提供到戶家居照顧服務，並提升服務的交通支援；及</w:t>
      </w: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910836"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910836">
        <w:rPr>
          <w:rFonts w:cs="Times New Roman"/>
          <w:kern w:val="0"/>
          <w:szCs w:val="28"/>
        </w:rPr>
        <w:t>(c)</w:t>
      </w:r>
      <w:r w:rsidRPr="00910836">
        <w:rPr>
          <w:rFonts w:cs="Times New Roman"/>
          <w:kern w:val="0"/>
          <w:szCs w:val="28"/>
        </w:rPr>
        <w:tab/>
      </w:r>
      <w:r w:rsidRPr="00910836">
        <w:rPr>
          <w:rFonts w:cs="Times New Roman" w:hint="eastAsia"/>
          <w:kern w:val="0"/>
          <w:szCs w:val="28"/>
        </w:rPr>
        <w:t>為加強對精神病康復者提供的社會支援及協助他們盡早融入社區，社署在全港設立</w:t>
      </w:r>
      <w:r w:rsidRPr="00910836">
        <w:rPr>
          <w:rFonts w:cs="Times New Roman"/>
          <w:kern w:val="0"/>
          <w:szCs w:val="28"/>
        </w:rPr>
        <w:t>24</w:t>
      </w:r>
      <w:r w:rsidRPr="00910836">
        <w:rPr>
          <w:rFonts w:cs="Times New Roman" w:hint="eastAsia"/>
          <w:kern w:val="0"/>
          <w:szCs w:val="28"/>
        </w:rPr>
        <w:t>個由非政府機構營運的精神健康綜合社區中心。</w:t>
      </w:r>
      <w:r w:rsidRPr="00910836">
        <w:rPr>
          <w:rFonts w:cs="Times New Roman" w:hint="eastAsia"/>
          <w:bCs/>
          <w:kern w:val="0"/>
          <w:szCs w:val="28"/>
        </w:rPr>
        <w:t>《行政長官</w:t>
      </w:r>
      <w:r w:rsidRPr="00910836">
        <w:rPr>
          <w:rFonts w:cs="Times New Roman"/>
          <w:bCs/>
          <w:kern w:val="0"/>
          <w:szCs w:val="28"/>
        </w:rPr>
        <w:t>2018</w:t>
      </w:r>
      <w:r w:rsidRPr="00910836">
        <w:rPr>
          <w:rFonts w:cs="Times New Roman" w:hint="eastAsia"/>
          <w:bCs/>
          <w:kern w:val="0"/>
          <w:szCs w:val="28"/>
        </w:rPr>
        <w:t>年施政報告》</w:t>
      </w:r>
      <w:r w:rsidRPr="00910836">
        <w:rPr>
          <w:rFonts w:cs="Times New Roman" w:hint="eastAsia"/>
          <w:kern w:val="0"/>
          <w:szCs w:val="28"/>
        </w:rPr>
        <w:t>中宣布，香港特區政府會把中心的服務對象擴展至有精神健康需要的中學生，以加強對他們的專業支援。</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3.</w:t>
      </w:r>
      <w:r w:rsidRPr="00910836">
        <w:rPr>
          <w:rFonts w:cs="Times New Roman"/>
          <w:kern w:val="0"/>
          <w:szCs w:val="28"/>
        </w:rPr>
        <w:tab/>
      </w:r>
      <w:r w:rsidRPr="00910836">
        <w:rPr>
          <w:rFonts w:cs="Times New Roman" w:hint="eastAsia"/>
          <w:kern w:val="0"/>
          <w:szCs w:val="28"/>
        </w:rPr>
        <w:t>社署於</w:t>
      </w:r>
      <w:r w:rsidRPr="00910836">
        <w:rPr>
          <w:rFonts w:cs="Times New Roman"/>
          <w:kern w:val="0"/>
          <w:szCs w:val="28"/>
        </w:rPr>
        <w:t>2018</w:t>
      </w:r>
      <w:r w:rsidRPr="00910836">
        <w:rPr>
          <w:rFonts w:cs="Times New Roman" w:hint="eastAsia"/>
          <w:kern w:val="0"/>
          <w:szCs w:val="28"/>
        </w:rPr>
        <w:t>年將一項試驗計劃常規化，旨在提高自閉症青少年的生活、社交和就業技能；並為他們的照顧者提供支援；在</w:t>
      </w:r>
      <w:r w:rsidRPr="00910836">
        <w:rPr>
          <w:rFonts w:cs="Times New Roman"/>
          <w:kern w:val="0"/>
          <w:szCs w:val="28"/>
        </w:rPr>
        <w:t>2018-19</w:t>
      </w:r>
      <w:r w:rsidRPr="00910836">
        <w:rPr>
          <w:rFonts w:cs="Times New Roman" w:hint="eastAsia"/>
          <w:kern w:val="0"/>
          <w:szCs w:val="28"/>
        </w:rPr>
        <w:t>年成立三間自閉症人士支援中心，並於</w:t>
      </w:r>
      <w:r w:rsidRPr="00910836">
        <w:rPr>
          <w:rFonts w:cs="Times New Roman" w:hint="eastAsia"/>
          <w:bCs/>
          <w:kern w:val="0"/>
          <w:szCs w:val="28"/>
        </w:rPr>
        <w:t>《行政長官</w:t>
      </w:r>
      <w:r w:rsidRPr="00910836">
        <w:rPr>
          <w:rFonts w:cs="Times New Roman"/>
          <w:bCs/>
          <w:kern w:val="0"/>
          <w:szCs w:val="28"/>
        </w:rPr>
        <w:t>2018</w:t>
      </w:r>
      <w:r w:rsidRPr="00910836">
        <w:rPr>
          <w:rFonts w:cs="Times New Roman" w:hint="eastAsia"/>
          <w:bCs/>
          <w:kern w:val="0"/>
          <w:szCs w:val="28"/>
        </w:rPr>
        <w:t>年施政報告》</w:t>
      </w:r>
      <w:r w:rsidRPr="00910836">
        <w:rPr>
          <w:rFonts w:cs="Times New Roman" w:hint="eastAsia"/>
          <w:kern w:val="0"/>
          <w:szCs w:val="28"/>
        </w:rPr>
        <w:t>中宣布把自閉症人士支援中心進一步增設至五間。此外，社署會在</w:t>
      </w:r>
      <w:r w:rsidRPr="00910836">
        <w:rPr>
          <w:rFonts w:cs="Times New Roman"/>
          <w:kern w:val="0"/>
          <w:szCs w:val="28"/>
        </w:rPr>
        <w:t>28</w:t>
      </w:r>
      <w:r w:rsidRPr="00910836">
        <w:rPr>
          <w:rFonts w:cs="Times New Roman" w:hint="eastAsia"/>
          <w:kern w:val="0"/>
          <w:szCs w:val="28"/>
        </w:rPr>
        <w:t>個社區支援服務單位加入臨床心理學家、增加社工及／或其他支援人員的人手，以加強為聽障人士、視障人士、精神病康復者等提供的服務。上述措施的每年經常總開支超過</w:t>
      </w:r>
      <w:r w:rsidRPr="00910836">
        <w:rPr>
          <w:rFonts w:cs="Times New Roman"/>
          <w:kern w:val="0"/>
          <w:szCs w:val="28"/>
        </w:rPr>
        <w:t>5,000</w:t>
      </w:r>
      <w:r w:rsidRPr="00910836">
        <w:rPr>
          <w:rFonts w:cs="Times New Roman" w:hint="eastAsia"/>
          <w:kern w:val="0"/>
          <w:szCs w:val="28"/>
        </w:rPr>
        <w:t>萬元，估計將有超過</w:t>
      </w:r>
      <w:r w:rsidRPr="00910836">
        <w:rPr>
          <w:rFonts w:cs="Times New Roman"/>
          <w:kern w:val="0"/>
          <w:szCs w:val="28"/>
        </w:rPr>
        <w:t>4 000</w:t>
      </w:r>
      <w:r w:rsidRPr="00910836">
        <w:rPr>
          <w:rFonts w:cs="Times New Roman" w:hint="eastAsia"/>
          <w:kern w:val="0"/>
          <w:szCs w:val="28"/>
        </w:rPr>
        <w:t>名殘疾人士及其家屬或照顧者受惠。</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4.</w:t>
      </w:r>
      <w:r w:rsidRPr="00910836">
        <w:rPr>
          <w:rFonts w:cs="Times New Roman"/>
          <w:kern w:val="0"/>
          <w:szCs w:val="28"/>
        </w:rPr>
        <w:tab/>
      </w:r>
      <w:r w:rsidRPr="00910836">
        <w:rPr>
          <w:rFonts w:cs="Times New Roman" w:hint="eastAsia"/>
          <w:kern w:val="0"/>
          <w:szCs w:val="28"/>
        </w:rPr>
        <w:t>一些家長表示，雖然他們擁有財政能力支付其有特殊需要的子女的長遠生活需要，但由於其子女缺乏自顧能力，他們仍然擔憂於離世後子女的照顧問題。這些家長希望政府提供信託服務管理用作</w:t>
      </w:r>
      <w:r w:rsidRPr="00910836">
        <w:rPr>
          <w:rFonts w:cs="Times New Roman" w:hint="eastAsia"/>
          <w:kern w:val="0"/>
          <w:szCs w:val="28"/>
        </w:rPr>
        <w:lastRenderedPageBreak/>
        <w:t>其子女的生活開支的財產。行政長官在</w:t>
      </w:r>
      <w:r w:rsidRPr="00910836">
        <w:rPr>
          <w:rFonts w:cs="Times New Roman"/>
          <w:kern w:val="0"/>
          <w:szCs w:val="28"/>
        </w:rPr>
        <w:t>2017</w:t>
      </w:r>
      <w:r w:rsidRPr="00910836">
        <w:rPr>
          <w:rFonts w:cs="Times New Roman" w:hint="eastAsia"/>
          <w:kern w:val="0"/>
          <w:szCs w:val="28"/>
        </w:rPr>
        <w:t>年的《施政報告》中宣布，香港特區政府決定牽頭設立特殊需要信託，以社署署長法團擔任受託人提供信託服務，在家長離世後管理他們遺下的財產，按照他們的意願定期向其子女的照顧者發放款項。我們已於</w:t>
      </w:r>
      <w:r w:rsidRPr="00910836">
        <w:rPr>
          <w:rFonts w:cs="Times New Roman"/>
          <w:kern w:val="0"/>
          <w:szCs w:val="28"/>
        </w:rPr>
        <w:t>2018</w:t>
      </w:r>
      <w:r w:rsidRPr="00910836">
        <w:rPr>
          <w:rFonts w:cs="Times New Roman" w:hint="eastAsia"/>
          <w:kern w:val="0"/>
          <w:szCs w:val="28"/>
        </w:rPr>
        <w:t>年底成立特殊需要信託辦事處。</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5.</w:t>
      </w:r>
      <w:r w:rsidRPr="00910836">
        <w:rPr>
          <w:rFonts w:cs="Times New Roman"/>
          <w:kern w:val="0"/>
          <w:szCs w:val="28"/>
        </w:rPr>
        <w:tab/>
      </w:r>
      <w:r w:rsidRPr="00910836">
        <w:rPr>
          <w:rFonts w:cs="Times New Roman" w:hint="eastAsia"/>
          <w:kern w:val="0"/>
          <w:szCs w:val="28"/>
        </w:rPr>
        <w:t>社署資助的家長／親屬資源中心協助家長及照顧者認識如何照顧有殘疾或成長困難的家屬／人士，交流經驗及互相支持。社</w:t>
      </w:r>
      <w:r w:rsidRPr="003966A8">
        <w:rPr>
          <w:rFonts w:cs="Times New Roman" w:hint="eastAsia"/>
          <w:spacing w:val="2"/>
          <w:kern w:val="0"/>
          <w:szCs w:val="28"/>
        </w:rPr>
        <w:t>署於</w:t>
      </w:r>
      <w:r w:rsidRPr="003966A8">
        <w:rPr>
          <w:rFonts w:cs="Times New Roman"/>
          <w:spacing w:val="2"/>
          <w:kern w:val="0"/>
          <w:szCs w:val="28"/>
        </w:rPr>
        <w:t>2015</w:t>
      </w:r>
      <w:r w:rsidRPr="003966A8">
        <w:rPr>
          <w:rFonts w:cs="Times New Roman" w:hint="eastAsia"/>
          <w:spacing w:val="2"/>
          <w:kern w:val="0"/>
          <w:szCs w:val="28"/>
        </w:rPr>
        <w:t>年增加這些中心的社工人手，並會由</w:t>
      </w:r>
      <w:r w:rsidRPr="003966A8">
        <w:rPr>
          <w:rFonts w:cs="Times New Roman"/>
          <w:spacing w:val="2"/>
          <w:kern w:val="0"/>
          <w:szCs w:val="28"/>
        </w:rPr>
        <w:t>2019</w:t>
      </w:r>
      <w:r w:rsidRPr="003966A8">
        <w:rPr>
          <w:rFonts w:cs="Times New Roman" w:hint="eastAsia"/>
          <w:spacing w:val="2"/>
          <w:kern w:val="0"/>
          <w:szCs w:val="28"/>
        </w:rPr>
        <w:t>年</w:t>
      </w:r>
      <w:r w:rsidRPr="003966A8">
        <w:rPr>
          <w:rFonts w:cs="Times New Roman"/>
          <w:spacing w:val="2"/>
          <w:kern w:val="0"/>
          <w:szCs w:val="28"/>
        </w:rPr>
        <w:t>3</w:t>
      </w:r>
      <w:r w:rsidRPr="003966A8">
        <w:rPr>
          <w:rFonts w:cs="Times New Roman" w:hint="eastAsia"/>
          <w:spacing w:val="2"/>
          <w:kern w:val="0"/>
          <w:szCs w:val="28"/>
        </w:rPr>
        <w:t>月起，在</w:t>
      </w:r>
      <w:r w:rsidRPr="003966A8">
        <w:rPr>
          <w:rFonts w:cs="Times New Roman"/>
          <w:spacing w:val="2"/>
          <w:kern w:val="0"/>
          <w:szCs w:val="28"/>
        </w:rPr>
        <w:t>12</w:t>
      </w:r>
      <w:r w:rsidRPr="00910836">
        <w:rPr>
          <w:rFonts w:cs="Times New Roman" w:hint="eastAsia"/>
          <w:kern w:val="0"/>
          <w:szCs w:val="28"/>
        </w:rPr>
        <w:t>個月內分階段增加這些中心的數目，由現時的六間增加至</w:t>
      </w:r>
      <w:r w:rsidRPr="00910836">
        <w:rPr>
          <w:rFonts w:cs="Times New Roman"/>
          <w:kern w:val="0"/>
          <w:szCs w:val="28"/>
        </w:rPr>
        <w:t>19</w:t>
      </w:r>
      <w:r w:rsidRPr="00910836">
        <w:rPr>
          <w:rFonts w:cs="Times New Roman" w:hint="eastAsia"/>
          <w:kern w:val="0"/>
          <w:szCs w:val="28"/>
        </w:rPr>
        <w:t>間。</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6.</w:t>
      </w:r>
      <w:r w:rsidRPr="00910836">
        <w:rPr>
          <w:rFonts w:cs="Times New Roman"/>
          <w:kern w:val="0"/>
          <w:szCs w:val="28"/>
        </w:rPr>
        <w:tab/>
      </w:r>
      <w:r w:rsidRPr="00910836">
        <w:rPr>
          <w:rFonts w:cs="Times New Roman" w:hint="eastAsia"/>
          <w:kern w:val="0"/>
          <w:szCs w:val="28"/>
        </w:rPr>
        <w:t>我們於</w:t>
      </w:r>
      <w:r w:rsidRPr="00910836">
        <w:rPr>
          <w:rFonts w:cs="Times New Roman"/>
          <w:kern w:val="0"/>
          <w:szCs w:val="28"/>
        </w:rPr>
        <w:t>2016</w:t>
      </w:r>
      <w:r w:rsidRPr="00910836">
        <w:rPr>
          <w:rFonts w:cs="Times New Roman" w:hint="eastAsia"/>
          <w:kern w:val="0"/>
          <w:szCs w:val="28"/>
        </w:rPr>
        <w:t>年預留了</w:t>
      </w:r>
      <w:r w:rsidRPr="00910836">
        <w:rPr>
          <w:rFonts w:cs="Times New Roman"/>
          <w:kern w:val="0"/>
          <w:szCs w:val="28"/>
        </w:rPr>
        <w:t>1</w:t>
      </w:r>
      <w:r w:rsidRPr="00910836">
        <w:rPr>
          <w:rFonts w:cs="Times New Roman" w:hint="eastAsia"/>
          <w:kern w:val="0"/>
          <w:szCs w:val="28"/>
        </w:rPr>
        <w:t>億</w:t>
      </w:r>
      <w:r w:rsidRPr="00910836">
        <w:rPr>
          <w:rFonts w:cs="Times New Roman"/>
          <w:kern w:val="0"/>
          <w:szCs w:val="28"/>
        </w:rPr>
        <w:t>2,600</w:t>
      </w:r>
      <w:r w:rsidRPr="00910836">
        <w:rPr>
          <w:rFonts w:cs="Times New Roman" w:hint="eastAsia"/>
          <w:kern w:val="0"/>
          <w:szCs w:val="28"/>
        </w:rPr>
        <w:t>萬元，讓社署推出一項試驗計劃，向每名合資格的殘疾人士照顧者提供每年</w:t>
      </w:r>
      <w:r w:rsidRPr="00910836">
        <w:rPr>
          <w:rFonts w:cs="Times New Roman"/>
          <w:kern w:val="0"/>
          <w:szCs w:val="28"/>
        </w:rPr>
        <w:t>24,000</w:t>
      </w:r>
      <w:r w:rsidRPr="00910836">
        <w:rPr>
          <w:rFonts w:cs="Times New Roman" w:hint="eastAsia"/>
          <w:kern w:val="0"/>
          <w:szCs w:val="28"/>
        </w:rPr>
        <w:t>元的生活津貼，以補助他們的生活開支，讓殘疾人士能獲得妥善照顧並繼續居於社區。於</w:t>
      </w:r>
      <w:r w:rsidRPr="00910836">
        <w:rPr>
          <w:rFonts w:cs="Times New Roman"/>
          <w:kern w:val="0"/>
          <w:szCs w:val="28"/>
        </w:rPr>
        <w:t>2018</w:t>
      </w:r>
      <w:r w:rsidRPr="00910836">
        <w:rPr>
          <w:rFonts w:cs="Times New Roman" w:hint="eastAsia"/>
          <w:kern w:val="0"/>
          <w:szCs w:val="28"/>
        </w:rPr>
        <w:t>年</w:t>
      </w:r>
      <w:r w:rsidRPr="00910836">
        <w:rPr>
          <w:rFonts w:cs="Times New Roman"/>
          <w:kern w:val="0"/>
          <w:szCs w:val="28"/>
        </w:rPr>
        <w:t>10</w:t>
      </w:r>
      <w:r w:rsidRPr="00910836">
        <w:rPr>
          <w:rFonts w:cs="Times New Roman" w:hint="eastAsia"/>
          <w:kern w:val="0"/>
          <w:szCs w:val="28"/>
        </w:rPr>
        <w:t>月每年的生活津貼增至</w:t>
      </w:r>
      <w:r w:rsidRPr="00910836">
        <w:rPr>
          <w:rFonts w:cs="Times New Roman"/>
          <w:kern w:val="0"/>
          <w:szCs w:val="28"/>
        </w:rPr>
        <w:t>28,800</w:t>
      </w:r>
      <w:r w:rsidRPr="00910836">
        <w:rPr>
          <w:rFonts w:cs="Times New Roman" w:hint="eastAsia"/>
          <w:kern w:val="0"/>
          <w:szCs w:val="28"/>
        </w:rPr>
        <w:t>元，直至目前為止共有</w:t>
      </w:r>
      <w:r w:rsidRPr="00910836">
        <w:rPr>
          <w:rFonts w:cs="Times New Roman"/>
          <w:kern w:val="0"/>
          <w:szCs w:val="28"/>
        </w:rPr>
        <w:t>1 859</w:t>
      </w:r>
      <w:r w:rsidRPr="00910836">
        <w:rPr>
          <w:rFonts w:cs="Times New Roman" w:hint="eastAsia"/>
          <w:kern w:val="0"/>
          <w:szCs w:val="28"/>
        </w:rPr>
        <w:t>個家庭受惠。</w:t>
      </w:r>
    </w:p>
    <w:p w:rsidR="00747021" w:rsidRPr="00910836"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221C37"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7.</w:t>
      </w:r>
      <w:r w:rsidRPr="00910836">
        <w:rPr>
          <w:rFonts w:eastAsia="標楷體"/>
          <w:bCs/>
          <w:sz w:val="28"/>
          <w:szCs w:val="28"/>
        </w:rPr>
        <w:tab/>
      </w:r>
      <w:r w:rsidRPr="00910836">
        <w:rPr>
          <w:rFonts w:eastAsia="標楷體" w:hint="eastAsia"/>
          <w:bCs/>
          <w:sz w:val="28"/>
          <w:szCs w:val="28"/>
        </w:rPr>
        <w:t>為促進殘疾人士及其家人／照顧者之間的自助和互助精神，社署自</w:t>
      </w:r>
      <w:r w:rsidRPr="00910836">
        <w:rPr>
          <w:rFonts w:eastAsia="標楷體"/>
          <w:bCs/>
          <w:sz w:val="28"/>
          <w:szCs w:val="28"/>
        </w:rPr>
        <w:t>2001</w:t>
      </w:r>
      <w:r w:rsidRPr="00910836">
        <w:rPr>
          <w:rFonts w:eastAsia="標楷體" w:hint="eastAsia"/>
          <w:bCs/>
          <w:sz w:val="28"/>
          <w:szCs w:val="28"/>
        </w:rPr>
        <w:t>年起推行資助計劃，向殘疾人士自助組織提供財政資助。社署計劃於</w:t>
      </w:r>
      <w:r w:rsidRPr="00910836">
        <w:rPr>
          <w:rFonts w:eastAsia="標楷體"/>
          <w:bCs/>
          <w:sz w:val="28"/>
          <w:szCs w:val="28"/>
        </w:rPr>
        <w:t>2018</w:t>
      </w:r>
      <w:r w:rsidRPr="00910836">
        <w:rPr>
          <w:rFonts w:eastAsia="標楷體" w:hint="eastAsia"/>
          <w:bCs/>
          <w:sz w:val="28"/>
          <w:szCs w:val="28"/>
        </w:rPr>
        <w:t>年</w:t>
      </w:r>
      <w:r w:rsidRPr="00910836">
        <w:rPr>
          <w:rFonts w:eastAsia="標楷體"/>
          <w:bCs/>
          <w:sz w:val="28"/>
          <w:szCs w:val="28"/>
        </w:rPr>
        <w:t>10</w:t>
      </w:r>
      <w:r w:rsidRPr="00910836">
        <w:rPr>
          <w:rFonts w:eastAsia="標楷體" w:hint="eastAsia"/>
          <w:bCs/>
          <w:sz w:val="28"/>
          <w:szCs w:val="28"/>
        </w:rPr>
        <w:t>月起將每年資助金額由現時約</w:t>
      </w:r>
      <w:r w:rsidRPr="00910836">
        <w:rPr>
          <w:rFonts w:eastAsia="標楷體"/>
          <w:bCs/>
          <w:sz w:val="28"/>
          <w:szCs w:val="28"/>
        </w:rPr>
        <w:t>1,500‍</w:t>
      </w:r>
      <w:r w:rsidRPr="00910836">
        <w:rPr>
          <w:rFonts w:eastAsia="標楷體" w:hint="eastAsia"/>
          <w:bCs/>
          <w:sz w:val="28"/>
          <w:szCs w:val="28"/>
        </w:rPr>
        <w:t>萬元增加至約</w:t>
      </w:r>
      <w:r w:rsidRPr="00910836">
        <w:rPr>
          <w:rFonts w:eastAsia="標楷體"/>
          <w:bCs/>
          <w:sz w:val="28"/>
          <w:szCs w:val="28"/>
        </w:rPr>
        <w:t>2,100</w:t>
      </w:r>
      <w:r w:rsidRPr="00910836">
        <w:rPr>
          <w:rFonts w:eastAsia="標楷體" w:hint="eastAsia"/>
          <w:bCs/>
          <w:sz w:val="28"/>
          <w:szCs w:val="28"/>
        </w:rPr>
        <w:t>萬元。</w:t>
      </w:r>
    </w:p>
    <w:p w:rsidR="00747021" w:rsidRDefault="00221C37" w:rsidP="00221C37">
      <w:pPr>
        <w:widowControl/>
        <w:rPr>
          <w:bCs/>
          <w:szCs w:val="28"/>
        </w:rPr>
      </w:pPr>
      <w:r>
        <w:rPr>
          <w:bCs/>
          <w:szCs w:val="28"/>
        </w:rPr>
        <w:br w:type="page"/>
      </w:r>
    </w:p>
    <w:p w:rsidR="00747021" w:rsidRDefault="00747021" w:rsidP="00747021">
      <w:pPr>
        <w:pStyle w:val="2"/>
        <w:tabs>
          <w:tab w:val="left" w:pos="1440"/>
        </w:tabs>
        <w:adjustRightInd w:val="0"/>
        <w:snapToGrid w:val="0"/>
        <w:spacing w:after="0" w:line="400" w:lineRule="atLeast"/>
        <w:jc w:val="both"/>
        <w:rPr>
          <w:rFonts w:eastAsia="標楷體"/>
        </w:rPr>
        <w:sectPr w:rsidR="00747021" w:rsidSect="003966A8">
          <w:footerReference w:type="first" r:id="rId72"/>
          <w:footnotePr>
            <w:numRestart w:val="eachSect"/>
          </w:footnotePr>
          <w:type w:val="continuous"/>
          <w:pgSz w:w="11906" w:h="16838"/>
          <w:pgMar w:top="1440" w:right="1800" w:bottom="1440" w:left="1800" w:header="720" w:footer="720" w:gutter="0"/>
          <w:pgNumType w:start="1"/>
          <w:cols w:space="425"/>
          <w:titlePg/>
          <w:docGrid w:type="lines" w:linePitch="381"/>
        </w:sectPr>
      </w:pPr>
    </w:p>
    <w:p w:rsidR="00747021" w:rsidRDefault="00747021" w:rsidP="00747021">
      <w:pPr>
        <w:snapToGrid w:val="0"/>
        <w:spacing w:line="360" w:lineRule="atLeast"/>
        <w:jc w:val="right"/>
        <w:rPr>
          <w:rFonts w:cs="Times New Roman"/>
          <w:b/>
          <w:lang w:val="en-GB"/>
        </w:rPr>
      </w:pPr>
      <w:r w:rsidRPr="00ED0005">
        <w:rPr>
          <w:rFonts w:cs="Times New Roman" w:hint="eastAsia"/>
          <w:b/>
          <w:lang w:val="en-GB"/>
        </w:rPr>
        <w:lastRenderedPageBreak/>
        <w:t>附件</w:t>
      </w:r>
      <w:r w:rsidRPr="00ED0005">
        <w:rPr>
          <w:rFonts w:cs="Times New Roman" w:hint="eastAsia"/>
          <w:b/>
          <w:lang w:val="en-GB"/>
        </w:rPr>
        <w:t>12G</w:t>
      </w:r>
    </w:p>
    <w:p w:rsidR="00747021" w:rsidRPr="00ED0005" w:rsidRDefault="00747021" w:rsidP="00747021">
      <w:pPr>
        <w:snapToGrid w:val="0"/>
        <w:spacing w:line="360" w:lineRule="atLeast"/>
        <w:jc w:val="right"/>
        <w:rPr>
          <w:rFonts w:cs="Times New Roman"/>
          <w:b/>
          <w:lang w:val="en-GB"/>
        </w:rPr>
      </w:pPr>
    </w:p>
    <w:p w:rsidR="00747021" w:rsidRPr="00520131" w:rsidRDefault="00747021" w:rsidP="00747021">
      <w:pPr>
        <w:pStyle w:val="2"/>
        <w:tabs>
          <w:tab w:val="left" w:pos="1440"/>
          <w:tab w:val="left" w:pos="1680"/>
        </w:tabs>
        <w:adjustRightInd w:val="0"/>
        <w:snapToGrid w:val="0"/>
        <w:spacing w:after="0" w:line="400" w:lineRule="atLeast"/>
        <w:jc w:val="center"/>
        <w:rPr>
          <w:rFonts w:eastAsia="標楷體"/>
          <w:b/>
          <w:sz w:val="28"/>
          <w:szCs w:val="28"/>
          <w:u w:val="single"/>
        </w:rPr>
      </w:pPr>
      <w:r w:rsidRPr="00520131">
        <w:rPr>
          <w:rFonts w:eastAsia="標楷體" w:hint="eastAsia"/>
          <w:b/>
          <w:sz w:val="28"/>
          <w:szCs w:val="28"/>
          <w:lang w:eastAsia="zh-HK"/>
        </w:rPr>
        <w:t>水污</w:t>
      </w:r>
      <w:r w:rsidRPr="00520131">
        <w:rPr>
          <w:rFonts w:eastAsia="標楷體" w:hint="eastAsia"/>
          <w:b/>
          <w:sz w:val="28"/>
          <w:szCs w:val="28"/>
        </w:rPr>
        <w:t>染</w:t>
      </w:r>
      <w:r w:rsidRPr="00520131">
        <w:rPr>
          <w:rFonts w:eastAsia="標楷體" w:hint="eastAsia"/>
          <w:b/>
          <w:sz w:val="28"/>
          <w:szCs w:val="28"/>
          <w:lang w:eastAsia="zh-HK"/>
        </w:rPr>
        <w:t>管制、廢物管理、空</w:t>
      </w:r>
      <w:r w:rsidRPr="00520131">
        <w:rPr>
          <w:rFonts w:eastAsia="標楷體" w:hint="eastAsia"/>
          <w:b/>
          <w:sz w:val="28"/>
          <w:szCs w:val="28"/>
        </w:rPr>
        <w:t>氣</w:t>
      </w:r>
      <w:r w:rsidRPr="00520131">
        <w:rPr>
          <w:rFonts w:eastAsia="標楷體" w:hint="eastAsia"/>
          <w:b/>
          <w:sz w:val="28"/>
          <w:szCs w:val="28"/>
          <w:lang w:eastAsia="zh-HK"/>
        </w:rPr>
        <w:t>污</w:t>
      </w:r>
      <w:r w:rsidRPr="00520131">
        <w:rPr>
          <w:rFonts w:eastAsia="標楷體" w:hint="eastAsia"/>
          <w:b/>
          <w:sz w:val="28"/>
          <w:szCs w:val="28"/>
        </w:rPr>
        <w:t>染</w:t>
      </w:r>
      <w:r w:rsidRPr="00520131">
        <w:rPr>
          <w:rFonts w:eastAsia="標楷體" w:hint="eastAsia"/>
          <w:b/>
          <w:sz w:val="28"/>
          <w:szCs w:val="28"/>
          <w:lang w:eastAsia="zh-HK"/>
        </w:rPr>
        <w:t>管制、噪音管制</w:t>
      </w:r>
      <w:r>
        <w:rPr>
          <w:rFonts w:eastAsia="標楷體"/>
          <w:b/>
          <w:sz w:val="28"/>
          <w:szCs w:val="28"/>
          <w:lang w:eastAsia="zh-HK"/>
        </w:rPr>
        <w:br/>
      </w:r>
      <w:r w:rsidRPr="00520131">
        <w:rPr>
          <w:rFonts w:eastAsia="標楷體" w:hint="eastAsia"/>
          <w:b/>
          <w:sz w:val="28"/>
          <w:szCs w:val="28"/>
          <w:lang w:eastAsia="zh-HK"/>
        </w:rPr>
        <w:t>及環</w:t>
      </w:r>
      <w:r w:rsidRPr="00520131">
        <w:rPr>
          <w:rFonts w:eastAsia="標楷體" w:hint="eastAsia"/>
          <w:b/>
          <w:sz w:val="28"/>
          <w:szCs w:val="28"/>
        </w:rPr>
        <w:t>保</w:t>
      </w:r>
      <w:r w:rsidRPr="00520131">
        <w:rPr>
          <w:rFonts w:eastAsia="標楷體" w:hint="eastAsia"/>
          <w:b/>
          <w:sz w:val="28"/>
          <w:szCs w:val="28"/>
          <w:lang w:eastAsia="zh-HK"/>
        </w:rPr>
        <w:t>教</w:t>
      </w:r>
      <w:r w:rsidRPr="00520131">
        <w:rPr>
          <w:rFonts w:eastAsia="標楷體" w:hint="eastAsia"/>
          <w:b/>
          <w:sz w:val="28"/>
          <w:szCs w:val="28"/>
        </w:rPr>
        <w:t>育</w:t>
      </w:r>
      <w:r w:rsidRPr="00520131">
        <w:rPr>
          <w:rFonts w:eastAsia="標楷體" w:hint="eastAsia"/>
          <w:b/>
          <w:sz w:val="28"/>
          <w:szCs w:val="28"/>
          <w:lang w:eastAsia="zh-HK"/>
        </w:rPr>
        <w:t>等相關工</w:t>
      </w:r>
      <w:r w:rsidRPr="00520131">
        <w:rPr>
          <w:rFonts w:eastAsia="標楷體" w:hint="eastAsia"/>
          <w:b/>
          <w:sz w:val="28"/>
          <w:szCs w:val="28"/>
        </w:rPr>
        <w:t>作</w:t>
      </w:r>
    </w:p>
    <w:p w:rsidR="00747021" w:rsidRDefault="00747021" w:rsidP="00747021">
      <w:pPr>
        <w:pStyle w:val="2"/>
        <w:tabs>
          <w:tab w:val="left" w:pos="1440"/>
          <w:tab w:val="left" w:pos="1680"/>
        </w:tabs>
        <w:adjustRightInd w:val="0"/>
        <w:snapToGrid w:val="0"/>
        <w:spacing w:after="0" w:line="400" w:lineRule="atLeast"/>
        <w:jc w:val="both"/>
        <w:rPr>
          <w:rFonts w:eastAsia="標楷體"/>
          <w:sz w:val="28"/>
          <w:szCs w:val="28"/>
          <w:u w:val="single"/>
        </w:rPr>
      </w:pPr>
    </w:p>
    <w:p w:rsidR="00747021" w:rsidRPr="00DD7A23" w:rsidRDefault="00747021" w:rsidP="00747021">
      <w:pPr>
        <w:pStyle w:val="2"/>
        <w:tabs>
          <w:tab w:val="left" w:pos="1440"/>
          <w:tab w:val="left" w:pos="1680"/>
        </w:tabs>
        <w:adjustRightInd w:val="0"/>
        <w:snapToGrid w:val="0"/>
        <w:spacing w:after="0" w:line="400" w:lineRule="atLeast"/>
        <w:jc w:val="both"/>
        <w:rPr>
          <w:rFonts w:eastAsia="標楷體"/>
          <w:sz w:val="28"/>
          <w:szCs w:val="28"/>
          <w:u w:val="single"/>
        </w:rPr>
      </w:pPr>
      <w:r w:rsidRPr="00DD7A23">
        <w:rPr>
          <w:rFonts w:eastAsia="標楷體" w:hint="eastAsia"/>
          <w:sz w:val="28"/>
          <w:szCs w:val="28"/>
          <w:u w:val="single"/>
        </w:rPr>
        <w:t>在政府架構內成立可持續發展科</w:t>
      </w:r>
    </w:p>
    <w:p w:rsidR="00747021" w:rsidRPr="00DD7A23" w:rsidRDefault="00747021" w:rsidP="00747021">
      <w:pPr>
        <w:pStyle w:val="2"/>
        <w:tabs>
          <w:tab w:val="left" w:pos="1440"/>
          <w:tab w:val="left" w:pos="1680"/>
        </w:tabs>
        <w:adjustRightInd w:val="0"/>
        <w:snapToGrid w:val="0"/>
        <w:spacing w:after="0" w:line="400" w:lineRule="atLeast"/>
        <w:jc w:val="both"/>
        <w:rPr>
          <w:rFonts w:eastAsia="標楷體"/>
          <w:sz w:val="28"/>
          <w:szCs w:val="28"/>
        </w:rPr>
      </w:pPr>
    </w:p>
    <w:p w:rsidR="00747021" w:rsidRPr="00DD7A23" w:rsidRDefault="00747021" w:rsidP="00747021">
      <w:pPr>
        <w:pStyle w:val="2"/>
        <w:tabs>
          <w:tab w:val="left" w:pos="1440"/>
          <w:tab w:val="left" w:pos="1680"/>
        </w:tabs>
        <w:adjustRightInd w:val="0"/>
        <w:snapToGrid w:val="0"/>
        <w:spacing w:after="0" w:line="400" w:lineRule="atLeast"/>
        <w:jc w:val="both"/>
        <w:rPr>
          <w:rFonts w:eastAsia="標楷體"/>
          <w:sz w:val="28"/>
          <w:szCs w:val="28"/>
        </w:rPr>
      </w:pPr>
      <w:r>
        <w:rPr>
          <w:rFonts w:eastAsia="標楷體" w:hint="eastAsia"/>
          <w:sz w:val="28"/>
          <w:szCs w:val="28"/>
        </w:rPr>
        <w:t>1.</w:t>
      </w:r>
      <w:r>
        <w:rPr>
          <w:rFonts w:eastAsia="標楷體" w:hint="eastAsia"/>
          <w:sz w:val="28"/>
          <w:szCs w:val="28"/>
        </w:rPr>
        <w:tab/>
      </w:r>
      <w:r w:rsidRPr="00DD7A23">
        <w:rPr>
          <w:rFonts w:eastAsia="標楷體" w:hint="eastAsia"/>
          <w:sz w:val="28"/>
          <w:szCs w:val="28"/>
        </w:rPr>
        <w:t>可持續發展科</w:t>
      </w:r>
      <w:r>
        <w:rPr>
          <w:rFonts w:eastAsia="標楷體" w:hint="eastAsia"/>
          <w:sz w:val="28"/>
          <w:szCs w:val="28"/>
          <w:lang w:eastAsia="zh-HK"/>
        </w:rPr>
        <w:t>及</w:t>
      </w:r>
      <w:r w:rsidRPr="00DD7A23">
        <w:rPr>
          <w:rFonts w:eastAsia="標楷體" w:hint="eastAsia"/>
          <w:sz w:val="28"/>
          <w:szCs w:val="28"/>
        </w:rPr>
        <w:t>可持續發展評估制度</w:t>
      </w:r>
      <w:r>
        <w:rPr>
          <w:rFonts w:eastAsia="標楷體" w:hint="eastAsia"/>
          <w:sz w:val="28"/>
          <w:szCs w:val="28"/>
          <w:lang w:eastAsia="zh-HK"/>
        </w:rPr>
        <w:t>的情況與上一次報</w:t>
      </w:r>
      <w:r>
        <w:rPr>
          <w:rFonts w:eastAsia="標楷體" w:hint="eastAsia"/>
          <w:sz w:val="28"/>
          <w:szCs w:val="28"/>
        </w:rPr>
        <w:t>告</w:t>
      </w:r>
      <w:r>
        <w:rPr>
          <w:rFonts w:eastAsia="標楷體" w:hint="eastAsia"/>
          <w:sz w:val="28"/>
          <w:szCs w:val="28"/>
          <w:lang w:eastAsia="zh-HK"/>
        </w:rPr>
        <w:t>第</w:t>
      </w:r>
      <w:r>
        <w:rPr>
          <w:rFonts w:eastAsia="標楷體" w:hint="eastAsia"/>
          <w:sz w:val="28"/>
          <w:szCs w:val="28"/>
        </w:rPr>
        <w:t>12.167</w:t>
      </w:r>
      <w:r>
        <w:rPr>
          <w:rFonts w:eastAsia="標楷體" w:hint="eastAsia"/>
          <w:sz w:val="28"/>
          <w:szCs w:val="28"/>
          <w:lang w:eastAsia="zh-HK"/>
        </w:rPr>
        <w:t>段所述的相同</w:t>
      </w:r>
      <w:r w:rsidRPr="00DD7A23">
        <w:rPr>
          <w:rFonts w:eastAsia="標楷體" w:hint="eastAsia"/>
          <w:sz w:val="28"/>
          <w:szCs w:val="28"/>
        </w:rPr>
        <w:t>。</w:t>
      </w: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p>
    <w:p w:rsidR="00747021" w:rsidRPr="00520131" w:rsidRDefault="00747021" w:rsidP="00747021">
      <w:pPr>
        <w:pStyle w:val="2"/>
        <w:tabs>
          <w:tab w:val="left" w:pos="1440"/>
        </w:tabs>
        <w:adjustRightInd w:val="0"/>
        <w:snapToGrid w:val="0"/>
        <w:spacing w:after="0" w:line="400" w:lineRule="atLeast"/>
        <w:rPr>
          <w:rFonts w:eastAsia="標楷體"/>
          <w:sz w:val="28"/>
          <w:szCs w:val="28"/>
          <w:u w:val="single"/>
          <w:lang w:eastAsia="zh-HK"/>
        </w:rPr>
      </w:pPr>
      <w:r w:rsidRPr="00520131">
        <w:rPr>
          <w:rFonts w:eastAsia="標楷體" w:hint="eastAsia"/>
          <w:sz w:val="28"/>
          <w:szCs w:val="28"/>
          <w:u w:val="single"/>
          <w:lang w:eastAsia="zh-HK"/>
        </w:rPr>
        <w:t>水污染管制</w:t>
      </w: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p>
    <w:p w:rsidR="00747021" w:rsidRPr="00520131" w:rsidRDefault="00747021" w:rsidP="00747021">
      <w:pPr>
        <w:pStyle w:val="2"/>
        <w:tabs>
          <w:tab w:val="left" w:pos="1440"/>
        </w:tabs>
        <w:adjustRightInd w:val="0"/>
        <w:snapToGrid w:val="0"/>
        <w:spacing w:after="0" w:line="400" w:lineRule="atLeast"/>
        <w:rPr>
          <w:rFonts w:eastAsia="標楷體"/>
          <w:i/>
          <w:sz w:val="28"/>
          <w:szCs w:val="28"/>
          <w:lang w:eastAsia="zh-HK"/>
        </w:rPr>
      </w:pPr>
      <w:r w:rsidRPr="00520131">
        <w:rPr>
          <w:rFonts w:eastAsia="標楷體" w:hint="eastAsia"/>
          <w:i/>
          <w:sz w:val="28"/>
          <w:szCs w:val="28"/>
          <w:lang w:eastAsia="zh-HK"/>
        </w:rPr>
        <w:t>淨化海港計劃</w:t>
      </w: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2.</w:t>
      </w:r>
      <w:r w:rsidRPr="00910836">
        <w:rPr>
          <w:rFonts w:eastAsia="標楷體"/>
          <w:bCs/>
          <w:sz w:val="28"/>
          <w:szCs w:val="28"/>
        </w:rPr>
        <w:tab/>
      </w:r>
      <w:r w:rsidRPr="003B5BBE">
        <w:rPr>
          <w:rFonts w:eastAsia="標楷體" w:hint="eastAsia"/>
          <w:bCs/>
          <w:sz w:val="28"/>
          <w:szCs w:val="28"/>
        </w:rPr>
        <w:t>淨化海港計劃第一期完成後，第二期分兩階段落實。我們已在</w:t>
      </w:r>
      <w:r w:rsidRPr="003B5BBE">
        <w:rPr>
          <w:rFonts w:eastAsia="標楷體"/>
          <w:bCs/>
          <w:sz w:val="28"/>
          <w:szCs w:val="28"/>
        </w:rPr>
        <w:t>2015</w:t>
      </w:r>
      <w:r w:rsidRPr="003B5BBE">
        <w:rPr>
          <w:rFonts w:eastAsia="標楷體" w:hint="eastAsia"/>
          <w:bCs/>
          <w:sz w:val="28"/>
          <w:szCs w:val="28"/>
        </w:rPr>
        <w:t>年</w:t>
      </w:r>
      <w:r w:rsidRPr="003B5BBE">
        <w:rPr>
          <w:rFonts w:eastAsia="標楷體"/>
          <w:bCs/>
          <w:sz w:val="28"/>
          <w:szCs w:val="28"/>
        </w:rPr>
        <w:t>12</w:t>
      </w:r>
      <w:r w:rsidRPr="003B5BBE">
        <w:rPr>
          <w:rFonts w:eastAsia="標楷體" w:hint="eastAsia"/>
          <w:bCs/>
          <w:sz w:val="28"/>
          <w:szCs w:val="28"/>
        </w:rPr>
        <w:t>月完成建造第二期甲的污水隧道輸送系統，將維多利亞港（</w:t>
      </w:r>
      <w:r>
        <w:rPr>
          <w:rFonts w:eastAsia="標楷體" w:hint="eastAsia"/>
          <w:bCs/>
          <w:sz w:val="28"/>
          <w:szCs w:val="28"/>
          <w:lang w:eastAsia="zh-HK"/>
        </w:rPr>
        <w:t>維</w:t>
      </w:r>
      <w:r w:rsidRPr="003B5BBE">
        <w:rPr>
          <w:rFonts w:eastAsia="標楷體" w:hint="eastAsia"/>
          <w:bCs/>
          <w:sz w:val="28"/>
          <w:szCs w:val="28"/>
        </w:rPr>
        <w:t>港）兩岸餘下所有的污水輸送到昂船洲作中央處理，維港的水質隨即顯著改善。我們已因應成效檢討落實計劃中第二期乙提升昂船洲污水處理廠的時間表，認為下一步應聚焦改善近岸水質，攔截及避免污水經雨水收集系統流入海港。我們正為問題較大的海岸區域建造首批的旱季截流器，以及在上遊腹地修復老化污水渠，工程預計在</w:t>
      </w:r>
      <w:r w:rsidRPr="003B5BBE">
        <w:rPr>
          <w:rFonts w:eastAsia="標楷體"/>
          <w:bCs/>
          <w:sz w:val="28"/>
          <w:szCs w:val="28"/>
        </w:rPr>
        <w:t>2022</w:t>
      </w:r>
      <w:r w:rsidRPr="003B5BBE">
        <w:rPr>
          <w:rFonts w:eastAsia="標楷體" w:hint="eastAsia"/>
          <w:bCs/>
          <w:sz w:val="28"/>
          <w:szCs w:val="28"/>
        </w:rPr>
        <w:t>年內完成。</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Pr="00520131" w:rsidRDefault="00747021" w:rsidP="00747021">
      <w:pPr>
        <w:pStyle w:val="2"/>
        <w:tabs>
          <w:tab w:val="left" w:pos="1440"/>
        </w:tabs>
        <w:adjustRightInd w:val="0"/>
        <w:snapToGrid w:val="0"/>
        <w:spacing w:after="0" w:line="400" w:lineRule="atLeast"/>
        <w:jc w:val="both"/>
        <w:rPr>
          <w:rFonts w:eastAsia="標楷體"/>
          <w:bCs/>
          <w:i/>
          <w:sz w:val="28"/>
          <w:szCs w:val="28"/>
        </w:rPr>
      </w:pPr>
      <w:r w:rsidRPr="00520131">
        <w:rPr>
          <w:rFonts w:eastAsia="標楷體" w:hint="eastAsia"/>
          <w:bCs/>
          <w:i/>
          <w:sz w:val="28"/>
          <w:szCs w:val="28"/>
        </w:rPr>
        <w:t>泳灘及海水水質</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Default="00747021" w:rsidP="00747021">
      <w:pPr>
        <w:pStyle w:val="2"/>
        <w:tabs>
          <w:tab w:val="left" w:pos="1440"/>
        </w:tabs>
        <w:adjustRightInd w:val="0"/>
        <w:snapToGrid w:val="0"/>
        <w:spacing w:after="0" w:line="400" w:lineRule="atLeast"/>
        <w:jc w:val="both"/>
        <w:rPr>
          <w:rFonts w:eastAsia="標楷體"/>
          <w:b/>
          <w:sz w:val="28"/>
          <w:szCs w:val="28"/>
          <w:lang w:eastAsia="zh-HK"/>
        </w:rPr>
      </w:pPr>
      <w:r>
        <w:rPr>
          <w:rFonts w:eastAsia="標楷體" w:hint="eastAsia"/>
          <w:bCs/>
          <w:sz w:val="28"/>
          <w:szCs w:val="28"/>
        </w:rPr>
        <w:t>3.</w:t>
      </w:r>
      <w:r w:rsidRPr="00910836">
        <w:rPr>
          <w:rFonts w:eastAsia="標楷體"/>
          <w:bCs/>
          <w:sz w:val="28"/>
          <w:szCs w:val="28"/>
        </w:rPr>
        <w:tab/>
      </w:r>
      <w:r w:rsidRPr="003B5BBE">
        <w:rPr>
          <w:rFonts w:eastAsia="標楷體" w:hint="eastAsia"/>
          <w:bCs/>
          <w:sz w:val="28"/>
          <w:szCs w:val="28"/>
        </w:rPr>
        <w:t>泳灘水質的情況與上一次報告第</w:t>
      </w:r>
      <w:r w:rsidRPr="003B5BBE">
        <w:rPr>
          <w:rFonts w:eastAsia="標楷體" w:hint="eastAsia"/>
          <w:bCs/>
          <w:sz w:val="28"/>
          <w:szCs w:val="28"/>
        </w:rPr>
        <w:t>12.169</w:t>
      </w:r>
      <w:r w:rsidRPr="003B5BBE">
        <w:rPr>
          <w:rFonts w:eastAsia="標楷體" w:hint="eastAsia"/>
          <w:bCs/>
          <w:sz w:val="28"/>
          <w:szCs w:val="28"/>
        </w:rPr>
        <w:t>段所述的相同。過去九年，香港泳灘水質一直符合細菌水質指標，適合游泳。香港水域和維港的水質指標整體達標率均保持在</w:t>
      </w:r>
      <w:r w:rsidRPr="003B5BBE">
        <w:rPr>
          <w:rFonts w:eastAsia="標楷體" w:hint="eastAsia"/>
          <w:bCs/>
          <w:sz w:val="28"/>
          <w:szCs w:val="28"/>
        </w:rPr>
        <w:t>80%</w:t>
      </w:r>
      <w:r w:rsidRPr="003B5BBE">
        <w:rPr>
          <w:rFonts w:eastAsia="標楷體" w:hint="eastAsia"/>
          <w:bCs/>
          <w:sz w:val="28"/>
          <w:szCs w:val="28"/>
        </w:rPr>
        <w:t>以上，而維港的平均大腸桿菌水平（這參數並非維港規定的水質指標）已下降至適合進行次級接觸康樂活動的水平。</w:t>
      </w: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p>
    <w:p w:rsidR="00747021" w:rsidRPr="00520131" w:rsidRDefault="00747021" w:rsidP="00747021">
      <w:pPr>
        <w:pStyle w:val="2"/>
        <w:tabs>
          <w:tab w:val="left" w:pos="1440"/>
        </w:tabs>
        <w:adjustRightInd w:val="0"/>
        <w:snapToGrid w:val="0"/>
        <w:spacing w:after="0" w:line="400" w:lineRule="atLeast"/>
        <w:rPr>
          <w:rFonts w:eastAsia="標楷體"/>
          <w:sz w:val="28"/>
          <w:szCs w:val="28"/>
          <w:u w:val="single"/>
          <w:lang w:eastAsia="zh-HK"/>
        </w:rPr>
      </w:pPr>
      <w:r w:rsidRPr="00520131">
        <w:rPr>
          <w:rFonts w:eastAsia="標楷體" w:hint="eastAsia"/>
          <w:sz w:val="28"/>
          <w:szCs w:val="28"/>
          <w:u w:val="single"/>
          <w:lang w:eastAsia="zh-HK"/>
        </w:rPr>
        <w:t>廢物管理</w:t>
      </w: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4.</w:t>
      </w:r>
      <w:r w:rsidRPr="00910836">
        <w:rPr>
          <w:rFonts w:eastAsia="標楷體"/>
          <w:bCs/>
          <w:sz w:val="28"/>
          <w:szCs w:val="28"/>
        </w:rPr>
        <w:tab/>
      </w:r>
      <w:r w:rsidRPr="003B5BBE">
        <w:rPr>
          <w:rFonts w:eastAsia="標楷體" w:hint="eastAsia"/>
          <w:bCs/>
          <w:sz w:val="28"/>
          <w:szCs w:val="28"/>
        </w:rPr>
        <w:t>政府高度重視廢物管理，並正採取全方位措施，多管齊下，以達至減廢目標。我們在</w:t>
      </w:r>
      <w:r w:rsidRPr="003B5BBE">
        <w:rPr>
          <w:rFonts w:eastAsia="標楷體" w:hint="eastAsia"/>
          <w:bCs/>
          <w:sz w:val="28"/>
          <w:szCs w:val="28"/>
        </w:rPr>
        <w:t>2013</w:t>
      </w:r>
      <w:r w:rsidRPr="003B5BBE">
        <w:rPr>
          <w:rFonts w:eastAsia="標楷體" w:hint="eastAsia"/>
          <w:bCs/>
          <w:sz w:val="28"/>
          <w:szCs w:val="28"/>
        </w:rPr>
        <w:t>年</w:t>
      </w:r>
      <w:r w:rsidRPr="003B5BBE">
        <w:rPr>
          <w:rFonts w:eastAsia="標楷體" w:hint="eastAsia"/>
          <w:bCs/>
          <w:sz w:val="28"/>
          <w:szCs w:val="28"/>
        </w:rPr>
        <w:t>5</w:t>
      </w:r>
      <w:r w:rsidRPr="003B5BBE">
        <w:rPr>
          <w:rFonts w:eastAsia="標楷體" w:hint="eastAsia"/>
          <w:bCs/>
          <w:sz w:val="28"/>
          <w:szCs w:val="28"/>
        </w:rPr>
        <w:t>月發表《香港資源循環藍圖</w:t>
      </w:r>
      <w:r w:rsidRPr="003B5BBE">
        <w:rPr>
          <w:rFonts w:eastAsia="標楷體" w:hint="eastAsia"/>
          <w:bCs/>
          <w:sz w:val="28"/>
          <w:szCs w:val="28"/>
        </w:rPr>
        <w:t>2013</w:t>
      </w:r>
      <w:r w:rsidRPr="003B5BBE">
        <w:rPr>
          <w:rFonts w:eastAsia="標楷體" w:hint="eastAsia"/>
          <w:bCs/>
          <w:sz w:val="28"/>
          <w:szCs w:val="28"/>
        </w:rPr>
        <w:lastRenderedPageBreak/>
        <w:t>－</w:t>
      </w:r>
      <w:r w:rsidRPr="003B5BBE">
        <w:rPr>
          <w:rFonts w:eastAsia="標楷體" w:hint="eastAsia"/>
          <w:bCs/>
          <w:sz w:val="28"/>
          <w:szCs w:val="28"/>
        </w:rPr>
        <w:t>2022</w:t>
      </w:r>
      <w:r w:rsidRPr="003B5BBE">
        <w:rPr>
          <w:rFonts w:eastAsia="標楷體" w:hint="eastAsia"/>
          <w:bCs/>
          <w:sz w:val="28"/>
          <w:szCs w:val="28"/>
        </w:rPr>
        <w:t>》，分析香港廢物管理的挑戰和機遇，為往後十年廢物管理闡述整全策略、具體目標、政策措施和行動時間表，全面應對香港的廢物危機。我們正全力落實該藍圖。當中，都市固體廢物收費是整個減廢策略的重要一環，透過提供經濟誘因，移風易俗，鼓勵市民更積極落實源頭減廢和乾淨回收。政府已於</w:t>
      </w:r>
      <w:r w:rsidRPr="003B5BBE">
        <w:rPr>
          <w:rFonts w:eastAsia="標楷體" w:hint="eastAsia"/>
          <w:bCs/>
          <w:sz w:val="28"/>
          <w:szCs w:val="28"/>
        </w:rPr>
        <w:t>2018</w:t>
      </w:r>
      <w:r w:rsidRPr="003B5BBE">
        <w:rPr>
          <w:rFonts w:eastAsia="標楷體" w:hint="eastAsia"/>
          <w:bCs/>
          <w:sz w:val="28"/>
          <w:szCs w:val="28"/>
        </w:rPr>
        <w:t>年</w:t>
      </w:r>
      <w:r w:rsidRPr="003B5BBE">
        <w:rPr>
          <w:rFonts w:eastAsia="標楷體" w:hint="eastAsia"/>
          <w:bCs/>
          <w:sz w:val="28"/>
          <w:szCs w:val="28"/>
        </w:rPr>
        <w:t>11</w:t>
      </w:r>
      <w:r w:rsidRPr="003B5BBE">
        <w:rPr>
          <w:rFonts w:eastAsia="標楷體" w:hint="eastAsia"/>
          <w:bCs/>
          <w:sz w:val="28"/>
          <w:szCs w:val="28"/>
        </w:rPr>
        <w:t>月向立法會提交都市固體廢物收費的條例草案。為配合都市固體廢物收費的實施，政府將提供額外恆常資源，以加強減廢和回收的工作。此額外資源的數額將與我們估算的都市固體廢物收費總收入相若，以達致「專款專用」的效果。</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Pr="00221C37" w:rsidRDefault="00747021" w:rsidP="00747021">
      <w:pPr>
        <w:pStyle w:val="2"/>
        <w:tabs>
          <w:tab w:val="left" w:pos="1440"/>
        </w:tabs>
        <w:adjustRightInd w:val="0"/>
        <w:snapToGrid w:val="0"/>
        <w:spacing w:after="0" w:line="400" w:lineRule="atLeast"/>
        <w:jc w:val="both"/>
        <w:rPr>
          <w:rFonts w:eastAsia="標楷體"/>
          <w:bCs/>
          <w:spacing w:val="4"/>
          <w:sz w:val="28"/>
          <w:szCs w:val="28"/>
        </w:rPr>
      </w:pPr>
      <w:r>
        <w:rPr>
          <w:rFonts w:eastAsia="標楷體" w:hint="eastAsia"/>
          <w:bCs/>
          <w:sz w:val="28"/>
          <w:szCs w:val="28"/>
        </w:rPr>
        <w:t>5.</w:t>
      </w:r>
      <w:r w:rsidRPr="00910836">
        <w:rPr>
          <w:rFonts w:eastAsia="標楷體"/>
          <w:bCs/>
          <w:sz w:val="28"/>
          <w:szCs w:val="28"/>
        </w:rPr>
        <w:tab/>
      </w:r>
      <w:r w:rsidRPr="003B5BBE">
        <w:rPr>
          <w:rFonts w:eastAsia="標楷體" w:hint="eastAsia"/>
          <w:bCs/>
          <w:sz w:val="28"/>
          <w:szCs w:val="28"/>
        </w:rPr>
        <w:t>我們亦正逐步推展多項生產者責任計劃，進一步促進資源循環及建立循環經濟。塑膠購物袋收費計劃在</w:t>
      </w:r>
      <w:r w:rsidRPr="003B5BBE">
        <w:rPr>
          <w:rFonts w:eastAsia="標楷體" w:hint="eastAsia"/>
          <w:bCs/>
          <w:sz w:val="28"/>
          <w:szCs w:val="28"/>
        </w:rPr>
        <w:t>2015</w:t>
      </w:r>
      <w:r w:rsidRPr="003B5BBE">
        <w:rPr>
          <w:rFonts w:eastAsia="標楷體" w:hint="eastAsia"/>
          <w:bCs/>
          <w:sz w:val="28"/>
          <w:szCs w:val="28"/>
        </w:rPr>
        <w:t>年全面推行。「四電一腦」生產者責任計劃於</w:t>
      </w:r>
      <w:r w:rsidRPr="003B5BBE">
        <w:rPr>
          <w:rFonts w:eastAsia="標楷體" w:hint="eastAsia"/>
          <w:bCs/>
          <w:sz w:val="28"/>
          <w:szCs w:val="28"/>
        </w:rPr>
        <w:t>2018</w:t>
      </w:r>
      <w:r w:rsidRPr="003B5BBE">
        <w:rPr>
          <w:rFonts w:eastAsia="標楷體" w:hint="eastAsia"/>
          <w:bCs/>
          <w:sz w:val="28"/>
          <w:szCs w:val="28"/>
        </w:rPr>
        <w:t>年實施，提供方便的回收渠道，妥善收集須棄置的舊電器。政府為配合計劃而興建的廢電器電子產品處理及回收設施（</w:t>
      </w:r>
      <w:r w:rsidRPr="003B5BBE">
        <w:rPr>
          <w:rFonts w:eastAsia="標楷體" w:hint="eastAsia"/>
          <w:bCs/>
          <w:sz w:val="28"/>
          <w:szCs w:val="28"/>
        </w:rPr>
        <w:t>WEEE PARK</w:t>
      </w:r>
      <w:r w:rsidRPr="003B5BBE">
        <w:rPr>
          <w:rFonts w:eastAsia="標楷體" w:hint="eastAsia"/>
          <w:bCs/>
          <w:sz w:val="28"/>
          <w:szCs w:val="28"/>
        </w:rPr>
        <w:t>）自</w:t>
      </w:r>
      <w:r w:rsidRPr="003B5BBE">
        <w:rPr>
          <w:rFonts w:eastAsia="標楷體" w:hint="eastAsia"/>
          <w:bCs/>
          <w:sz w:val="28"/>
          <w:szCs w:val="28"/>
        </w:rPr>
        <w:t>2017</w:t>
      </w:r>
      <w:r w:rsidRPr="003B5BBE">
        <w:rPr>
          <w:rFonts w:eastAsia="標楷體" w:hint="eastAsia"/>
          <w:bCs/>
          <w:sz w:val="28"/>
          <w:szCs w:val="28"/>
        </w:rPr>
        <w:t>年</w:t>
      </w:r>
      <w:r w:rsidRPr="003B5BBE">
        <w:rPr>
          <w:rFonts w:eastAsia="標楷體" w:hint="eastAsia"/>
          <w:bCs/>
          <w:sz w:val="28"/>
          <w:szCs w:val="28"/>
        </w:rPr>
        <w:t>10</w:t>
      </w:r>
      <w:r w:rsidRPr="003B5BBE">
        <w:rPr>
          <w:rFonts w:eastAsia="標楷體" w:hint="eastAsia"/>
          <w:bCs/>
          <w:sz w:val="28"/>
          <w:szCs w:val="28"/>
        </w:rPr>
        <w:t>月開始運作，截至</w:t>
      </w:r>
      <w:r w:rsidRPr="003B5BBE">
        <w:rPr>
          <w:rFonts w:eastAsia="標楷體" w:hint="eastAsia"/>
          <w:bCs/>
          <w:sz w:val="28"/>
          <w:szCs w:val="28"/>
        </w:rPr>
        <w:t>2018</w:t>
      </w:r>
      <w:r w:rsidRPr="003B5BBE">
        <w:rPr>
          <w:rFonts w:eastAsia="標楷體" w:hint="eastAsia"/>
          <w:bCs/>
          <w:sz w:val="28"/>
          <w:szCs w:val="28"/>
        </w:rPr>
        <w:t>年年底已累積處理超過</w:t>
      </w:r>
      <w:r w:rsidRPr="003B5BBE">
        <w:rPr>
          <w:rFonts w:eastAsia="標楷體" w:hint="eastAsia"/>
          <w:bCs/>
          <w:sz w:val="28"/>
          <w:szCs w:val="28"/>
        </w:rPr>
        <w:t>11</w:t>
      </w:r>
      <w:r w:rsidR="001E0DE8">
        <w:rPr>
          <w:rFonts w:eastAsia="標楷體"/>
          <w:bCs/>
          <w:sz w:val="28"/>
          <w:szCs w:val="28"/>
        </w:rPr>
        <w:t> </w:t>
      </w:r>
      <w:r w:rsidRPr="003B5BBE">
        <w:rPr>
          <w:rFonts w:eastAsia="標楷體" w:hint="eastAsia"/>
          <w:bCs/>
          <w:sz w:val="28"/>
          <w:szCs w:val="28"/>
        </w:rPr>
        <w:t>700</w:t>
      </w:r>
      <w:r w:rsidRPr="003B5BBE">
        <w:rPr>
          <w:rFonts w:eastAsia="標楷體" w:hint="eastAsia"/>
          <w:bCs/>
          <w:sz w:val="28"/>
          <w:szCs w:val="28"/>
        </w:rPr>
        <w:t>公噸廢電器電子產品，讓這些原本在</w:t>
      </w:r>
      <w:r w:rsidRPr="00221C37">
        <w:rPr>
          <w:rFonts w:eastAsia="標楷體" w:hint="eastAsia"/>
          <w:bCs/>
          <w:spacing w:val="4"/>
          <w:sz w:val="28"/>
          <w:szCs w:val="28"/>
        </w:rPr>
        <w:t>本港產生但出口處理或送往堆填區的廢電器電子產品獲得妥善回收。</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6.</w:t>
      </w:r>
      <w:r w:rsidRPr="00910836">
        <w:rPr>
          <w:rFonts w:eastAsia="標楷體"/>
          <w:bCs/>
          <w:sz w:val="28"/>
          <w:szCs w:val="28"/>
        </w:rPr>
        <w:tab/>
      </w:r>
      <w:r w:rsidRPr="003B5BBE">
        <w:rPr>
          <w:rFonts w:eastAsia="標楷體" w:hint="eastAsia"/>
          <w:bCs/>
          <w:sz w:val="28"/>
          <w:szCs w:val="28"/>
        </w:rPr>
        <w:t>我們亦正推展玻璃飲料容器生產者責任計劃，並已委聘玻璃管理承辦商提供廢玻璃容器收集和處理服務。承辦商已全面接手原有的自願性計劃，並進一步擴展其回收網絡。整體來說，有關服務開展後，</w:t>
      </w:r>
      <w:r w:rsidRPr="003B5BBE">
        <w:rPr>
          <w:rFonts w:eastAsia="標楷體" w:hint="eastAsia"/>
          <w:bCs/>
          <w:sz w:val="28"/>
          <w:szCs w:val="28"/>
        </w:rPr>
        <w:t>2018</w:t>
      </w:r>
      <w:r w:rsidRPr="003B5BBE">
        <w:rPr>
          <w:rFonts w:eastAsia="標楷體" w:hint="eastAsia"/>
          <w:bCs/>
          <w:sz w:val="28"/>
          <w:szCs w:val="28"/>
        </w:rPr>
        <w:t>年回收廢玻璃容器的總量較</w:t>
      </w:r>
      <w:r w:rsidRPr="003B5BBE">
        <w:rPr>
          <w:rFonts w:eastAsia="標楷體" w:hint="eastAsia"/>
          <w:bCs/>
          <w:sz w:val="28"/>
          <w:szCs w:val="28"/>
        </w:rPr>
        <w:t>2017</w:t>
      </w:r>
      <w:r w:rsidRPr="003B5BBE">
        <w:rPr>
          <w:rFonts w:eastAsia="標楷體" w:hint="eastAsia"/>
          <w:bCs/>
          <w:sz w:val="28"/>
          <w:szCs w:val="28"/>
        </w:rPr>
        <w:t>年增加了約</w:t>
      </w:r>
      <w:r w:rsidRPr="003B5BBE">
        <w:rPr>
          <w:rFonts w:eastAsia="標楷體" w:hint="eastAsia"/>
          <w:bCs/>
          <w:sz w:val="28"/>
          <w:szCs w:val="28"/>
        </w:rPr>
        <w:t>45%</w:t>
      </w:r>
      <w:r w:rsidRPr="003B5BBE">
        <w:rPr>
          <w:rFonts w:eastAsia="標楷體" w:hint="eastAsia"/>
          <w:bCs/>
          <w:sz w:val="28"/>
          <w:szCs w:val="28"/>
        </w:rPr>
        <w:t>。</w:t>
      </w:r>
    </w:p>
    <w:p w:rsidR="00747021" w:rsidRPr="003B5BBE"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7.</w:t>
      </w:r>
      <w:r w:rsidRPr="00910836">
        <w:rPr>
          <w:rFonts w:eastAsia="標楷體"/>
          <w:bCs/>
          <w:sz w:val="28"/>
          <w:szCs w:val="28"/>
        </w:rPr>
        <w:tab/>
      </w:r>
      <w:r w:rsidRPr="003B5BBE">
        <w:rPr>
          <w:rFonts w:eastAsia="標楷體" w:hint="eastAsia"/>
          <w:bCs/>
          <w:sz w:val="28"/>
          <w:szCs w:val="28"/>
        </w:rPr>
        <w:t>此外，政府於</w:t>
      </w:r>
      <w:r w:rsidRPr="003B5BBE">
        <w:rPr>
          <w:rFonts w:eastAsia="標楷體" w:hint="eastAsia"/>
          <w:bCs/>
          <w:sz w:val="28"/>
          <w:szCs w:val="28"/>
        </w:rPr>
        <w:t>2017</w:t>
      </w:r>
      <w:r w:rsidRPr="003B5BBE">
        <w:rPr>
          <w:rFonts w:eastAsia="標楷體" w:hint="eastAsia"/>
          <w:bCs/>
          <w:sz w:val="28"/>
          <w:szCs w:val="28"/>
        </w:rPr>
        <w:t>年</w:t>
      </w:r>
      <w:r w:rsidRPr="003B5BBE">
        <w:rPr>
          <w:rFonts w:eastAsia="標楷體" w:hint="eastAsia"/>
          <w:bCs/>
          <w:sz w:val="28"/>
          <w:szCs w:val="28"/>
        </w:rPr>
        <w:t>10</w:t>
      </w:r>
      <w:r w:rsidRPr="003B5BBE">
        <w:rPr>
          <w:rFonts w:eastAsia="標楷體" w:hint="eastAsia"/>
          <w:bCs/>
          <w:sz w:val="28"/>
          <w:szCs w:val="28"/>
        </w:rPr>
        <w:t>月展開顧問研究，探討如何為盛載飲料和個人護理產品的塑膠容器引入生產者責任計劃。經考慮顧問的建議，政府決定推展生產者責任計劃，優先處理佔本港整體棄置廢塑膠容器中約六成的塑膠飲料容器。</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8.</w:t>
      </w:r>
      <w:r w:rsidRPr="00910836">
        <w:rPr>
          <w:rFonts w:eastAsia="標楷體"/>
          <w:bCs/>
          <w:sz w:val="28"/>
          <w:szCs w:val="28"/>
        </w:rPr>
        <w:tab/>
      </w:r>
      <w:r w:rsidRPr="003B5BBE">
        <w:rPr>
          <w:rFonts w:eastAsia="標楷體" w:hint="eastAsia"/>
          <w:bCs/>
          <w:sz w:val="28"/>
          <w:szCs w:val="28"/>
        </w:rPr>
        <w:t>鑑於即棄塑膠餐具對本港以至全球海洋環境和生態的潛在影響，我們會研究管制或禁制即棄塑膠餐具的可行性、範圍及機制。政府正帶頭在主要服務政府員工的場所禁止提供膠飲管和發泡膠餐盒，並與餐飲業合作，推廣減少使用即棄塑膠餐具。</w:t>
      </w:r>
    </w:p>
    <w:p w:rsidR="00747021" w:rsidRDefault="00747021" w:rsidP="00747021">
      <w:pPr>
        <w:pStyle w:val="2"/>
        <w:tabs>
          <w:tab w:val="left" w:pos="1440"/>
        </w:tabs>
        <w:adjustRightInd w:val="0"/>
        <w:snapToGrid w:val="0"/>
        <w:spacing w:after="0" w:line="400" w:lineRule="atLeast"/>
        <w:rPr>
          <w:rFonts w:eastAsia="標楷體"/>
          <w:b/>
          <w:sz w:val="28"/>
          <w:szCs w:val="28"/>
          <w:lang w:eastAsia="zh-HK"/>
        </w:rPr>
      </w:pPr>
    </w:p>
    <w:p w:rsidR="00747021" w:rsidRDefault="00747021" w:rsidP="00747021">
      <w:pPr>
        <w:pStyle w:val="2"/>
        <w:tabs>
          <w:tab w:val="left" w:pos="1440"/>
        </w:tabs>
        <w:adjustRightInd w:val="0"/>
        <w:snapToGrid w:val="0"/>
        <w:spacing w:after="0" w:line="400" w:lineRule="atLeast"/>
        <w:rPr>
          <w:rFonts w:eastAsia="標楷體"/>
          <w:b/>
          <w:sz w:val="28"/>
          <w:szCs w:val="28"/>
          <w:lang w:eastAsia="zh-HK"/>
        </w:rPr>
      </w:pPr>
      <w:r w:rsidRPr="00520131">
        <w:rPr>
          <w:rFonts w:eastAsia="標楷體" w:hint="eastAsia"/>
          <w:sz w:val="28"/>
          <w:szCs w:val="28"/>
          <w:u w:val="single"/>
          <w:lang w:eastAsia="zh-HK"/>
        </w:rPr>
        <w:lastRenderedPageBreak/>
        <w:t>空氣污染管制</w:t>
      </w: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9.</w:t>
      </w:r>
      <w:r w:rsidRPr="00910836">
        <w:rPr>
          <w:rFonts w:eastAsia="標楷體"/>
          <w:bCs/>
          <w:sz w:val="28"/>
          <w:szCs w:val="28"/>
        </w:rPr>
        <w:tab/>
      </w:r>
      <w:r w:rsidRPr="003B5BBE">
        <w:rPr>
          <w:rFonts w:eastAsia="標楷體" w:hint="eastAsia"/>
          <w:bCs/>
          <w:sz w:val="28"/>
          <w:szCs w:val="28"/>
        </w:rPr>
        <w:t>政府致力與社會各界聯手改善空氣質素：政府於</w:t>
      </w:r>
      <w:r w:rsidRPr="003B5BBE">
        <w:rPr>
          <w:rFonts w:eastAsia="標楷體" w:hint="eastAsia"/>
          <w:bCs/>
          <w:sz w:val="28"/>
          <w:szCs w:val="28"/>
        </w:rPr>
        <w:t>2013</w:t>
      </w:r>
      <w:r w:rsidRPr="003B5BBE">
        <w:rPr>
          <w:rFonts w:eastAsia="標楷體" w:hint="eastAsia"/>
          <w:bCs/>
          <w:sz w:val="28"/>
          <w:szCs w:val="28"/>
        </w:rPr>
        <w:t>年</w:t>
      </w:r>
      <w:r w:rsidRPr="003B5BBE">
        <w:rPr>
          <w:rFonts w:eastAsia="標楷體" w:hint="eastAsia"/>
          <w:bCs/>
          <w:sz w:val="28"/>
          <w:szCs w:val="28"/>
        </w:rPr>
        <w:t>3</w:t>
      </w:r>
      <w:r w:rsidRPr="003B5BBE">
        <w:rPr>
          <w:rFonts w:eastAsia="標楷體" w:hint="eastAsia"/>
          <w:bCs/>
          <w:sz w:val="28"/>
          <w:szCs w:val="28"/>
        </w:rPr>
        <w:t>月發表《香港清新空氣藍圖》，詳細列出各項改善空氣質素的政策和措施。政府一直推行多項載述於該藍圖的措施，涵蓋海陸交通、發電廠和非路面流動機械。</w:t>
      </w:r>
    </w:p>
    <w:p w:rsidR="00747021" w:rsidRDefault="00747021" w:rsidP="00747021">
      <w:pPr>
        <w:pStyle w:val="2"/>
        <w:tabs>
          <w:tab w:val="left" w:pos="1440"/>
        </w:tabs>
        <w:adjustRightInd w:val="0"/>
        <w:snapToGrid w:val="0"/>
        <w:spacing w:after="0" w:line="400" w:lineRule="atLeast"/>
        <w:rPr>
          <w:rFonts w:eastAsia="標楷體"/>
          <w:bCs/>
          <w:sz w:val="28"/>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10.</w:t>
      </w:r>
      <w:r w:rsidRPr="00910836">
        <w:rPr>
          <w:rFonts w:eastAsia="標楷體"/>
          <w:bCs/>
          <w:sz w:val="28"/>
          <w:szCs w:val="28"/>
        </w:rPr>
        <w:tab/>
      </w:r>
      <w:r w:rsidRPr="003B5BBE">
        <w:rPr>
          <w:rFonts w:eastAsia="標楷體" w:hint="eastAsia"/>
          <w:bCs/>
          <w:sz w:val="28"/>
          <w:szCs w:val="28"/>
        </w:rPr>
        <w:t>為改善路邊空氣質素，政府已實施多項車輛廢氣管制計劃及不同措施減少本地排放源，詳見</w:t>
      </w:r>
      <w:r w:rsidRPr="00520131">
        <w:rPr>
          <w:rFonts w:eastAsia="標楷體" w:hint="eastAsia"/>
          <w:b/>
          <w:bCs/>
          <w:sz w:val="28"/>
          <w:szCs w:val="28"/>
        </w:rPr>
        <w:t>附</w:t>
      </w:r>
      <w:r w:rsidRPr="00520131">
        <w:rPr>
          <w:rFonts w:eastAsia="標楷體" w:hint="eastAsia"/>
          <w:b/>
          <w:bCs/>
          <w:sz w:val="28"/>
          <w:szCs w:val="28"/>
          <w:lang w:eastAsia="zh-HK"/>
        </w:rPr>
        <w:t>錄</w:t>
      </w:r>
      <w:r w:rsidRPr="003B5BBE">
        <w:rPr>
          <w:rFonts w:eastAsia="標楷體" w:hint="eastAsia"/>
          <w:bCs/>
          <w:sz w:val="28"/>
          <w:szCs w:val="28"/>
        </w:rPr>
        <w:t>。</w:t>
      </w:r>
    </w:p>
    <w:p w:rsidR="00747021" w:rsidRDefault="00747021" w:rsidP="00747021">
      <w:pPr>
        <w:pStyle w:val="2"/>
        <w:tabs>
          <w:tab w:val="left" w:pos="1440"/>
        </w:tabs>
        <w:adjustRightInd w:val="0"/>
        <w:snapToGrid w:val="0"/>
        <w:spacing w:after="0" w:line="400" w:lineRule="atLeast"/>
        <w:rPr>
          <w:rFonts w:eastAsia="標楷體"/>
          <w:sz w:val="28"/>
          <w:szCs w:val="28"/>
          <w:lang w:eastAsia="zh-HK"/>
        </w:rPr>
      </w:pPr>
    </w:p>
    <w:p w:rsidR="00747021" w:rsidRDefault="00747021" w:rsidP="00747021">
      <w:pPr>
        <w:pStyle w:val="2"/>
        <w:tabs>
          <w:tab w:val="left" w:pos="1488"/>
        </w:tabs>
        <w:adjustRightInd w:val="0"/>
        <w:snapToGrid w:val="0"/>
        <w:spacing w:after="0" w:line="400" w:lineRule="atLeast"/>
        <w:jc w:val="both"/>
        <w:rPr>
          <w:rFonts w:eastAsia="標楷體"/>
          <w:bCs/>
          <w:sz w:val="28"/>
          <w:szCs w:val="28"/>
        </w:rPr>
      </w:pPr>
      <w:r>
        <w:rPr>
          <w:rFonts w:eastAsia="標楷體" w:hint="eastAsia"/>
          <w:bCs/>
          <w:sz w:val="28"/>
          <w:szCs w:val="28"/>
        </w:rPr>
        <w:t>11.</w:t>
      </w:r>
      <w:r w:rsidRPr="00910836">
        <w:rPr>
          <w:rFonts w:eastAsia="標楷體"/>
          <w:bCs/>
          <w:sz w:val="28"/>
          <w:szCs w:val="28"/>
        </w:rPr>
        <w:tab/>
      </w:r>
      <w:r w:rsidRPr="003B5BBE">
        <w:rPr>
          <w:rFonts w:eastAsia="標楷體" w:hint="eastAsia"/>
          <w:bCs/>
          <w:sz w:val="28"/>
          <w:szCs w:val="28"/>
        </w:rPr>
        <w:t>在推行全面空氣質素改善措施後，污染物濃度已有所改善。相對於</w:t>
      </w:r>
      <w:r w:rsidRPr="003B5BBE">
        <w:rPr>
          <w:rFonts w:eastAsia="標楷體" w:hint="eastAsia"/>
          <w:bCs/>
          <w:sz w:val="28"/>
          <w:szCs w:val="28"/>
        </w:rPr>
        <w:t>2013</w:t>
      </w:r>
      <w:r w:rsidRPr="003B5BBE">
        <w:rPr>
          <w:rFonts w:eastAsia="標楷體" w:hint="eastAsia"/>
          <w:bCs/>
          <w:sz w:val="28"/>
          <w:szCs w:val="28"/>
        </w:rPr>
        <w:t>年，</w:t>
      </w:r>
      <w:r w:rsidRPr="003B5BBE">
        <w:rPr>
          <w:rFonts w:eastAsia="標楷體" w:hint="eastAsia"/>
          <w:bCs/>
          <w:sz w:val="28"/>
          <w:szCs w:val="28"/>
        </w:rPr>
        <w:t>2018</w:t>
      </w:r>
      <w:r w:rsidRPr="003B5BBE">
        <w:rPr>
          <w:rFonts w:eastAsia="標楷體" w:hint="eastAsia"/>
          <w:bCs/>
          <w:sz w:val="28"/>
          <w:szCs w:val="28"/>
        </w:rPr>
        <w:t>年大氣中的可吸入懸浮粒子、微細懸浮粒子、二氧化氮和二氧化硫濃度，分別下降了</w:t>
      </w:r>
      <w:r w:rsidRPr="003B5BBE">
        <w:rPr>
          <w:rFonts w:eastAsia="標楷體" w:hint="eastAsia"/>
          <w:bCs/>
          <w:sz w:val="28"/>
          <w:szCs w:val="28"/>
        </w:rPr>
        <w:t>30%</w:t>
      </w:r>
      <w:r w:rsidRPr="003B5BBE">
        <w:rPr>
          <w:rFonts w:eastAsia="標楷體" w:hint="eastAsia"/>
          <w:bCs/>
          <w:sz w:val="28"/>
          <w:szCs w:val="28"/>
        </w:rPr>
        <w:t>、</w:t>
      </w:r>
      <w:r w:rsidRPr="003B5BBE">
        <w:rPr>
          <w:rFonts w:eastAsia="標楷體" w:hint="eastAsia"/>
          <w:bCs/>
          <w:sz w:val="28"/>
          <w:szCs w:val="28"/>
        </w:rPr>
        <w:t>35%</w:t>
      </w:r>
      <w:r w:rsidRPr="003B5BBE">
        <w:rPr>
          <w:rFonts w:eastAsia="標楷體" w:hint="eastAsia"/>
          <w:bCs/>
          <w:sz w:val="28"/>
          <w:szCs w:val="28"/>
        </w:rPr>
        <w:t>、</w:t>
      </w:r>
      <w:r w:rsidRPr="003B5BBE">
        <w:rPr>
          <w:rFonts w:eastAsia="標楷體" w:hint="eastAsia"/>
          <w:bCs/>
          <w:sz w:val="28"/>
          <w:szCs w:val="28"/>
        </w:rPr>
        <w:t>28%</w:t>
      </w:r>
      <w:r w:rsidRPr="003B5BBE">
        <w:rPr>
          <w:rFonts w:eastAsia="標楷體" w:hint="eastAsia"/>
          <w:bCs/>
          <w:sz w:val="28"/>
          <w:szCs w:val="28"/>
        </w:rPr>
        <w:t>和</w:t>
      </w:r>
      <w:r w:rsidRPr="003B5BBE">
        <w:rPr>
          <w:rFonts w:eastAsia="標楷體" w:hint="eastAsia"/>
          <w:bCs/>
          <w:sz w:val="28"/>
          <w:szCs w:val="28"/>
        </w:rPr>
        <w:t>54%</w:t>
      </w:r>
      <w:r w:rsidRPr="003B5BBE">
        <w:rPr>
          <w:rFonts w:eastAsia="標楷體" w:hint="eastAsia"/>
          <w:bCs/>
          <w:sz w:val="28"/>
          <w:szCs w:val="28"/>
        </w:rPr>
        <w:t>。同期間，路邊的可吸入懸浮粒子、微細懸浮粒子、二氧化氮和二氧化硫水平亦分別下降了</w:t>
      </w:r>
      <w:r w:rsidRPr="003B5BBE">
        <w:rPr>
          <w:rFonts w:eastAsia="標楷體" w:hint="eastAsia"/>
          <w:bCs/>
          <w:sz w:val="28"/>
          <w:szCs w:val="28"/>
        </w:rPr>
        <w:t>32%</w:t>
      </w:r>
      <w:r w:rsidRPr="003B5BBE">
        <w:rPr>
          <w:rFonts w:eastAsia="標楷體" w:hint="eastAsia"/>
          <w:bCs/>
          <w:sz w:val="28"/>
          <w:szCs w:val="28"/>
        </w:rPr>
        <w:t>、</w:t>
      </w:r>
      <w:r w:rsidRPr="003B5BBE">
        <w:rPr>
          <w:rFonts w:eastAsia="標楷體" w:hint="eastAsia"/>
          <w:bCs/>
          <w:sz w:val="28"/>
          <w:szCs w:val="28"/>
        </w:rPr>
        <w:t>32%</w:t>
      </w:r>
      <w:r w:rsidRPr="003B5BBE">
        <w:rPr>
          <w:rFonts w:eastAsia="標楷體" w:hint="eastAsia"/>
          <w:bCs/>
          <w:sz w:val="28"/>
          <w:szCs w:val="28"/>
        </w:rPr>
        <w:t>、</w:t>
      </w:r>
      <w:r w:rsidRPr="003B5BBE">
        <w:rPr>
          <w:rFonts w:eastAsia="標楷體" w:hint="eastAsia"/>
          <w:bCs/>
          <w:sz w:val="28"/>
          <w:szCs w:val="28"/>
        </w:rPr>
        <w:t>32%</w:t>
      </w:r>
      <w:r w:rsidRPr="003B5BBE">
        <w:rPr>
          <w:rFonts w:eastAsia="標楷體" w:hint="eastAsia"/>
          <w:bCs/>
          <w:sz w:val="28"/>
          <w:szCs w:val="28"/>
        </w:rPr>
        <w:t>和</w:t>
      </w:r>
      <w:r w:rsidRPr="003B5BBE">
        <w:rPr>
          <w:rFonts w:eastAsia="標楷體" w:hint="eastAsia"/>
          <w:bCs/>
          <w:sz w:val="28"/>
          <w:szCs w:val="28"/>
        </w:rPr>
        <w:t>36%</w:t>
      </w:r>
      <w:r w:rsidRPr="003B5BBE">
        <w:rPr>
          <w:rFonts w:eastAsia="標楷體" w:hint="eastAsia"/>
          <w:bCs/>
          <w:sz w:val="28"/>
          <w:szCs w:val="28"/>
        </w:rPr>
        <w:t>。</w:t>
      </w:r>
    </w:p>
    <w:p w:rsidR="00747021" w:rsidRPr="003B5BBE" w:rsidRDefault="00747021" w:rsidP="00747021">
      <w:pPr>
        <w:pStyle w:val="2"/>
        <w:tabs>
          <w:tab w:val="left" w:pos="1440"/>
        </w:tabs>
        <w:adjustRightInd w:val="0"/>
        <w:snapToGrid w:val="0"/>
        <w:spacing w:after="0" w:line="400" w:lineRule="atLeast"/>
        <w:rPr>
          <w:rFonts w:eastAsia="標楷體"/>
          <w:b/>
          <w:sz w:val="28"/>
          <w:szCs w:val="28"/>
          <w:lang w:eastAsia="zh-HK"/>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12.</w:t>
      </w:r>
      <w:r w:rsidRPr="00910836">
        <w:rPr>
          <w:rFonts w:eastAsia="標楷體"/>
          <w:bCs/>
          <w:sz w:val="28"/>
          <w:szCs w:val="28"/>
        </w:rPr>
        <w:tab/>
      </w:r>
      <w:r w:rsidRPr="003B5BBE">
        <w:rPr>
          <w:rFonts w:eastAsia="標楷體" w:hint="eastAsia"/>
          <w:bCs/>
          <w:sz w:val="28"/>
          <w:szCs w:val="28"/>
        </w:rPr>
        <w:t>同時，我們自九十年代起一直與廣東省政府合作，以改善珠江三角洲地區的空氣質素。區域空氣監測網絡於</w:t>
      </w:r>
      <w:r w:rsidRPr="003B5BBE">
        <w:rPr>
          <w:rFonts w:eastAsia="標楷體" w:hint="eastAsia"/>
          <w:bCs/>
          <w:sz w:val="28"/>
          <w:szCs w:val="28"/>
        </w:rPr>
        <w:t>2005</w:t>
      </w:r>
      <w:r w:rsidRPr="003B5BBE">
        <w:rPr>
          <w:rFonts w:eastAsia="標楷體" w:hint="eastAsia"/>
          <w:bCs/>
          <w:sz w:val="28"/>
          <w:szCs w:val="28"/>
        </w:rPr>
        <w:t>年成立，現時由</w:t>
      </w:r>
      <w:r w:rsidRPr="003B5BBE">
        <w:rPr>
          <w:rFonts w:eastAsia="標楷體" w:hint="eastAsia"/>
          <w:bCs/>
          <w:sz w:val="28"/>
          <w:szCs w:val="28"/>
        </w:rPr>
        <w:t>23</w:t>
      </w:r>
      <w:r w:rsidRPr="003B5BBE">
        <w:rPr>
          <w:rFonts w:eastAsia="標楷體" w:hint="eastAsia"/>
          <w:bCs/>
          <w:sz w:val="28"/>
          <w:szCs w:val="28"/>
        </w:rPr>
        <w:t>個空氣監測站組成。我們會定期就空氣污染預測技術進行技術交流和舉行研討會。我們亦與廣東省的環保部門就臭氧的形成進行聯合研究，以提供科學依據，協助制訂應對區域性煙霧問題的管制政策。兩地政府亦已訂定四種主要空氣污染物（即二氧化硫、氮氧化物、可吸入懸浮粒子和揮發性有機化合物）的</w:t>
      </w:r>
      <w:r w:rsidRPr="003B5BBE">
        <w:rPr>
          <w:rFonts w:eastAsia="標楷體" w:hint="eastAsia"/>
          <w:bCs/>
          <w:sz w:val="28"/>
          <w:szCs w:val="28"/>
        </w:rPr>
        <w:t>2010</w:t>
      </w:r>
      <w:r w:rsidRPr="003B5BBE">
        <w:rPr>
          <w:rFonts w:eastAsia="標楷體" w:hint="eastAsia"/>
          <w:bCs/>
          <w:sz w:val="28"/>
          <w:szCs w:val="28"/>
        </w:rPr>
        <w:t>年、</w:t>
      </w:r>
      <w:r w:rsidRPr="003B5BBE">
        <w:rPr>
          <w:rFonts w:eastAsia="標楷體" w:hint="eastAsia"/>
          <w:bCs/>
          <w:sz w:val="28"/>
          <w:szCs w:val="28"/>
        </w:rPr>
        <w:t>2015</w:t>
      </w:r>
      <w:r w:rsidRPr="003B5BBE">
        <w:rPr>
          <w:rFonts w:eastAsia="標楷體" w:hint="eastAsia"/>
          <w:bCs/>
          <w:sz w:val="28"/>
          <w:szCs w:val="28"/>
        </w:rPr>
        <w:t>年和</w:t>
      </w:r>
      <w:r w:rsidRPr="003B5BBE">
        <w:rPr>
          <w:rFonts w:eastAsia="標楷體" w:hint="eastAsia"/>
          <w:bCs/>
          <w:sz w:val="28"/>
          <w:szCs w:val="28"/>
        </w:rPr>
        <w:t>2020</w:t>
      </w:r>
      <w:r w:rsidRPr="003B5BBE">
        <w:rPr>
          <w:rFonts w:eastAsia="標楷體" w:hint="eastAsia"/>
          <w:bCs/>
          <w:sz w:val="28"/>
          <w:szCs w:val="28"/>
        </w:rPr>
        <w:t>年減排目標。此外，兩地政府亦正就訂定該四種主要空氣污染物及微細懸浮粒子的</w:t>
      </w:r>
      <w:r w:rsidRPr="003B5BBE">
        <w:rPr>
          <w:rFonts w:eastAsia="標楷體" w:hint="eastAsia"/>
          <w:bCs/>
          <w:sz w:val="28"/>
          <w:szCs w:val="28"/>
        </w:rPr>
        <w:t>2020</w:t>
      </w:r>
      <w:r w:rsidRPr="003B5BBE">
        <w:rPr>
          <w:rFonts w:eastAsia="標楷體" w:hint="eastAsia"/>
          <w:bCs/>
          <w:sz w:val="28"/>
          <w:szCs w:val="28"/>
        </w:rPr>
        <w:t>年後減排目標進行聯合研究。</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13.</w:t>
      </w:r>
      <w:r w:rsidRPr="00910836">
        <w:rPr>
          <w:rFonts w:eastAsia="標楷體"/>
          <w:bCs/>
          <w:sz w:val="28"/>
          <w:szCs w:val="28"/>
        </w:rPr>
        <w:tab/>
      </w:r>
      <w:r w:rsidRPr="003B5BBE">
        <w:rPr>
          <w:rFonts w:eastAsia="標楷體" w:hint="eastAsia"/>
          <w:bCs/>
          <w:sz w:val="28"/>
          <w:szCs w:val="28"/>
        </w:rPr>
        <w:t>政府承諾每五年最少進行一次空氣質素指標檢討。現行的指標於</w:t>
      </w:r>
      <w:r w:rsidRPr="003B5BBE">
        <w:rPr>
          <w:rFonts w:eastAsia="標楷體"/>
          <w:bCs/>
          <w:sz w:val="28"/>
          <w:szCs w:val="28"/>
        </w:rPr>
        <w:t>2014</w:t>
      </w:r>
      <w:r w:rsidRPr="003B5BBE">
        <w:rPr>
          <w:rFonts w:eastAsia="標楷體" w:hint="eastAsia"/>
          <w:bCs/>
          <w:sz w:val="28"/>
          <w:szCs w:val="28"/>
        </w:rPr>
        <w:t>年</w:t>
      </w:r>
      <w:r w:rsidRPr="003B5BBE">
        <w:rPr>
          <w:rFonts w:eastAsia="標楷體"/>
          <w:bCs/>
          <w:sz w:val="28"/>
          <w:szCs w:val="28"/>
        </w:rPr>
        <w:t>1</w:t>
      </w:r>
      <w:r w:rsidRPr="003B5BBE">
        <w:rPr>
          <w:rFonts w:eastAsia="標楷體" w:hint="eastAsia"/>
          <w:bCs/>
          <w:sz w:val="28"/>
          <w:szCs w:val="28"/>
        </w:rPr>
        <w:t>月生效，該指標是以世界衞生組織《空氣質素指引》的中期及最終目標為基礎而制定。我們於</w:t>
      </w:r>
      <w:r w:rsidRPr="003B5BBE">
        <w:rPr>
          <w:rFonts w:eastAsia="標楷體"/>
          <w:bCs/>
          <w:sz w:val="28"/>
          <w:szCs w:val="28"/>
        </w:rPr>
        <w:t>2016</w:t>
      </w:r>
      <w:r w:rsidRPr="003B5BBE">
        <w:rPr>
          <w:rFonts w:eastAsia="標楷體" w:hint="eastAsia"/>
          <w:bCs/>
          <w:sz w:val="28"/>
          <w:szCs w:val="28"/>
        </w:rPr>
        <w:t>年年中展開檢討，並在</w:t>
      </w:r>
      <w:r w:rsidRPr="003B5BBE">
        <w:rPr>
          <w:rFonts w:eastAsia="標楷體"/>
          <w:bCs/>
          <w:sz w:val="28"/>
          <w:szCs w:val="28"/>
        </w:rPr>
        <w:t>2018</w:t>
      </w:r>
      <w:r w:rsidRPr="003B5BBE">
        <w:rPr>
          <w:rFonts w:eastAsia="標楷體" w:hint="eastAsia"/>
          <w:bCs/>
          <w:sz w:val="28"/>
          <w:szCs w:val="28"/>
        </w:rPr>
        <w:t>年年底完成。我們會就檢討結果諮詢公眾，以決定是否及如何更新指標。</w:t>
      </w:r>
    </w:p>
    <w:p w:rsidR="00747021" w:rsidRDefault="00747021" w:rsidP="00747021">
      <w:pPr>
        <w:pStyle w:val="2"/>
        <w:tabs>
          <w:tab w:val="left" w:pos="1440"/>
        </w:tabs>
        <w:adjustRightInd w:val="0"/>
        <w:snapToGrid w:val="0"/>
        <w:spacing w:after="0" w:line="400" w:lineRule="atLeast"/>
        <w:jc w:val="both"/>
        <w:rPr>
          <w:rFonts w:eastAsia="標楷體"/>
          <w:b/>
          <w:sz w:val="28"/>
          <w:szCs w:val="28"/>
          <w:lang w:eastAsia="zh-HK"/>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14.</w:t>
      </w:r>
      <w:r w:rsidRPr="00910836">
        <w:rPr>
          <w:rFonts w:eastAsia="標楷體"/>
          <w:bCs/>
          <w:sz w:val="28"/>
          <w:szCs w:val="28"/>
        </w:rPr>
        <w:tab/>
      </w:r>
      <w:r w:rsidRPr="003B5BBE">
        <w:rPr>
          <w:rFonts w:eastAsia="標楷體" w:hint="eastAsia"/>
          <w:bCs/>
          <w:sz w:val="28"/>
          <w:szCs w:val="28"/>
        </w:rPr>
        <w:t>隨着各項空氣質素改善措施逐步落實，我們有信心香港的空氣質素在未來數年會進一步改善。</w:t>
      </w:r>
    </w:p>
    <w:p w:rsidR="00747021" w:rsidRDefault="00747021" w:rsidP="00747021">
      <w:pPr>
        <w:widowControl/>
        <w:jc w:val="center"/>
        <w:rPr>
          <w:b/>
          <w:bCs/>
          <w:szCs w:val="28"/>
        </w:rPr>
      </w:pPr>
    </w:p>
    <w:p w:rsidR="00747021" w:rsidRPr="00520131" w:rsidRDefault="00747021" w:rsidP="00747021">
      <w:pPr>
        <w:widowControl/>
        <w:rPr>
          <w:bCs/>
          <w:szCs w:val="28"/>
          <w:u w:val="single"/>
        </w:rPr>
      </w:pPr>
      <w:r w:rsidRPr="00520131">
        <w:rPr>
          <w:rFonts w:hint="eastAsia"/>
          <w:bCs/>
          <w:szCs w:val="28"/>
          <w:u w:val="single"/>
        </w:rPr>
        <w:lastRenderedPageBreak/>
        <w:t>噪音管制</w:t>
      </w:r>
    </w:p>
    <w:p w:rsidR="00747021" w:rsidRDefault="00747021" w:rsidP="00747021">
      <w:pPr>
        <w:widowControl/>
        <w:rPr>
          <w:bCs/>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15.</w:t>
      </w:r>
      <w:r w:rsidRPr="00910836">
        <w:rPr>
          <w:rFonts w:eastAsia="標楷體"/>
          <w:bCs/>
          <w:sz w:val="28"/>
          <w:szCs w:val="28"/>
        </w:rPr>
        <w:tab/>
      </w:r>
      <w:r w:rsidRPr="00DF6D19">
        <w:rPr>
          <w:rFonts w:eastAsia="標楷體" w:hint="eastAsia"/>
          <w:bCs/>
          <w:sz w:val="28"/>
          <w:szCs w:val="28"/>
        </w:rPr>
        <w:t>我們除了如上一次報告第</w:t>
      </w:r>
      <w:r w:rsidRPr="00DF6D19">
        <w:rPr>
          <w:rFonts w:eastAsia="標楷體" w:hint="eastAsia"/>
          <w:bCs/>
          <w:sz w:val="28"/>
          <w:szCs w:val="28"/>
        </w:rPr>
        <w:t>12.179</w:t>
      </w:r>
      <w:r w:rsidRPr="00DF6D19">
        <w:rPr>
          <w:rFonts w:eastAsia="標楷體" w:hint="eastAsia"/>
          <w:bCs/>
          <w:sz w:val="28"/>
          <w:szCs w:val="28"/>
        </w:rPr>
        <w:t>段所述，繼續展開隔音屏障加建計劃內的工程外，亦已在一些地區性道路進行鋪設不同低噪音路面物料的測試，採用的路面物料包括多孔面層、薄面層及橡膠瀝青。我們將會進一步試用低噪音路面，以確認在本地環境下採用低噪音路面對緩解現有道路的交通噪音的成效。</w:t>
      </w:r>
    </w:p>
    <w:p w:rsidR="00747021" w:rsidRPr="00DF6D19" w:rsidRDefault="00747021" w:rsidP="00747021">
      <w:pPr>
        <w:widowControl/>
        <w:rPr>
          <w:bCs/>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16.</w:t>
      </w:r>
      <w:r w:rsidRPr="00910836">
        <w:rPr>
          <w:rFonts w:eastAsia="標楷體"/>
          <w:bCs/>
          <w:sz w:val="28"/>
          <w:szCs w:val="28"/>
        </w:rPr>
        <w:tab/>
      </w:r>
      <w:r w:rsidRPr="00DF6D19">
        <w:rPr>
          <w:rFonts w:eastAsia="標楷體" w:hint="eastAsia"/>
          <w:bCs/>
          <w:sz w:val="28"/>
          <w:szCs w:val="28"/>
        </w:rPr>
        <w:t>我們與建築業界合作研發創新的窗戶和露台設計，以便更有效地減少交通噪音的同時，亦能為單位提供足夠的自然通風。這些設計已在多個房屋發展項目中採用，我們會繼續向建築業界介紹和推廣這類設計。</w:t>
      </w:r>
    </w:p>
    <w:p w:rsidR="00747021" w:rsidRPr="00DF6D19" w:rsidRDefault="00747021" w:rsidP="00747021">
      <w:pPr>
        <w:widowControl/>
        <w:rPr>
          <w:bCs/>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17.</w:t>
      </w:r>
      <w:r w:rsidRPr="00910836">
        <w:rPr>
          <w:rFonts w:eastAsia="標楷體"/>
          <w:bCs/>
          <w:sz w:val="28"/>
          <w:szCs w:val="28"/>
        </w:rPr>
        <w:tab/>
      </w:r>
      <w:r w:rsidRPr="00DF6D19">
        <w:rPr>
          <w:rFonts w:eastAsia="標楷體" w:hint="eastAsia"/>
          <w:bCs/>
          <w:sz w:val="28"/>
          <w:szCs w:val="28"/>
        </w:rPr>
        <w:t>為減低建築噪音的影響，我們於</w:t>
      </w:r>
      <w:r w:rsidRPr="00DF6D19">
        <w:rPr>
          <w:rFonts w:eastAsia="標楷體" w:hint="eastAsia"/>
          <w:bCs/>
          <w:sz w:val="28"/>
          <w:szCs w:val="28"/>
        </w:rPr>
        <w:t>2005</w:t>
      </w:r>
      <w:r w:rsidRPr="00DF6D19">
        <w:rPr>
          <w:rFonts w:eastAsia="標楷體" w:hint="eastAsia"/>
          <w:bCs/>
          <w:sz w:val="28"/>
          <w:szCs w:val="28"/>
        </w:rPr>
        <w:t>年推出「優質機動設備」制度，以鼓勵建造業使用較寧靜的機動設備進行建築工程。截至</w:t>
      </w:r>
      <w:r w:rsidRPr="00DF6D19">
        <w:rPr>
          <w:rFonts w:eastAsia="標楷體" w:hint="eastAsia"/>
          <w:bCs/>
          <w:sz w:val="28"/>
          <w:szCs w:val="28"/>
        </w:rPr>
        <w:t>2018</w:t>
      </w:r>
      <w:r w:rsidRPr="00DF6D19">
        <w:rPr>
          <w:rFonts w:eastAsia="標楷體" w:hint="eastAsia"/>
          <w:bCs/>
          <w:sz w:val="28"/>
          <w:szCs w:val="28"/>
        </w:rPr>
        <w:t>年</w:t>
      </w:r>
      <w:r w:rsidRPr="00DF6D19">
        <w:rPr>
          <w:rFonts w:eastAsia="標楷體" w:hint="eastAsia"/>
          <w:bCs/>
          <w:sz w:val="28"/>
          <w:szCs w:val="28"/>
        </w:rPr>
        <w:t>12</w:t>
      </w:r>
      <w:r w:rsidRPr="00DF6D19">
        <w:rPr>
          <w:rFonts w:eastAsia="標楷體" w:hint="eastAsia"/>
          <w:bCs/>
          <w:sz w:val="28"/>
          <w:szCs w:val="28"/>
        </w:rPr>
        <w:t>月底，共有七千多台機動設備已經獲批核為「優質機動設備」。我們將繼續引入較寧靜的機動設備，並鼓勵建造業使用。</w:t>
      </w:r>
    </w:p>
    <w:p w:rsidR="00747021" w:rsidRDefault="00747021" w:rsidP="00747021">
      <w:pPr>
        <w:widowControl/>
        <w:rPr>
          <w:bCs/>
          <w:szCs w:val="28"/>
        </w:rPr>
      </w:pPr>
    </w:p>
    <w:p w:rsidR="00747021" w:rsidRPr="00520131" w:rsidRDefault="00747021" w:rsidP="00747021">
      <w:pPr>
        <w:widowControl/>
        <w:rPr>
          <w:bCs/>
          <w:szCs w:val="28"/>
          <w:u w:val="single"/>
        </w:rPr>
      </w:pPr>
      <w:r w:rsidRPr="00520131">
        <w:rPr>
          <w:rFonts w:hint="eastAsia"/>
          <w:bCs/>
          <w:szCs w:val="28"/>
          <w:u w:val="single"/>
        </w:rPr>
        <w:t>環保教育</w:t>
      </w:r>
    </w:p>
    <w:p w:rsidR="00747021" w:rsidRPr="00520131" w:rsidRDefault="00747021" w:rsidP="00747021">
      <w:pPr>
        <w:widowControl/>
        <w:rPr>
          <w:rFonts w:cs="Times New Roman"/>
          <w:bCs/>
          <w:szCs w:val="28"/>
        </w:rPr>
      </w:pP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r>
        <w:rPr>
          <w:rFonts w:eastAsia="標楷體" w:hint="eastAsia"/>
          <w:bCs/>
          <w:sz w:val="28"/>
          <w:szCs w:val="28"/>
        </w:rPr>
        <w:t>18.</w:t>
      </w:r>
      <w:r w:rsidRPr="00910836">
        <w:rPr>
          <w:rFonts w:eastAsia="標楷體"/>
          <w:bCs/>
          <w:sz w:val="28"/>
          <w:szCs w:val="28"/>
        </w:rPr>
        <w:tab/>
      </w:r>
      <w:r w:rsidRPr="00DF6D19">
        <w:rPr>
          <w:rFonts w:eastAsia="標楷體" w:hint="eastAsia"/>
          <w:bCs/>
          <w:sz w:val="28"/>
          <w:szCs w:val="28"/>
        </w:rPr>
        <w:t>正如上一次報告第</w:t>
      </w:r>
      <w:r w:rsidRPr="00DF6D19">
        <w:rPr>
          <w:rFonts w:eastAsia="標楷體"/>
          <w:bCs/>
          <w:sz w:val="28"/>
          <w:szCs w:val="28"/>
        </w:rPr>
        <w:t>12.79</w:t>
      </w:r>
      <w:r w:rsidRPr="00DF6D19">
        <w:rPr>
          <w:rFonts w:eastAsia="標楷體" w:hint="eastAsia"/>
          <w:bCs/>
          <w:sz w:val="28"/>
          <w:szCs w:val="28"/>
        </w:rPr>
        <w:t>段所述，</w:t>
      </w:r>
      <w:r>
        <w:rPr>
          <w:rFonts w:eastAsia="標楷體"/>
          <w:bCs/>
          <w:sz w:val="28"/>
          <w:szCs w:val="28"/>
        </w:rPr>
        <w:t>“</w:t>
      </w:r>
      <w:r w:rsidRPr="00DF6D19">
        <w:rPr>
          <w:rFonts w:eastAsia="標楷體" w:hint="eastAsia"/>
          <w:bCs/>
          <w:sz w:val="28"/>
          <w:szCs w:val="28"/>
        </w:rPr>
        <w:t>環境及自然保育基金</w:t>
      </w:r>
      <w:r>
        <w:rPr>
          <w:rFonts w:eastAsia="標楷體"/>
          <w:bCs/>
          <w:sz w:val="28"/>
          <w:szCs w:val="28"/>
        </w:rPr>
        <w:t>”</w:t>
      </w:r>
      <w:r w:rsidRPr="00DF6D19">
        <w:rPr>
          <w:rFonts w:eastAsia="標楷體" w:hint="eastAsia"/>
          <w:bCs/>
          <w:sz w:val="28"/>
          <w:szCs w:val="28"/>
        </w:rPr>
        <w:t>繼續加強環保教育和資助社區組織、學校和綠色團體舉辦環保推廣活動。在</w:t>
      </w:r>
      <w:r w:rsidRPr="00DF6D19">
        <w:rPr>
          <w:rFonts w:eastAsia="標楷體"/>
          <w:bCs/>
          <w:sz w:val="28"/>
          <w:szCs w:val="28"/>
        </w:rPr>
        <w:t>2013</w:t>
      </w:r>
      <w:r w:rsidRPr="00DF6D19">
        <w:rPr>
          <w:rFonts w:eastAsia="標楷體" w:hint="eastAsia"/>
          <w:bCs/>
          <w:sz w:val="28"/>
          <w:szCs w:val="28"/>
        </w:rPr>
        <w:t>年我們再向基金額外注資</w:t>
      </w:r>
      <w:r w:rsidRPr="00DF6D19">
        <w:rPr>
          <w:rFonts w:eastAsia="標楷體"/>
          <w:bCs/>
          <w:sz w:val="28"/>
          <w:szCs w:val="28"/>
        </w:rPr>
        <w:t>50</w:t>
      </w:r>
      <w:r w:rsidRPr="00DF6D19">
        <w:rPr>
          <w:rFonts w:eastAsia="標楷體" w:hint="eastAsia"/>
          <w:bCs/>
          <w:sz w:val="28"/>
          <w:szCs w:val="28"/>
        </w:rPr>
        <w:t>億元，以吸引相關團體申辦更多創新及有價值的項目。環保教育運動委員會繼續進行在第一次報告第</w:t>
      </w:r>
      <w:r w:rsidRPr="00DF6D19">
        <w:rPr>
          <w:rFonts w:eastAsia="標楷體"/>
          <w:bCs/>
          <w:sz w:val="28"/>
          <w:szCs w:val="28"/>
        </w:rPr>
        <w:t>490</w:t>
      </w:r>
      <w:r w:rsidRPr="00DF6D19">
        <w:rPr>
          <w:rFonts w:eastAsia="標楷體" w:hint="eastAsia"/>
          <w:bCs/>
          <w:sz w:val="28"/>
          <w:szCs w:val="28"/>
        </w:rPr>
        <w:t>段所述的工作。</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Pr="00520131" w:rsidRDefault="00747021" w:rsidP="00747021">
      <w:pPr>
        <w:pStyle w:val="2"/>
        <w:tabs>
          <w:tab w:val="left" w:pos="1440"/>
        </w:tabs>
        <w:adjustRightInd w:val="0"/>
        <w:snapToGrid w:val="0"/>
        <w:spacing w:after="0" w:line="400" w:lineRule="atLeast"/>
        <w:rPr>
          <w:rFonts w:eastAsia="標楷體"/>
          <w:bCs/>
          <w:sz w:val="28"/>
          <w:szCs w:val="28"/>
          <w:u w:val="single"/>
        </w:rPr>
      </w:pPr>
      <w:r w:rsidRPr="00520131">
        <w:rPr>
          <w:rFonts w:eastAsia="標楷體" w:hint="eastAsia"/>
          <w:bCs/>
          <w:sz w:val="28"/>
          <w:szCs w:val="28"/>
          <w:u w:val="single"/>
        </w:rPr>
        <w:t>環境影響評估</w:t>
      </w:r>
    </w:p>
    <w:p w:rsidR="00747021" w:rsidRDefault="00747021" w:rsidP="00747021">
      <w:pPr>
        <w:pStyle w:val="2"/>
        <w:tabs>
          <w:tab w:val="left" w:pos="1440"/>
        </w:tabs>
        <w:adjustRightInd w:val="0"/>
        <w:snapToGrid w:val="0"/>
        <w:spacing w:after="0" w:line="400" w:lineRule="atLeast"/>
        <w:jc w:val="both"/>
        <w:rPr>
          <w:rFonts w:eastAsia="標楷體"/>
          <w:bCs/>
          <w:sz w:val="28"/>
          <w:szCs w:val="28"/>
        </w:rPr>
      </w:pPr>
    </w:p>
    <w:p w:rsidR="00747021" w:rsidRDefault="00747021" w:rsidP="00747021">
      <w:pPr>
        <w:pStyle w:val="2"/>
        <w:tabs>
          <w:tab w:val="left" w:pos="1160"/>
        </w:tabs>
        <w:adjustRightInd w:val="0"/>
        <w:snapToGrid w:val="0"/>
        <w:spacing w:after="0" w:line="400" w:lineRule="atLeast"/>
        <w:jc w:val="both"/>
        <w:rPr>
          <w:rFonts w:eastAsia="標楷體"/>
          <w:bCs/>
          <w:sz w:val="28"/>
          <w:szCs w:val="28"/>
        </w:rPr>
      </w:pPr>
      <w:r>
        <w:rPr>
          <w:rFonts w:eastAsia="標楷體" w:hint="eastAsia"/>
          <w:bCs/>
          <w:sz w:val="28"/>
          <w:szCs w:val="28"/>
        </w:rPr>
        <w:t>19.</w:t>
      </w:r>
      <w:r w:rsidRPr="00910836">
        <w:rPr>
          <w:rFonts w:eastAsia="標楷體"/>
          <w:bCs/>
          <w:sz w:val="28"/>
          <w:szCs w:val="28"/>
        </w:rPr>
        <w:tab/>
      </w:r>
      <w:r w:rsidRPr="00DF6D19">
        <w:rPr>
          <w:rFonts w:eastAsia="標楷體" w:hint="eastAsia"/>
          <w:bCs/>
          <w:sz w:val="28"/>
          <w:szCs w:val="28"/>
        </w:rPr>
        <w:t>情況與第一次報告第</w:t>
      </w:r>
      <w:r w:rsidRPr="00DF6D19">
        <w:rPr>
          <w:rFonts w:eastAsia="標楷體" w:hint="eastAsia"/>
          <w:bCs/>
          <w:sz w:val="28"/>
          <w:szCs w:val="28"/>
        </w:rPr>
        <w:t>491</w:t>
      </w:r>
      <w:r w:rsidRPr="00DF6D19">
        <w:rPr>
          <w:rFonts w:eastAsia="標楷體" w:hint="eastAsia"/>
          <w:bCs/>
          <w:sz w:val="28"/>
          <w:szCs w:val="28"/>
        </w:rPr>
        <w:t>段所述的相同。</w:t>
      </w:r>
    </w:p>
    <w:p w:rsidR="00747021" w:rsidRPr="00DF6D19" w:rsidRDefault="00747021" w:rsidP="00747021">
      <w:pPr>
        <w:widowControl/>
        <w:rPr>
          <w:rFonts w:cs="Times New Roman"/>
          <w:bCs/>
          <w:kern w:val="0"/>
          <w:szCs w:val="28"/>
        </w:rPr>
      </w:pPr>
      <w:r>
        <w:rPr>
          <w:bCs/>
          <w:szCs w:val="28"/>
        </w:rPr>
        <w:br w:type="page"/>
      </w:r>
    </w:p>
    <w:p w:rsidR="00747021" w:rsidRPr="00ED0005" w:rsidRDefault="00747021" w:rsidP="00747021">
      <w:pPr>
        <w:snapToGrid w:val="0"/>
        <w:spacing w:line="360" w:lineRule="atLeast"/>
        <w:jc w:val="right"/>
        <w:rPr>
          <w:rFonts w:cs="Times New Roman"/>
          <w:b/>
          <w:u w:val="single"/>
          <w:lang w:val="en-GB"/>
        </w:rPr>
      </w:pPr>
      <w:r w:rsidRPr="00ED0005">
        <w:rPr>
          <w:rFonts w:cs="Times New Roman" w:hint="eastAsia"/>
          <w:b/>
          <w:u w:val="single"/>
          <w:lang w:val="en-GB"/>
        </w:rPr>
        <w:lastRenderedPageBreak/>
        <w:t>附錄</w:t>
      </w:r>
    </w:p>
    <w:p w:rsidR="00747021" w:rsidRPr="00ED0005" w:rsidRDefault="00747021" w:rsidP="00747021">
      <w:pPr>
        <w:snapToGrid w:val="0"/>
        <w:spacing w:line="360" w:lineRule="atLeast"/>
        <w:jc w:val="right"/>
        <w:rPr>
          <w:rFonts w:cs="Times New Roman"/>
          <w:b/>
          <w:lang w:val="en-GB"/>
        </w:rPr>
      </w:pPr>
    </w:p>
    <w:p w:rsidR="00747021" w:rsidRDefault="00747021" w:rsidP="00747021">
      <w:pPr>
        <w:pStyle w:val="2"/>
        <w:tabs>
          <w:tab w:val="left" w:pos="1440"/>
        </w:tabs>
        <w:adjustRightInd w:val="0"/>
        <w:snapToGrid w:val="0"/>
        <w:spacing w:after="0" w:line="400" w:lineRule="atLeast"/>
        <w:jc w:val="center"/>
        <w:rPr>
          <w:rFonts w:eastAsia="標楷體"/>
          <w:b/>
          <w:sz w:val="28"/>
          <w:szCs w:val="28"/>
          <w:lang w:eastAsia="zh-HK"/>
        </w:rPr>
      </w:pPr>
      <w:r>
        <w:rPr>
          <w:rFonts w:eastAsia="標楷體" w:hint="eastAsia"/>
          <w:b/>
          <w:sz w:val="28"/>
          <w:szCs w:val="28"/>
          <w:lang w:eastAsia="zh-HK"/>
        </w:rPr>
        <w:t>車輛排</w:t>
      </w:r>
      <w:r>
        <w:rPr>
          <w:rFonts w:eastAsia="標楷體" w:hint="eastAsia"/>
          <w:b/>
          <w:sz w:val="28"/>
          <w:szCs w:val="28"/>
        </w:rPr>
        <w:t>放</w:t>
      </w:r>
      <w:r>
        <w:rPr>
          <w:rFonts w:eastAsia="標楷體" w:hint="eastAsia"/>
          <w:b/>
          <w:sz w:val="28"/>
          <w:szCs w:val="28"/>
          <w:lang w:eastAsia="zh-HK"/>
        </w:rPr>
        <w:t>管</w:t>
      </w:r>
      <w:r>
        <w:rPr>
          <w:rFonts w:eastAsia="標楷體" w:hint="eastAsia"/>
          <w:b/>
          <w:sz w:val="28"/>
          <w:szCs w:val="28"/>
        </w:rPr>
        <w:t>制</w:t>
      </w:r>
      <w:r>
        <w:rPr>
          <w:rFonts w:eastAsia="標楷體" w:hint="eastAsia"/>
          <w:b/>
          <w:sz w:val="28"/>
          <w:szCs w:val="28"/>
          <w:lang w:eastAsia="zh-HK"/>
        </w:rPr>
        <w:t>措</w:t>
      </w:r>
      <w:r>
        <w:rPr>
          <w:rFonts w:eastAsia="標楷體" w:hint="eastAsia"/>
          <w:b/>
          <w:sz w:val="28"/>
          <w:szCs w:val="28"/>
        </w:rPr>
        <w:t>施</w:t>
      </w:r>
      <w:r>
        <w:rPr>
          <w:rFonts w:eastAsia="標楷體" w:hint="eastAsia"/>
          <w:b/>
          <w:sz w:val="28"/>
          <w:szCs w:val="28"/>
          <w:lang w:eastAsia="zh-HK"/>
        </w:rPr>
        <w:t>及</w:t>
      </w:r>
    </w:p>
    <w:p w:rsidR="00747021" w:rsidRDefault="00747021" w:rsidP="00747021">
      <w:pPr>
        <w:pStyle w:val="2"/>
        <w:tabs>
          <w:tab w:val="left" w:pos="1440"/>
        </w:tabs>
        <w:adjustRightInd w:val="0"/>
        <w:snapToGrid w:val="0"/>
        <w:spacing w:after="0" w:line="400" w:lineRule="atLeast"/>
        <w:jc w:val="center"/>
        <w:rPr>
          <w:rFonts w:eastAsia="標楷體"/>
          <w:b/>
          <w:sz w:val="28"/>
          <w:szCs w:val="28"/>
        </w:rPr>
      </w:pPr>
      <w:r>
        <w:rPr>
          <w:rFonts w:eastAsia="標楷體" w:hint="eastAsia"/>
          <w:b/>
          <w:sz w:val="28"/>
          <w:szCs w:val="28"/>
          <w:lang w:eastAsia="zh-HK"/>
        </w:rPr>
        <w:t>減少本地排放源排放措</w:t>
      </w:r>
      <w:r>
        <w:rPr>
          <w:rFonts w:eastAsia="標楷體" w:hint="eastAsia"/>
          <w:b/>
          <w:sz w:val="28"/>
          <w:szCs w:val="28"/>
        </w:rPr>
        <w:t>施</w:t>
      </w:r>
    </w:p>
    <w:p w:rsidR="00747021" w:rsidRDefault="00747021" w:rsidP="00747021">
      <w:pPr>
        <w:pStyle w:val="2"/>
        <w:tabs>
          <w:tab w:val="left" w:pos="1440"/>
        </w:tabs>
        <w:adjustRightInd w:val="0"/>
        <w:snapToGrid w:val="0"/>
        <w:spacing w:after="0" w:line="400" w:lineRule="atLeast"/>
        <w:jc w:val="center"/>
        <w:rPr>
          <w:rFonts w:eastAsia="標楷體"/>
          <w:b/>
          <w:sz w:val="28"/>
          <w:szCs w:val="28"/>
        </w:rPr>
      </w:pPr>
    </w:p>
    <w:p w:rsidR="00747021" w:rsidRPr="00C30903" w:rsidRDefault="00747021" w:rsidP="00747021">
      <w:pPr>
        <w:pStyle w:val="2"/>
        <w:tabs>
          <w:tab w:val="left" w:pos="1440"/>
        </w:tabs>
        <w:adjustRightInd w:val="0"/>
        <w:snapToGrid w:val="0"/>
        <w:spacing w:after="0" w:line="400" w:lineRule="atLeast"/>
        <w:jc w:val="both"/>
        <w:rPr>
          <w:rFonts w:eastAsia="標楷體"/>
          <w:sz w:val="28"/>
          <w:szCs w:val="28"/>
        </w:rPr>
      </w:pPr>
      <w:r>
        <w:rPr>
          <w:rFonts w:eastAsia="標楷體" w:hint="eastAsia"/>
          <w:bCs/>
          <w:sz w:val="28"/>
          <w:szCs w:val="28"/>
        </w:rPr>
        <w:t>1.</w:t>
      </w:r>
      <w:r>
        <w:rPr>
          <w:rFonts w:eastAsia="標楷體"/>
          <w:bCs/>
          <w:sz w:val="28"/>
          <w:szCs w:val="28"/>
        </w:rPr>
        <w:tab/>
      </w:r>
      <w:r w:rsidRPr="00C30903">
        <w:rPr>
          <w:rFonts w:eastAsia="標楷體" w:hint="eastAsia"/>
          <w:bCs/>
          <w:sz w:val="28"/>
          <w:szCs w:val="28"/>
        </w:rPr>
        <w:t>政府已實施多項車輛廢氣管制計劃</w:t>
      </w:r>
      <w:r>
        <w:rPr>
          <w:rFonts w:eastAsia="標楷體" w:hint="eastAsia"/>
          <w:bCs/>
          <w:sz w:val="28"/>
          <w:szCs w:val="28"/>
        </w:rPr>
        <w:t>，</w:t>
      </w:r>
      <w:r w:rsidRPr="00C30903">
        <w:rPr>
          <w:rFonts w:eastAsia="標楷體" w:hint="eastAsia"/>
          <w:sz w:val="28"/>
          <w:szCs w:val="28"/>
        </w:rPr>
        <w:t>主要措施包括：</w:t>
      </w:r>
    </w:p>
    <w:p w:rsidR="00747021" w:rsidRPr="00C30903"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(a)</w:t>
      </w:r>
      <w:r w:rsidRPr="00C30903">
        <w:rPr>
          <w:rFonts w:cs="Times New Roman"/>
          <w:kern w:val="0"/>
          <w:szCs w:val="28"/>
        </w:rPr>
        <w:tab/>
      </w:r>
      <w:r w:rsidRPr="00C30903">
        <w:rPr>
          <w:rFonts w:cs="Times New Roman" w:hint="eastAsia"/>
          <w:kern w:val="0"/>
          <w:szCs w:val="28"/>
        </w:rPr>
        <w:t>自</w:t>
      </w:r>
      <w:r w:rsidRPr="00C30903">
        <w:rPr>
          <w:rFonts w:cs="Times New Roman"/>
          <w:kern w:val="0"/>
          <w:szCs w:val="28"/>
        </w:rPr>
        <w:t>2017</w:t>
      </w:r>
      <w:r w:rsidRPr="00C30903">
        <w:rPr>
          <w:rFonts w:cs="Times New Roman" w:hint="eastAsia"/>
          <w:kern w:val="0"/>
          <w:szCs w:val="28"/>
        </w:rPr>
        <w:t>年</w:t>
      </w:r>
      <w:r w:rsidRPr="00C30903">
        <w:rPr>
          <w:rFonts w:cs="Times New Roman"/>
          <w:kern w:val="0"/>
          <w:szCs w:val="28"/>
        </w:rPr>
        <w:t>7</w:t>
      </w:r>
      <w:r w:rsidRPr="00C30903">
        <w:rPr>
          <w:rFonts w:cs="Times New Roman" w:hint="eastAsia"/>
          <w:kern w:val="0"/>
          <w:szCs w:val="28"/>
        </w:rPr>
        <w:t>月起分階段把新登記車輛的法定廢氣排放標準收緊至歐盟六期。我們正計劃收緊新登記電單車、小巴（設計重量逾</w:t>
      </w:r>
      <w:r w:rsidRPr="00C30903">
        <w:rPr>
          <w:rFonts w:cs="Times New Roman"/>
          <w:kern w:val="0"/>
          <w:szCs w:val="28"/>
        </w:rPr>
        <w:t>3.5</w:t>
      </w:r>
      <w:r w:rsidRPr="00C30903">
        <w:rPr>
          <w:rFonts w:cs="Times New Roman" w:hint="eastAsia"/>
          <w:kern w:val="0"/>
          <w:szCs w:val="28"/>
        </w:rPr>
        <w:t>公噸）及巴士（設計重量不逾</w:t>
      </w:r>
      <w:r w:rsidRPr="00C30903">
        <w:rPr>
          <w:rFonts w:cs="Times New Roman"/>
          <w:kern w:val="0"/>
          <w:szCs w:val="28"/>
        </w:rPr>
        <w:t>9</w:t>
      </w:r>
      <w:r w:rsidRPr="00C30903">
        <w:rPr>
          <w:rFonts w:cs="Times New Roman" w:hint="eastAsia"/>
          <w:kern w:val="0"/>
          <w:szCs w:val="28"/>
        </w:rPr>
        <w:t>公噸）的法定廢氣排放標準；</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9655A8" w:rsidRDefault="00747021" w:rsidP="00747021">
      <w:pPr>
        <w:widowControl/>
        <w:tabs>
          <w:tab w:val="left" w:pos="1440"/>
        </w:tabs>
        <w:adjustRightInd w:val="0"/>
        <w:snapToGrid w:val="0"/>
        <w:spacing w:line="400" w:lineRule="atLeast"/>
        <w:ind w:leftChars="257" w:left="1437" w:hangingChars="256" w:hanging="717"/>
        <w:jc w:val="both"/>
        <w:rPr>
          <w:rFonts w:cs="Times New Roman"/>
          <w:spacing w:val="4"/>
          <w:kern w:val="0"/>
          <w:szCs w:val="28"/>
        </w:rPr>
      </w:pPr>
      <w:r w:rsidRPr="00C30903">
        <w:rPr>
          <w:rFonts w:cs="Times New Roman"/>
          <w:kern w:val="0"/>
          <w:szCs w:val="28"/>
        </w:rPr>
        <w:t>(b)</w:t>
      </w:r>
      <w:r w:rsidRPr="00C30903">
        <w:rPr>
          <w:rFonts w:cs="Times New Roman"/>
          <w:kern w:val="0"/>
          <w:szCs w:val="28"/>
        </w:rPr>
        <w:tab/>
      </w:r>
      <w:r w:rsidRPr="00C30903">
        <w:rPr>
          <w:rFonts w:cs="Times New Roman" w:hint="eastAsia"/>
          <w:kern w:val="0"/>
          <w:szCs w:val="28"/>
        </w:rPr>
        <w:t>自</w:t>
      </w:r>
      <w:r w:rsidRPr="00C30903">
        <w:rPr>
          <w:rFonts w:cs="Times New Roman"/>
          <w:kern w:val="0"/>
          <w:szCs w:val="28"/>
        </w:rPr>
        <w:t>2010</w:t>
      </w:r>
      <w:r w:rsidRPr="00C30903">
        <w:rPr>
          <w:rFonts w:cs="Times New Roman" w:hint="eastAsia"/>
          <w:kern w:val="0"/>
          <w:szCs w:val="28"/>
        </w:rPr>
        <w:t>年</w:t>
      </w:r>
      <w:r w:rsidRPr="00C30903">
        <w:rPr>
          <w:rFonts w:cs="Times New Roman"/>
          <w:kern w:val="0"/>
          <w:szCs w:val="28"/>
        </w:rPr>
        <w:t>7</w:t>
      </w:r>
      <w:r w:rsidRPr="00C30903">
        <w:rPr>
          <w:rFonts w:cs="Times New Roman" w:hint="eastAsia"/>
          <w:kern w:val="0"/>
          <w:szCs w:val="28"/>
        </w:rPr>
        <w:t>月</w:t>
      </w:r>
      <w:r w:rsidRPr="00C30903">
        <w:rPr>
          <w:rFonts w:cs="Times New Roman"/>
          <w:kern w:val="0"/>
          <w:szCs w:val="28"/>
        </w:rPr>
        <w:t>1</w:t>
      </w:r>
      <w:r w:rsidRPr="00C30903">
        <w:rPr>
          <w:rFonts w:cs="Times New Roman" w:hint="eastAsia"/>
          <w:kern w:val="0"/>
          <w:szCs w:val="28"/>
        </w:rPr>
        <w:t>日起把車用柴油及無鉛汽油的法定規格</w:t>
      </w:r>
      <w:r w:rsidRPr="009655A8">
        <w:rPr>
          <w:rFonts w:cs="Times New Roman" w:hint="eastAsia"/>
          <w:spacing w:val="4"/>
          <w:kern w:val="0"/>
          <w:szCs w:val="28"/>
        </w:rPr>
        <w:t>收緊至歐盟五期的水平，並實施車用生化柴油的法定規格；</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(c)</w:t>
      </w:r>
      <w:r w:rsidRPr="00C30903">
        <w:rPr>
          <w:rFonts w:cs="Times New Roman"/>
          <w:kern w:val="0"/>
          <w:szCs w:val="28"/>
        </w:rPr>
        <w:tab/>
      </w:r>
      <w:r w:rsidRPr="006D33B8">
        <w:rPr>
          <w:rFonts w:cs="Times New Roman" w:hint="eastAsia"/>
          <w:spacing w:val="-2"/>
          <w:kern w:val="0"/>
          <w:szCs w:val="28"/>
        </w:rPr>
        <w:t>在</w:t>
      </w:r>
      <w:r w:rsidRPr="006D33B8">
        <w:rPr>
          <w:rFonts w:cs="Times New Roman"/>
          <w:spacing w:val="-2"/>
          <w:kern w:val="0"/>
          <w:szCs w:val="28"/>
        </w:rPr>
        <w:t>2014</w:t>
      </w:r>
      <w:r w:rsidRPr="006D33B8">
        <w:rPr>
          <w:rFonts w:cs="Times New Roman" w:hint="eastAsia"/>
          <w:spacing w:val="-2"/>
          <w:kern w:val="0"/>
          <w:szCs w:val="28"/>
        </w:rPr>
        <w:t>年推行鼓勵與管制並行的計劃，在</w:t>
      </w:r>
      <w:r w:rsidRPr="006D33B8">
        <w:rPr>
          <w:rFonts w:cs="Times New Roman"/>
          <w:spacing w:val="-2"/>
          <w:kern w:val="0"/>
          <w:szCs w:val="28"/>
        </w:rPr>
        <w:t>2019</w:t>
      </w:r>
      <w:r w:rsidRPr="006D33B8">
        <w:rPr>
          <w:rFonts w:cs="Times New Roman" w:hint="eastAsia"/>
          <w:spacing w:val="-2"/>
          <w:kern w:val="0"/>
          <w:szCs w:val="28"/>
        </w:rPr>
        <w:t>年年底前逐步淘汰約</w:t>
      </w:r>
      <w:r w:rsidRPr="006D33B8">
        <w:rPr>
          <w:rFonts w:cs="Times New Roman"/>
          <w:spacing w:val="-2"/>
          <w:kern w:val="0"/>
          <w:szCs w:val="28"/>
        </w:rPr>
        <w:t>82 000</w:t>
      </w:r>
      <w:r w:rsidRPr="006D33B8">
        <w:rPr>
          <w:rFonts w:cs="Times New Roman" w:hint="eastAsia"/>
          <w:spacing w:val="-2"/>
          <w:kern w:val="0"/>
          <w:szCs w:val="28"/>
        </w:rPr>
        <w:t>輛歐盟四期以前的柴油商業車，並已撥備</w:t>
      </w:r>
      <w:r w:rsidRPr="006D33B8">
        <w:rPr>
          <w:rFonts w:cs="Times New Roman"/>
          <w:spacing w:val="-2"/>
          <w:kern w:val="0"/>
          <w:szCs w:val="28"/>
        </w:rPr>
        <w:t>114</w:t>
      </w:r>
      <w:r w:rsidRPr="006D33B8">
        <w:rPr>
          <w:rFonts w:cs="Times New Roman" w:hint="eastAsia"/>
          <w:spacing w:val="-2"/>
          <w:kern w:val="0"/>
          <w:szCs w:val="28"/>
        </w:rPr>
        <w:t>億元作為特惠資助金以協助受影響車主；我們正計劃實施類似的淘汰計劃，逐步淘汰約</w:t>
      </w:r>
      <w:r w:rsidRPr="006D33B8">
        <w:rPr>
          <w:rFonts w:cs="Times New Roman"/>
          <w:spacing w:val="-2"/>
          <w:kern w:val="0"/>
          <w:szCs w:val="28"/>
        </w:rPr>
        <w:t>40 000</w:t>
      </w:r>
      <w:r w:rsidRPr="006D33B8">
        <w:rPr>
          <w:rFonts w:cs="Times New Roman" w:hint="eastAsia"/>
          <w:spacing w:val="-2"/>
          <w:kern w:val="0"/>
          <w:szCs w:val="28"/>
        </w:rPr>
        <w:t>輛歐盟四期的柴油商業車；</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(d)</w:t>
      </w:r>
      <w:r w:rsidRPr="00C30903">
        <w:rPr>
          <w:rFonts w:cs="Times New Roman"/>
          <w:kern w:val="0"/>
          <w:szCs w:val="28"/>
        </w:rPr>
        <w:tab/>
      </w:r>
      <w:r w:rsidRPr="00313AC2">
        <w:rPr>
          <w:rFonts w:cs="Times New Roman" w:hint="eastAsia"/>
          <w:spacing w:val="-2"/>
          <w:kern w:val="0"/>
          <w:szCs w:val="28"/>
        </w:rPr>
        <w:t>為</w:t>
      </w:r>
      <w:r w:rsidRPr="00313AC2">
        <w:rPr>
          <w:rFonts w:cs="Times New Roman"/>
          <w:spacing w:val="-2"/>
          <w:kern w:val="0"/>
          <w:szCs w:val="28"/>
        </w:rPr>
        <w:t>2014</w:t>
      </w:r>
      <w:r w:rsidRPr="00313AC2">
        <w:rPr>
          <w:rFonts w:cs="Times New Roman" w:hint="eastAsia"/>
          <w:spacing w:val="-2"/>
          <w:kern w:val="0"/>
          <w:szCs w:val="28"/>
        </w:rPr>
        <w:t>年</w:t>
      </w:r>
      <w:r w:rsidRPr="00313AC2">
        <w:rPr>
          <w:rFonts w:cs="Times New Roman"/>
          <w:spacing w:val="-2"/>
          <w:kern w:val="0"/>
          <w:szCs w:val="28"/>
        </w:rPr>
        <w:t>2</w:t>
      </w:r>
      <w:r w:rsidRPr="00313AC2">
        <w:rPr>
          <w:rFonts w:cs="Times New Roman" w:hint="eastAsia"/>
          <w:spacing w:val="-2"/>
          <w:kern w:val="0"/>
          <w:szCs w:val="28"/>
        </w:rPr>
        <w:t>月</w:t>
      </w:r>
      <w:r w:rsidRPr="00313AC2">
        <w:rPr>
          <w:rFonts w:cs="Times New Roman"/>
          <w:spacing w:val="-2"/>
          <w:kern w:val="0"/>
          <w:szCs w:val="28"/>
        </w:rPr>
        <w:t>1</w:t>
      </w:r>
      <w:r w:rsidRPr="00313AC2">
        <w:rPr>
          <w:rFonts w:cs="Times New Roman" w:hint="eastAsia"/>
          <w:spacing w:val="-2"/>
          <w:kern w:val="0"/>
          <w:szCs w:val="28"/>
        </w:rPr>
        <w:t>日或以後新登記的柴油商業車設定</w:t>
      </w:r>
      <w:r w:rsidRPr="00313AC2">
        <w:rPr>
          <w:rFonts w:cs="Times New Roman"/>
          <w:spacing w:val="-2"/>
          <w:kern w:val="0"/>
          <w:szCs w:val="28"/>
        </w:rPr>
        <w:t>15</w:t>
      </w:r>
      <w:r w:rsidRPr="00313AC2">
        <w:rPr>
          <w:rFonts w:cs="Times New Roman" w:hint="eastAsia"/>
          <w:spacing w:val="-2"/>
          <w:kern w:val="0"/>
          <w:szCs w:val="28"/>
        </w:rPr>
        <w:t>年的退役期限；</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(e)</w:t>
      </w:r>
      <w:r w:rsidRPr="00C30903">
        <w:rPr>
          <w:rFonts w:cs="Times New Roman"/>
          <w:kern w:val="0"/>
          <w:szCs w:val="28"/>
        </w:rPr>
        <w:tab/>
      </w:r>
      <w:r w:rsidRPr="00C30903">
        <w:rPr>
          <w:rFonts w:cs="Times New Roman" w:hint="eastAsia"/>
          <w:kern w:val="0"/>
          <w:szCs w:val="28"/>
        </w:rPr>
        <w:t>在</w:t>
      </w:r>
      <w:r w:rsidRPr="00C30903">
        <w:rPr>
          <w:rFonts w:cs="Times New Roman"/>
          <w:kern w:val="0"/>
          <w:szCs w:val="28"/>
        </w:rPr>
        <w:t>2011</w:t>
      </w:r>
      <w:r w:rsidRPr="00C30903">
        <w:rPr>
          <w:rFonts w:cs="Times New Roman" w:hint="eastAsia"/>
          <w:kern w:val="0"/>
          <w:szCs w:val="28"/>
        </w:rPr>
        <w:t>年設立</w:t>
      </w:r>
      <w:r w:rsidRPr="00C30903">
        <w:rPr>
          <w:rFonts w:cs="Times New Roman"/>
          <w:kern w:val="0"/>
          <w:szCs w:val="28"/>
        </w:rPr>
        <w:t>3</w:t>
      </w:r>
      <w:r w:rsidRPr="00C30903">
        <w:rPr>
          <w:rFonts w:cs="Times New Roman" w:hint="eastAsia"/>
          <w:kern w:val="0"/>
          <w:szCs w:val="28"/>
        </w:rPr>
        <w:t>億元「綠色運輸試驗基金」，以資助試驗適用於公共運輸業界及貨車營運人士的綠色創新運輸技術，如電動及混合動力商用車輛、可用於商用車輛和渡輪的節省燃料裝置及空氣污染物減排裝置。我們正檢討「綠色運輸試驗基金」的資助範圍，以期進一步促進運輸業界更廣泛使用綠色創新運輸技術；</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(f)</w:t>
      </w:r>
      <w:r w:rsidRPr="00C30903">
        <w:rPr>
          <w:rFonts w:cs="Times New Roman"/>
          <w:kern w:val="0"/>
          <w:szCs w:val="28"/>
        </w:rPr>
        <w:tab/>
      </w:r>
      <w:r w:rsidRPr="00313AC2">
        <w:rPr>
          <w:rFonts w:cs="Times New Roman" w:hint="eastAsia"/>
          <w:spacing w:val="-4"/>
          <w:kern w:val="0"/>
          <w:szCs w:val="28"/>
        </w:rPr>
        <w:t>於</w:t>
      </w:r>
      <w:r w:rsidRPr="00313AC2">
        <w:rPr>
          <w:rFonts w:cs="Times New Roman"/>
          <w:spacing w:val="-4"/>
          <w:kern w:val="0"/>
          <w:szCs w:val="28"/>
        </w:rPr>
        <w:t>2013</w:t>
      </w:r>
      <w:r w:rsidRPr="00313AC2">
        <w:rPr>
          <w:rFonts w:cs="Times New Roman" w:hint="eastAsia"/>
          <w:spacing w:val="-4"/>
          <w:kern w:val="0"/>
          <w:szCs w:val="28"/>
        </w:rPr>
        <w:t>年至</w:t>
      </w:r>
      <w:r w:rsidRPr="00313AC2">
        <w:rPr>
          <w:rFonts w:cs="Times New Roman"/>
          <w:spacing w:val="-4"/>
          <w:kern w:val="0"/>
          <w:szCs w:val="28"/>
        </w:rPr>
        <w:t>2014</w:t>
      </w:r>
      <w:r w:rsidRPr="00313AC2">
        <w:rPr>
          <w:rFonts w:cs="Times New Roman" w:hint="eastAsia"/>
          <w:spacing w:val="-4"/>
          <w:kern w:val="0"/>
          <w:szCs w:val="28"/>
        </w:rPr>
        <w:t>年期間資助約</w:t>
      </w:r>
      <w:r w:rsidRPr="00313AC2">
        <w:rPr>
          <w:rFonts w:cs="Times New Roman"/>
          <w:spacing w:val="-4"/>
          <w:kern w:val="0"/>
          <w:szCs w:val="28"/>
        </w:rPr>
        <w:t>17 000</w:t>
      </w:r>
      <w:r w:rsidRPr="00313AC2">
        <w:rPr>
          <w:rFonts w:cs="Times New Roman" w:hint="eastAsia"/>
          <w:spacing w:val="-4"/>
          <w:kern w:val="0"/>
          <w:szCs w:val="28"/>
        </w:rPr>
        <w:t>輛石油氣及汽油的</w:t>
      </w:r>
      <w:r w:rsidRPr="00313AC2">
        <w:rPr>
          <w:rFonts w:cs="Times New Roman" w:hint="eastAsia"/>
          <w:kern w:val="0"/>
          <w:szCs w:val="28"/>
        </w:rPr>
        <w:t>士和小巴更換已耗損的催化器和含氧感知器，並於</w:t>
      </w:r>
      <w:r w:rsidRPr="00313AC2">
        <w:rPr>
          <w:rFonts w:cs="Times New Roman"/>
          <w:kern w:val="0"/>
          <w:szCs w:val="28"/>
        </w:rPr>
        <w:t>2014</w:t>
      </w:r>
      <w:r w:rsidRPr="00313AC2">
        <w:rPr>
          <w:rFonts w:cs="Times New Roman" w:hint="eastAsia"/>
          <w:spacing w:val="-2"/>
          <w:kern w:val="0"/>
          <w:szCs w:val="28"/>
        </w:rPr>
        <w:lastRenderedPageBreak/>
        <w:t>年</w:t>
      </w:r>
      <w:r w:rsidRPr="00313AC2">
        <w:rPr>
          <w:rFonts w:cs="Times New Roman"/>
          <w:spacing w:val="-2"/>
          <w:kern w:val="0"/>
          <w:szCs w:val="28"/>
        </w:rPr>
        <w:t>9</w:t>
      </w:r>
      <w:r w:rsidRPr="00313AC2">
        <w:rPr>
          <w:rFonts w:cs="Times New Roman" w:hint="eastAsia"/>
          <w:spacing w:val="-2"/>
          <w:kern w:val="0"/>
          <w:szCs w:val="28"/>
        </w:rPr>
        <w:t>月開始使用流動路邊遙測設備找出排放過量廢氣的</w:t>
      </w:r>
      <w:r w:rsidRPr="00C30903">
        <w:rPr>
          <w:rFonts w:cs="Times New Roman" w:hint="eastAsia"/>
          <w:kern w:val="0"/>
          <w:szCs w:val="28"/>
        </w:rPr>
        <w:t>汽油及石油氣車輛；</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(g)</w:t>
      </w:r>
      <w:r w:rsidRPr="00C30903">
        <w:rPr>
          <w:rFonts w:cs="Times New Roman"/>
          <w:kern w:val="0"/>
          <w:szCs w:val="28"/>
        </w:rPr>
        <w:tab/>
      </w:r>
      <w:r w:rsidRPr="00313AC2">
        <w:rPr>
          <w:rFonts w:cs="Times New Roman" w:hint="eastAsia"/>
          <w:spacing w:val="-4"/>
          <w:kern w:val="0"/>
          <w:szCs w:val="28"/>
        </w:rPr>
        <w:t>於</w:t>
      </w:r>
      <w:r w:rsidRPr="00313AC2">
        <w:rPr>
          <w:rFonts w:cs="Times New Roman"/>
          <w:spacing w:val="-4"/>
          <w:kern w:val="0"/>
          <w:szCs w:val="28"/>
        </w:rPr>
        <w:t>2017</w:t>
      </w:r>
      <w:r w:rsidRPr="00313AC2">
        <w:rPr>
          <w:rFonts w:cs="Times New Roman" w:hint="eastAsia"/>
          <w:spacing w:val="-4"/>
          <w:kern w:val="0"/>
          <w:szCs w:val="28"/>
        </w:rPr>
        <w:t>年年底為約</w:t>
      </w:r>
      <w:r w:rsidRPr="00313AC2">
        <w:rPr>
          <w:rFonts w:cs="Times New Roman"/>
          <w:spacing w:val="-4"/>
          <w:kern w:val="0"/>
          <w:szCs w:val="28"/>
        </w:rPr>
        <w:t>1 000</w:t>
      </w:r>
      <w:r w:rsidRPr="00313AC2">
        <w:rPr>
          <w:rFonts w:cs="Times New Roman" w:hint="eastAsia"/>
          <w:spacing w:val="-4"/>
          <w:kern w:val="0"/>
          <w:szCs w:val="28"/>
        </w:rPr>
        <w:t>輛歐盟二期及三期柴油專營巴</w:t>
      </w:r>
      <w:r w:rsidRPr="00C30903">
        <w:rPr>
          <w:rFonts w:cs="Times New Roman" w:hint="eastAsia"/>
          <w:kern w:val="0"/>
          <w:szCs w:val="28"/>
        </w:rPr>
        <w:t>士加裝選擇性催化還原器，以提升其排放表現至歐盟四期或以上的水平；我們正計劃為約</w:t>
      </w:r>
      <w:r w:rsidRPr="00C30903">
        <w:rPr>
          <w:rFonts w:cs="Times New Roman"/>
          <w:kern w:val="0"/>
          <w:szCs w:val="28"/>
        </w:rPr>
        <w:t>60</w:t>
      </w:r>
      <w:r w:rsidRPr="00C30903">
        <w:rPr>
          <w:rFonts w:cs="Times New Roman" w:hint="eastAsia"/>
          <w:kern w:val="0"/>
          <w:szCs w:val="28"/>
        </w:rPr>
        <w:t>輛歐盟四期及五期雙層柴油專營巴士的主要巴士型號進行加裝強化選擇性催化還原器的試驗，以提升其氮氧化物排放表現至歐盟六期的水平；</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(h)</w:t>
      </w:r>
      <w:r w:rsidRPr="00C30903">
        <w:rPr>
          <w:rFonts w:cs="Times New Roman"/>
          <w:kern w:val="0"/>
          <w:szCs w:val="28"/>
        </w:rPr>
        <w:tab/>
      </w:r>
      <w:r w:rsidRPr="00C30903">
        <w:rPr>
          <w:rFonts w:cs="Times New Roman" w:hint="eastAsia"/>
          <w:kern w:val="0"/>
          <w:szCs w:val="28"/>
        </w:rPr>
        <w:t>資助專營巴士公司購置</w:t>
      </w:r>
      <w:r w:rsidRPr="00C30903">
        <w:rPr>
          <w:rFonts w:cs="Times New Roman"/>
          <w:kern w:val="0"/>
          <w:szCs w:val="28"/>
        </w:rPr>
        <w:t>6</w:t>
      </w:r>
      <w:r w:rsidRPr="00C30903">
        <w:rPr>
          <w:rFonts w:cs="Times New Roman" w:hint="eastAsia"/>
          <w:kern w:val="0"/>
          <w:szCs w:val="28"/>
        </w:rPr>
        <w:t>輛混合動力巴士及</w:t>
      </w:r>
      <w:r w:rsidRPr="00C30903">
        <w:rPr>
          <w:rFonts w:cs="Times New Roman"/>
          <w:kern w:val="0"/>
          <w:szCs w:val="28"/>
        </w:rPr>
        <w:t>36</w:t>
      </w:r>
      <w:r w:rsidRPr="00C30903">
        <w:rPr>
          <w:rFonts w:cs="Times New Roman" w:hint="eastAsia"/>
          <w:kern w:val="0"/>
          <w:szCs w:val="28"/>
        </w:rPr>
        <w:t>輛電動巴士在本地情況下作試驗行駛；</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(i)</w:t>
      </w:r>
      <w:r w:rsidRPr="00C30903">
        <w:rPr>
          <w:rFonts w:cs="Times New Roman"/>
          <w:kern w:val="0"/>
          <w:szCs w:val="28"/>
        </w:rPr>
        <w:tab/>
      </w:r>
      <w:r w:rsidRPr="00C30903">
        <w:rPr>
          <w:rFonts w:cs="Times New Roman" w:hint="eastAsia"/>
          <w:kern w:val="0"/>
          <w:szCs w:val="28"/>
        </w:rPr>
        <w:t>推廣和促進在私人及公共樓宇安裝電動車充電設施。截至</w:t>
      </w:r>
      <w:r w:rsidRPr="00313AC2">
        <w:rPr>
          <w:rFonts w:cs="Times New Roman"/>
          <w:spacing w:val="-2"/>
          <w:kern w:val="0"/>
          <w:szCs w:val="28"/>
        </w:rPr>
        <w:t>2018</w:t>
      </w:r>
      <w:r w:rsidRPr="00313AC2">
        <w:rPr>
          <w:rFonts w:cs="Times New Roman" w:hint="eastAsia"/>
          <w:spacing w:val="-2"/>
          <w:kern w:val="0"/>
          <w:szCs w:val="28"/>
        </w:rPr>
        <w:t>年年底，全港已設有超過</w:t>
      </w:r>
      <w:r w:rsidRPr="00313AC2">
        <w:rPr>
          <w:rFonts w:cs="Times New Roman"/>
          <w:spacing w:val="-2"/>
          <w:kern w:val="0"/>
          <w:szCs w:val="28"/>
        </w:rPr>
        <w:t>2 000</w:t>
      </w:r>
      <w:r w:rsidRPr="00313AC2">
        <w:rPr>
          <w:rFonts w:cs="Times New Roman" w:hint="eastAsia"/>
          <w:spacing w:val="-2"/>
          <w:kern w:val="0"/>
          <w:szCs w:val="28"/>
        </w:rPr>
        <w:t>個電動車公共充電器；</w:t>
      </w:r>
      <w:r w:rsidRPr="00C30903">
        <w:rPr>
          <w:rFonts w:cs="Times New Roman" w:hint="eastAsia"/>
          <w:kern w:val="0"/>
          <w:szCs w:val="28"/>
        </w:rPr>
        <w:t>以及</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(j)</w:t>
      </w:r>
      <w:r w:rsidRPr="00C30903">
        <w:rPr>
          <w:rFonts w:cs="Times New Roman"/>
          <w:kern w:val="0"/>
          <w:szCs w:val="28"/>
        </w:rPr>
        <w:tab/>
      </w:r>
      <w:r w:rsidRPr="00C30903">
        <w:rPr>
          <w:rFonts w:cs="Times New Roman" w:hint="eastAsia"/>
          <w:kern w:val="0"/>
          <w:szCs w:val="28"/>
        </w:rPr>
        <w:t>在</w:t>
      </w:r>
      <w:r w:rsidRPr="00C30903">
        <w:rPr>
          <w:rFonts w:cs="Times New Roman"/>
          <w:kern w:val="0"/>
          <w:szCs w:val="28"/>
        </w:rPr>
        <w:t>2010</w:t>
      </w:r>
      <w:r w:rsidRPr="00C30903">
        <w:rPr>
          <w:rFonts w:cs="Times New Roman" w:hint="eastAsia"/>
          <w:kern w:val="0"/>
          <w:szCs w:val="28"/>
        </w:rPr>
        <w:t>年</w:t>
      </w:r>
      <w:r w:rsidRPr="00C30903">
        <w:rPr>
          <w:rFonts w:cs="Times New Roman"/>
          <w:kern w:val="0"/>
          <w:szCs w:val="28"/>
        </w:rPr>
        <w:t>4</w:t>
      </w:r>
      <w:r w:rsidRPr="00C30903">
        <w:rPr>
          <w:rFonts w:cs="Times New Roman" w:hint="eastAsia"/>
          <w:kern w:val="0"/>
          <w:szCs w:val="28"/>
        </w:rPr>
        <w:t>月實施法例，禁止汽車引擎空轉。</w:t>
      </w:r>
    </w:p>
    <w:p w:rsidR="00747021" w:rsidRPr="00C30903"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C30903" w:rsidRDefault="00747021" w:rsidP="00747021">
      <w:pPr>
        <w:widowControl/>
        <w:tabs>
          <w:tab w:val="left" w:pos="1440"/>
          <w:tab w:val="left" w:pos="1680"/>
        </w:tabs>
        <w:adjustRightInd w:val="0"/>
        <w:snapToGrid w:val="0"/>
        <w:spacing w:line="400" w:lineRule="atLeast"/>
        <w:jc w:val="both"/>
        <w:rPr>
          <w:rFonts w:cs="Times New Roman"/>
          <w:kern w:val="0"/>
          <w:szCs w:val="28"/>
        </w:rPr>
      </w:pPr>
      <w:r>
        <w:rPr>
          <w:rFonts w:cs="Times New Roman" w:hint="eastAsia"/>
          <w:kern w:val="0"/>
          <w:szCs w:val="28"/>
        </w:rPr>
        <w:t>2.</w:t>
      </w:r>
      <w:r w:rsidRPr="00C30903">
        <w:rPr>
          <w:rFonts w:cs="Times New Roman"/>
          <w:kern w:val="0"/>
          <w:szCs w:val="28"/>
        </w:rPr>
        <w:tab/>
      </w:r>
      <w:r w:rsidRPr="00C30903">
        <w:rPr>
          <w:rFonts w:cs="Times New Roman" w:hint="eastAsia"/>
          <w:kern w:val="0"/>
          <w:szCs w:val="28"/>
        </w:rPr>
        <w:t>除上述的車輛排放管制措施外，政府已推行以下措施，減少本地主要排放源的排放：</w:t>
      </w:r>
    </w:p>
    <w:p w:rsidR="00747021" w:rsidRPr="00C30903" w:rsidRDefault="00747021" w:rsidP="00747021">
      <w:pPr>
        <w:widowControl/>
        <w:tabs>
          <w:tab w:val="left" w:pos="1440"/>
          <w:tab w:val="left" w:pos="1680"/>
        </w:tabs>
        <w:adjustRightInd w:val="0"/>
        <w:snapToGrid w:val="0"/>
        <w:spacing w:line="400" w:lineRule="atLeast"/>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(a)</w:t>
      </w:r>
      <w:r w:rsidRPr="00C30903">
        <w:rPr>
          <w:rFonts w:cs="Times New Roman"/>
          <w:kern w:val="0"/>
          <w:szCs w:val="28"/>
        </w:rPr>
        <w:tab/>
      </w:r>
      <w:r w:rsidRPr="00C30903">
        <w:rPr>
          <w:rFonts w:cs="Times New Roman" w:hint="eastAsia"/>
          <w:kern w:val="0"/>
          <w:szCs w:val="28"/>
        </w:rPr>
        <w:t>發電是本地主要空氣污染源之一。我們自</w:t>
      </w:r>
      <w:r w:rsidRPr="00C30903">
        <w:rPr>
          <w:rFonts w:cs="Times New Roman"/>
          <w:kern w:val="0"/>
          <w:szCs w:val="28"/>
        </w:rPr>
        <w:t>1997</w:t>
      </w:r>
      <w:r w:rsidRPr="00C30903">
        <w:rPr>
          <w:rFonts w:cs="Times New Roman" w:hint="eastAsia"/>
          <w:kern w:val="0"/>
          <w:szCs w:val="28"/>
        </w:rPr>
        <w:t>年起已全面禁止興建新的燃煤發電廠。自</w:t>
      </w:r>
      <w:r w:rsidRPr="00C30903">
        <w:rPr>
          <w:rFonts w:cs="Times New Roman"/>
          <w:kern w:val="0"/>
          <w:szCs w:val="28"/>
        </w:rPr>
        <w:t>2008</w:t>
      </w:r>
      <w:r w:rsidRPr="00C30903">
        <w:rPr>
          <w:rFonts w:cs="Times New Roman" w:hint="eastAsia"/>
          <w:kern w:val="0"/>
          <w:szCs w:val="28"/>
        </w:rPr>
        <w:t>年起，我們已透過發出技術備忘錄，為所有發電廠設定排放總量上限，並逐步收緊有關上限。直至目前為止，我們已發出</w:t>
      </w:r>
      <w:r w:rsidRPr="00C30903">
        <w:rPr>
          <w:rFonts w:cs="Times New Roman"/>
          <w:kern w:val="0"/>
          <w:szCs w:val="28"/>
        </w:rPr>
        <w:t>7</w:t>
      </w:r>
      <w:r w:rsidRPr="00C30903">
        <w:rPr>
          <w:rFonts w:cs="Times New Roman" w:hint="eastAsia"/>
          <w:kern w:val="0"/>
          <w:szCs w:val="28"/>
        </w:rPr>
        <w:t>份技術備忘錄，涵蓋</w:t>
      </w:r>
      <w:r w:rsidRPr="00C30903">
        <w:rPr>
          <w:rFonts w:cs="Times New Roman"/>
          <w:kern w:val="0"/>
          <w:szCs w:val="28"/>
        </w:rPr>
        <w:t>2010</w:t>
      </w:r>
      <w:r w:rsidRPr="00C30903">
        <w:rPr>
          <w:rFonts w:cs="Times New Roman" w:hint="eastAsia"/>
          <w:kern w:val="0"/>
          <w:szCs w:val="28"/>
        </w:rPr>
        <w:t>年至</w:t>
      </w:r>
      <w:r w:rsidRPr="00C30903">
        <w:rPr>
          <w:rFonts w:cs="Times New Roman"/>
          <w:kern w:val="0"/>
          <w:szCs w:val="28"/>
        </w:rPr>
        <w:t>2022</w:t>
      </w:r>
      <w:r w:rsidRPr="00C30903">
        <w:rPr>
          <w:rFonts w:cs="Times New Roman" w:hint="eastAsia"/>
          <w:kern w:val="0"/>
          <w:szCs w:val="28"/>
        </w:rPr>
        <w:t>年及以後的排放。香港特別行政區政府與中央人民政府國家能源局於</w:t>
      </w:r>
      <w:r w:rsidRPr="00C30903">
        <w:rPr>
          <w:rFonts w:cs="Times New Roman"/>
          <w:kern w:val="0"/>
          <w:szCs w:val="28"/>
        </w:rPr>
        <w:t>2008</w:t>
      </w:r>
      <w:r w:rsidRPr="00C30903">
        <w:rPr>
          <w:rFonts w:cs="Times New Roman" w:hint="eastAsia"/>
          <w:kern w:val="0"/>
          <w:szCs w:val="28"/>
        </w:rPr>
        <w:t>年簽署能源合作諒解備忘錄，以確保內地在未來</w:t>
      </w:r>
      <w:r w:rsidRPr="00C30903">
        <w:rPr>
          <w:rFonts w:cs="Times New Roman"/>
          <w:kern w:val="0"/>
          <w:szCs w:val="28"/>
        </w:rPr>
        <w:t>20</w:t>
      </w:r>
      <w:r w:rsidRPr="00C30903">
        <w:rPr>
          <w:rFonts w:cs="Times New Roman" w:hint="eastAsia"/>
          <w:kern w:val="0"/>
          <w:szCs w:val="28"/>
        </w:rPr>
        <w:t>年繼續向香港供應天然氣發電。在</w:t>
      </w:r>
      <w:r w:rsidRPr="00C30903">
        <w:rPr>
          <w:rFonts w:cs="Times New Roman"/>
          <w:kern w:val="0"/>
          <w:szCs w:val="28"/>
        </w:rPr>
        <w:t>2009</w:t>
      </w:r>
      <w:r w:rsidRPr="00C30903">
        <w:rPr>
          <w:rFonts w:cs="Times New Roman" w:hint="eastAsia"/>
          <w:kern w:val="0"/>
          <w:szCs w:val="28"/>
        </w:rPr>
        <w:t>年</w:t>
      </w:r>
      <w:r w:rsidRPr="00C30903">
        <w:rPr>
          <w:rFonts w:cs="Times New Roman"/>
          <w:kern w:val="0"/>
          <w:szCs w:val="28"/>
        </w:rPr>
        <w:t>9</w:t>
      </w:r>
      <w:r w:rsidRPr="00C30903">
        <w:rPr>
          <w:rFonts w:cs="Times New Roman" w:hint="eastAsia"/>
          <w:kern w:val="0"/>
          <w:szCs w:val="28"/>
        </w:rPr>
        <w:t>月，香港中華電力有限公司（香港的主要電力供應商）把有關從中國內地輸入核電的</w:t>
      </w:r>
      <w:r w:rsidRPr="00670A0F">
        <w:rPr>
          <w:rFonts w:cs="Times New Roman" w:hint="eastAsia"/>
          <w:spacing w:val="-2"/>
          <w:kern w:val="0"/>
          <w:szCs w:val="28"/>
        </w:rPr>
        <w:t>合約從</w:t>
      </w:r>
      <w:r w:rsidRPr="00670A0F">
        <w:rPr>
          <w:rFonts w:cs="Times New Roman"/>
          <w:spacing w:val="-2"/>
          <w:kern w:val="0"/>
          <w:szCs w:val="28"/>
        </w:rPr>
        <w:t>2014</w:t>
      </w:r>
      <w:r w:rsidRPr="00670A0F">
        <w:rPr>
          <w:rFonts w:cs="Times New Roman" w:hint="eastAsia"/>
          <w:spacing w:val="-2"/>
          <w:kern w:val="0"/>
          <w:szCs w:val="28"/>
        </w:rPr>
        <w:t>年</w:t>
      </w:r>
      <w:r w:rsidRPr="00670A0F">
        <w:rPr>
          <w:rFonts w:cs="Times New Roman"/>
          <w:spacing w:val="-2"/>
          <w:kern w:val="0"/>
          <w:szCs w:val="28"/>
        </w:rPr>
        <w:t>5</w:t>
      </w:r>
      <w:r w:rsidRPr="00670A0F">
        <w:rPr>
          <w:rFonts w:cs="Times New Roman" w:hint="eastAsia"/>
          <w:spacing w:val="-2"/>
          <w:kern w:val="0"/>
          <w:szCs w:val="28"/>
        </w:rPr>
        <w:t>月起延長</w:t>
      </w:r>
      <w:r w:rsidRPr="00670A0F">
        <w:rPr>
          <w:rFonts w:cs="Times New Roman"/>
          <w:spacing w:val="-2"/>
          <w:kern w:val="0"/>
          <w:szCs w:val="28"/>
        </w:rPr>
        <w:t>20</w:t>
      </w:r>
      <w:r w:rsidRPr="00670A0F">
        <w:rPr>
          <w:rFonts w:cs="Times New Roman" w:hint="eastAsia"/>
          <w:spacing w:val="-2"/>
          <w:kern w:val="0"/>
          <w:szCs w:val="28"/>
        </w:rPr>
        <w:t>年。這有助保證香港可繼</w:t>
      </w:r>
      <w:r w:rsidRPr="00C30903">
        <w:rPr>
          <w:rFonts w:cs="Times New Roman" w:hint="eastAsia"/>
          <w:kern w:val="0"/>
          <w:szCs w:val="28"/>
        </w:rPr>
        <w:t>續以合理和可負擔的價錢取得潔淨的電源。我們於</w:t>
      </w:r>
      <w:r w:rsidRPr="00C30903">
        <w:rPr>
          <w:rFonts w:cs="Times New Roman"/>
          <w:kern w:val="0"/>
          <w:szCs w:val="28"/>
        </w:rPr>
        <w:t>2015</w:t>
      </w:r>
      <w:r w:rsidRPr="00C30903">
        <w:rPr>
          <w:rFonts w:cs="Times New Roman" w:hint="eastAsia"/>
          <w:kern w:val="0"/>
          <w:szCs w:val="28"/>
        </w:rPr>
        <w:t>年公布了香港的</w:t>
      </w:r>
      <w:r w:rsidRPr="00C30903">
        <w:rPr>
          <w:rFonts w:cs="Times New Roman"/>
          <w:kern w:val="0"/>
          <w:szCs w:val="28"/>
        </w:rPr>
        <w:t>2020</w:t>
      </w:r>
      <w:r w:rsidRPr="00C30903">
        <w:rPr>
          <w:rFonts w:cs="Times New Roman" w:hint="eastAsia"/>
          <w:kern w:val="0"/>
          <w:szCs w:val="28"/>
        </w:rPr>
        <w:t>年發電燃料組合方案，將天然氣發電</w:t>
      </w:r>
      <w:r w:rsidRPr="00670A0F">
        <w:rPr>
          <w:rFonts w:cs="Times New Roman" w:hint="eastAsia"/>
          <w:spacing w:val="-2"/>
          <w:kern w:val="0"/>
          <w:szCs w:val="28"/>
        </w:rPr>
        <w:lastRenderedPageBreak/>
        <w:t>的百分比增加至大約</w:t>
      </w:r>
      <w:r w:rsidRPr="00670A0F">
        <w:rPr>
          <w:rFonts w:cs="Times New Roman"/>
          <w:spacing w:val="-2"/>
          <w:kern w:val="0"/>
          <w:szCs w:val="28"/>
        </w:rPr>
        <w:t>50%</w:t>
      </w:r>
      <w:r w:rsidRPr="00670A0F">
        <w:rPr>
          <w:rFonts w:cs="Times New Roman" w:hint="eastAsia"/>
          <w:spacing w:val="-2"/>
          <w:kern w:val="0"/>
          <w:szCs w:val="28"/>
        </w:rPr>
        <w:t>，以及將燃煤發電的比例減少</w:t>
      </w:r>
      <w:r w:rsidRPr="00C30903">
        <w:rPr>
          <w:rFonts w:cs="Times New Roman" w:hint="eastAsia"/>
          <w:kern w:val="0"/>
          <w:szCs w:val="28"/>
        </w:rPr>
        <w:t>至約</w:t>
      </w:r>
      <w:r w:rsidRPr="00C30903">
        <w:rPr>
          <w:rFonts w:cs="Times New Roman"/>
          <w:kern w:val="0"/>
          <w:szCs w:val="28"/>
        </w:rPr>
        <w:t>25%</w:t>
      </w:r>
      <w:r w:rsidRPr="00C30903">
        <w:rPr>
          <w:rFonts w:cs="Times New Roman" w:hint="eastAsia"/>
          <w:kern w:val="0"/>
          <w:szCs w:val="28"/>
        </w:rPr>
        <w:t>，以減少發電界別的排放；</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(b)</w:t>
      </w:r>
      <w:r w:rsidRPr="00C30903">
        <w:rPr>
          <w:rFonts w:cs="Times New Roman"/>
          <w:kern w:val="0"/>
          <w:szCs w:val="28"/>
        </w:rPr>
        <w:tab/>
      </w:r>
      <w:r w:rsidRPr="00C30903">
        <w:rPr>
          <w:rFonts w:cs="Times New Roman" w:hint="eastAsia"/>
          <w:kern w:val="0"/>
          <w:szCs w:val="28"/>
        </w:rPr>
        <w:t>為減少船舶的排放，我們自</w:t>
      </w:r>
      <w:r w:rsidRPr="00C30903">
        <w:rPr>
          <w:rFonts w:cs="Times New Roman"/>
          <w:kern w:val="0"/>
          <w:szCs w:val="28"/>
        </w:rPr>
        <w:t>2014</w:t>
      </w:r>
      <w:r w:rsidRPr="00C30903">
        <w:rPr>
          <w:rFonts w:cs="Times New Roman" w:hint="eastAsia"/>
          <w:kern w:val="0"/>
          <w:szCs w:val="28"/>
        </w:rPr>
        <w:t>年</w:t>
      </w:r>
      <w:r w:rsidRPr="00C30903">
        <w:rPr>
          <w:rFonts w:cs="Times New Roman"/>
          <w:kern w:val="0"/>
          <w:szCs w:val="28"/>
        </w:rPr>
        <w:t>4</w:t>
      </w:r>
      <w:r w:rsidRPr="00C30903">
        <w:rPr>
          <w:rFonts w:cs="Times New Roman" w:hint="eastAsia"/>
          <w:kern w:val="0"/>
          <w:szCs w:val="28"/>
        </w:rPr>
        <w:t>月起已限制本地供應的船用輕質柴油含硫量不得超過</w:t>
      </w:r>
      <w:r w:rsidRPr="00C30903">
        <w:rPr>
          <w:rFonts w:cs="Times New Roman"/>
          <w:kern w:val="0"/>
          <w:szCs w:val="28"/>
        </w:rPr>
        <w:t>0.05%</w:t>
      </w:r>
      <w:r w:rsidRPr="00C30903">
        <w:rPr>
          <w:rFonts w:cs="Times New Roman" w:hint="eastAsia"/>
          <w:kern w:val="0"/>
          <w:szCs w:val="28"/>
        </w:rPr>
        <w:t>。我們自</w:t>
      </w:r>
      <w:r w:rsidRPr="00C30903">
        <w:rPr>
          <w:rFonts w:cs="Times New Roman"/>
          <w:kern w:val="0"/>
          <w:szCs w:val="28"/>
        </w:rPr>
        <w:t>2015</w:t>
      </w:r>
      <w:r w:rsidRPr="00741C57">
        <w:rPr>
          <w:rFonts w:cs="Times New Roman" w:hint="eastAsia"/>
          <w:spacing w:val="-2"/>
          <w:kern w:val="0"/>
          <w:szCs w:val="28"/>
        </w:rPr>
        <w:t>年</w:t>
      </w:r>
      <w:r w:rsidRPr="00741C57">
        <w:rPr>
          <w:rFonts w:cs="Times New Roman"/>
          <w:spacing w:val="-2"/>
          <w:kern w:val="0"/>
          <w:szCs w:val="28"/>
        </w:rPr>
        <w:t>7</w:t>
      </w:r>
      <w:r w:rsidRPr="00741C57">
        <w:rPr>
          <w:rFonts w:cs="Times New Roman" w:hint="eastAsia"/>
          <w:spacing w:val="-2"/>
          <w:kern w:val="0"/>
          <w:szCs w:val="28"/>
        </w:rPr>
        <w:t>月起強制遠洋船在香港停泊期間須轉用含硫量不超</w:t>
      </w:r>
      <w:r w:rsidRPr="00C30903">
        <w:rPr>
          <w:rFonts w:cs="Times New Roman" w:hint="eastAsia"/>
          <w:kern w:val="0"/>
          <w:szCs w:val="28"/>
        </w:rPr>
        <w:t>過</w:t>
      </w:r>
      <w:r w:rsidRPr="00C30903">
        <w:rPr>
          <w:rFonts w:cs="Times New Roman"/>
          <w:kern w:val="0"/>
          <w:szCs w:val="28"/>
        </w:rPr>
        <w:t>0.5%</w:t>
      </w:r>
      <w:r w:rsidRPr="00C30903">
        <w:rPr>
          <w:rFonts w:cs="Times New Roman" w:hint="eastAsia"/>
          <w:kern w:val="0"/>
          <w:szCs w:val="28"/>
        </w:rPr>
        <w:t>的低硫船用燃料，並由</w:t>
      </w:r>
      <w:r w:rsidRPr="00C30903">
        <w:rPr>
          <w:rFonts w:cs="Times New Roman"/>
          <w:kern w:val="0"/>
          <w:szCs w:val="28"/>
        </w:rPr>
        <w:t>2019</w:t>
      </w:r>
      <w:r w:rsidRPr="00C30903">
        <w:rPr>
          <w:rFonts w:cs="Times New Roman" w:hint="eastAsia"/>
          <w:kern w:val="0"/>
          <w:szCs w:val="28"/>
        </w:rPr>
        <w:t>年</w:t>
      </w:r>
      <w:r w:rsidRPr="00C30903">
        <w:rPr>
          <w:rFonts w:cs="Times New Roman"/>
          <w:kern w:val="0"/>
          <w:szCs w:val="28"/>
        </w:rPr>
        <w:t>1</w:t>
      </w:r>
      <w:r w:rsidRPr="00C30903">
        <w:rPr>
          <w:rFonts w:cs="Times New Roman" w:hint="eastAsia"/>
          <w:kern w:val="0"/>
          <w:szCs w:val="28"/>
        </w:rPr>
        <w:t>月開始將有關管制擴展至規定香港水域內的所有船隻必須使用低硫燃料。此外，我們現正與內地合作，共同推動在內地水域內設立沿岸排放控制區；</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(c)</w:t>
      </w:r>
      <w:r w:rsidRPr="00C30903">
        <w:rPr>
          <w:rFonts w:cs="Times New Roman"/>
          <w:kern w:val="0"/>
          <w:szCs w:val="28"/>
        </w:rPr>
        <w:tab/>
      </w:r>
      <w:r w:rsidRPr="00C30903">
        <w:rPr>
          <w:rFonts w:cs="Times New Roman" w:hint="eastAsia"/>
          <w:kern w:val="0"/>
          <w:szCs w:val="28"/>
        </w:rPr>
        <w:t>自</w:t>
      </w:r>
      <w:r w:rsidRPr="00C30903">
        <w:rPr>
          <w:rFonts w:cs="Times New Roman"/>
          <w:kern w:val="0"/>
          <w:szCs w:val="28"/>
        </w:rPr>
        <w:t>2015</w:t>
      </w:r>
      <w:r w:rsidRPr="00C30903">
        <w:rPr>
          <w:rFonts w:cs="Times New Roman" w:hint="eastAsia"/>
          <w:kern w:val="0"/>
          <w:szCs w:val="28"/>
        </w:rPr>
        <w:t>年</w:t>
      </w:r>
      <w:r w:rsidRPr="00C30903">
        <w:rPr>
          <w:rFonts w:cs="Times New Roman"/>
          <w:kern w:val="0"/>
          <w:szCs w:val="28"/>
        </w:rPr>
        <w:t>6</w:t>
      </w:r>
      <w:r w:rsidRPr="00C30903">
        <w:rPr>
          <w:rFonts w:cs="Times New Roman" w:hint="eastAsia"/>
          <w:kern w:val="0"/>
          <w:szCs w:val="28"/>
        </w:rPr>
        <w:t>月起，供應給本港使用的非道路移動機械須符合法定的廢氣排放標準；</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r w:rsidRPr="00C30903">
        <w:rPr>
          <w:rFonts w:cs="Times New Roman"/>
          <w:kern w:val="0"/>
          <w:szCs w:val="28"/>
        </w:rPr>
        <w:t>(d)</w:t>
      </w:r>
      <w:r w:rsidRPr="00C30903">
        <w:rPr>
          <w:rFonts w:cs="Times New Roman"/>
          <w:kern w:val="0"/>
          <w:szCs w:val="28"/>
        </w:rPr>
        <w:tab/>
      </w:r>
      <w:r w:rsidRPr="00C30903">
        <w:rPr>
          <w:rFonts w:cs="Times New Roman" w:hint="eastAsia"/>
          <w:kern w:val="0"/>
          <w:szCs w:val="28"/>
        </w:rPr>
        <w:t>我們亦已強制所有工商業工序使用超低硫柴油（含硫量不超過</w:t>
      </w:r>
      <w:r w:rsidRPr="00C30903">
        <w:rPr>
          <w:rFonts w:cs="Times New Roman"/>
          <w:kern w:val="0"/>
          <w:szCs w:val="28"/>
        </w:rPr>
        <w:t>0.005%</w:t>
      </w:r>
      <w:r w:rsidRPr="00C30903">
        <w:rPr>
          <w:rFonts w:cs="Times New Roman" w:hint="eastAsia"/>
          <w:kern w:val="0"/>
          <w:szCs w:val="28"/>
        </w:rPr>
        <w:t>）。此外，我們自</w:t>
      </w:r>
      <w:r w:rsidRPr="00C30903">
        <w:rPr>
          <w:rFonts w:cs="Times New Roman"/>
          <w:kern w:val="0"/>
          <w:szCs w:val="28"/>
        </w:rPr>
        <w:t>2007</w:t>
      </w:r>
      <w:r w:rsidRPr="00C30903">
        <w:rPr>
          <w:rFonts w:cs="Times New Roman" w:hint="eastAsia"/>
          <w:kern w:val="0"/>
          <w:szCs w:val="28"/>
        </w:rPr>
        <w:t>年起分階段就特定產品（例如漆料和印墨）的揮發性有機化合物含量設定法定上限，並自</w:t>
      </w:r>
      <w:r w:rsidRPr="00C30903">
        <w:rPr>
          <w:rFonts w:cs="Times New Roman"/>
          <w:kern w:val="0"/>
          <w:szCs w:val="28"/>
        </w:rPr>
        <w:t>2010</w:t>
      </w:r>
      <w:r w:rsidRPr="00C30903">
        <w:rPr>
          <w:rFonts w:cs="Times New Roman" w:hint="eastAsia"/>
          <w:kern w:val="0"/>
          <w:szCs w:val="28"/>
        </w:rPr>
        <w:t>年</w:t>
      </w:r>
      <w:r w:rsidRPr="00C30903">
        <w:rPr>
          <w:rFonts w:cs="Times New Roman"/>
          <w:kern w:val="0"/>
          <w:szCs w:val="28"/>
        </w:rPr>
        <w:t>1</w:t>
      </w:r>
      <w:r w:rsidRPr="00C30903">
        <w:rPr>
          <w:rFonts w:cs="Times New Roman" w:hint="eastAsia"/>
          <w:kern w:val="0"/>
          <w:szCs w:val="28"/>
        </w:rPr>
        <w:t>月起分階段禁止進口含氟氯烴的產品（例如冷凍及空調系統）。同時，我們現正推行一項計劃，協助珠江三角洲地區的港資工廠採用較潔淨的生產科技和工序；以及</w:t>
      </w: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kern w:val="0"/>
          <w:szCs w:val="28"/>
        </w:rPr>
      </w:pPr>
    </w:p>
    <w:p w:rsidR="00747021" w:rsidRPr="00C30903" w:rsidRDefault="00747021" w:rsidP="00747021">
      <w:pPr>
        <w:widowControl/>
        <w:tabs>
          <w:tab w:val="left" w:pos="1440"/>
        </w:tabs>
        <w:adjustRightInd w:val="0"/>
        <w:snapToGrid w:val="0"/>
        <w:spacing w:line="400" w:lineRule="atLeast"/>
        <w:ind w:leftChars="257" w:left="1437" w:hangingChars="256" w:hanging="717"/>
        <w:jc w:val="both"/>
        <w:rPr>
          <w:rFonts w:cs="Times New Roman"/>
        </w:rPr>
      </w:pPr>
      <w:r w:rsidRPr="00520131">
        <w:rPr>
          <w:rFonts w:cs="Times New Roman"/>
          <w:bCs/>
          <w:szCs w:val="28"/>
        </w:rPr>
        <w:t>(e)</w:t>
      </w:r>
      <w:r w:rsidRPr="00520131">
        <w:rPr>
          <w:rFonts w:cs="Times New Roman"/>
          <w:bCs/>
          <w:szCs w:val="28"/>
        </w:rPr>
        <w:tab/>
      </w:r>
      <w:r w:rsidRPr="00520131">
        <w:rPr>
          <w:rFonts w:cs="Times New Roman" w:hint="eastAsia"/>
          <w:bCs/>
          <w:szCs w:val="28"/>
        </w:rPr>
        <w:t>推廣節約能源和提升能源效益亦是我們的整體策略的重要一環。為提升建築物的能源效益，當局已於</w:t>
      </w:r>
      <w:r w:rsidRPr="00520131">
        <w:rPr>
          <w:rFonts w:cs="Times New Roman"/>
          <w:bCs/>
          <w:szCs w:val="28"/>
        </w:rPr>
        <w:t>2012</w:t>
      </w:r>
      <w:r w:rsidRPr="00520131">
        <w:rPr>
          <w:rFonts w:cs="Times New Roman" w:hint="eastAsia"/>
          <w:bCs/>
          <w:szCs w:val="28"/>
        </w:rPr>
        <w:t>年制定《建築物能源效益條例》（</w:t>
      </w:r>
      <w:r w:rsidRPr="00520131">
        <w:rPr>
          <w:rFonts w:cs="Times New Roman" w:hint="eastAsia"/>
          <w:bCs/>
          <w:szCs w:val="28"/>
          <w:lang w:val="en-GB" w:eastAsia="zh-HK"/>
        </w:rPr>
        <w:t>第</w:t>
      </w:r>
      <w:r w:rsidRPr="00520131">
        <w:rPr>
          <w:rFonts w:cs="Times New Roman"/>
          <w:bCs/>
          <w:szCs w:val="28"/>
          <w:lang w:val="en-GB"/>
        </w:rPr>
        <w:t>610</w:t>
      </w:r>
      <w:r w:rsidRPr="00520131">
        <w:rPr>
          <w:rFonts w:cs="Times New Roman" w:hint="eastAsia"/>
          <w:bCs/>
          <w:szCs w:val="28"/>
          <w:lang w:val="en-GB" w:eastAsia="zh-HK"/>
        </w:rPr>
        <w:t>章</w:t>
      </w:r>
      <w:r w:rsidRPr="00520131">
        <w:rPr>
          <w:rFonts w:cs="Times New Roman" w:hint="eastAsia"/>
          <w:bCs/>
          <w:szCs w:val="28"/>
        </w:rPr>
        <w:t>）。自法例實施後，為中央屋宇裝備裝置訂明能源效益水平</w:t>
      </w:r>
      <w:r w:rsidRPr="00C30903">
        <w:rPr>
          <w:rFonts w:hint="eastAsia"/>
          <w:bCs/>
          <w:szCs w:val="28"/>
        </w:rPr>
        <w:t>的法定《建築物能源效益守則》已更新兩次，故此新建建築物和現有建築物的主要裝修工程須遵守的能源效益標準累計提高了</w:t>
      </w:r>
      <w:r w:rsidRPr="00741C57">
        <w:rPr>
          <w:rFonts w:cs="Times New Roman"/>
          <w:bCs/>
          <w:szCs w:val="28"/>
        </w:rPr>
        <w:t>18%</w:t>
      </w:r>
      <w:r w:rsidRPr="00741C57">
        <w:rPr>
          <w:rFonts w:cs="Times New Roman"/>
          <w:bCs/>
          <w:szCs w:val="28"/>
        </w:rPr>
        <w:t>。</w:t>
      </w:r>
      <w:r w:rsidRPr="00C30903">
        <w:rPr>
          <w:rFonts w:hint="eastAsia"/>
          <w:bCs/>
          <w:szCs w:val="28"/>
        </w:rPr>
        <w:t>我們亦正在啟德發展區分階段興建區域供冷系統，以提供具能源效益的空調服務，並正研究在新發展區提供區域供冷系統，以促進低碳發展。另外，我們已就耗能產品制定自願性和強制性能源效益標籤計劃，方便市民選擇具能源效益的電器。我們會因應最新技術發展、市場供應和其他</w:t>
      </w:r>
      <w:r w:rsidRPr="00C30903">
        <w:rPr>
          <w:rFonts w:hint="eastAsia"/>
          <w:bCs/>
          <w:szCs w:val="28"/>
        </w:rPr>
        <w:lastRenderedPageBreak/>
        <w:t>經濟體系的能源標準發展情況，分階段在《強制性能源效益標籤計劃》加入更多電器。</w:t>
      </w:r>
    </w:p>
    <w:p w:rsidR="00741C57" w:rsidRDefault="00741C57" w:rsidP="001745ED">
      <w:pPr>
        <w:tabs>
          <w:tab w:val="left" w:pos="1440"/>
          <w:tab w:val="left" w:pos="1680"/>
        </w:tabs>
        <w:adjustRightInd w:val="0"/>
        <w:snapToGrid w:val="0"/>
        <w:spacing w:line="400" w:lineRule="atLeast"/>
        <w:ind w:right="-154"/>
        <w:jc w:val="both"/>
        <w:rPr>
          <w:rFonts w:cs="Times New Roman"/>
          <w:bCs/>
          <w:kern w:val="0"/>
          <w:szCs w:val="28"/>
        </w:rPr>
        <w:sectPr w:rsidR="00741C57" w:rsidSect="00221C37">
          <w:footerReference w:type="first" r:id="rId73"/>
          <w:pgSz w:w="11906" w:h="16838"/>
          <w:pgMar w:top="1440" w:right="1800" w:bottom="1440" w:left="1800" w:header="720" w:footer="720" w:gutter="0"/>
          <w:pgNumType w:start="1"/>
          <w:cols w:space="425"/>
          <w:titlePg/>
          <w:docGrid w:type="lines" w:linePitch="381"/>
        </w:sectPr>
      </w:pPr>
    </w:p>
    <w:p w:rsidR="0060362E" w:rsidRPr="00FA685B" w:rsidRDefault="0060362E" w:rsidP="0060362E">
      <w:pPr>
        <w:snapToGrid w:val="0"/>
        <w:spacing w:line="400" w:lineRule="atLeast"/>
        <w:jc w:val="right"/>
        <w:rPr>
          <w:b/>
          <w:szCs w:val="28"/>
        </w:rPr>
      </w:pPr>
      <w:r w:rsidRPr="00FA685B">
        <w:rPr>
          <w:b/>
          <w:szCs w:val="28"/>
        </w:rPr>
        <w:lastRenderedPageBreak/>
        <w:t>附件</w:t>
      </w:r>
      <w:smartTag w:uri="urn:schemas-microsoft-com:office:smarttags" w:element="chsdate">
        <w:smartTagPr>
          <w:attr w:name="TCSC" w:val="0"/>
          <w:attr w:name="NumberType" w:val="1"/>
          <w:attr w:name="Negative" w:val="False"/>
          <w:attr w:name="HasSpace" w:val="False"/>
          <w:attr w:name="SourceValue" w:val="13"/>
          <w:attr w:name="UnitName" w:val="a"/>
        </w:smartTagPr>
        <w:r w:rsidRPr="00FA685B">
          <w:rPr>
            <w:rFonts w:hint="eastAsia"/>
            <w:b/>
            <w:szCs w:val="28"/>
            <w:lang w:val="en-GB"/>
          </w:rPr>
          <w:t>13A</w:t>
        </w:r>
      </w:smartTag>
    </w:p>
    <w:p w:rsidR="0060362E" w:rsidRPr="00FA685B" w:rsidRDefault="0060362E" w:rsidP="0060362E">
      <w:pPr>
        <w:tabs>
          <w:tab w:val="left" w:pos="567"/>
          <w:tab w:val="left" w:pos="1134"/>
        </w:tabs>
        <w:snapToGrid w:val="0"/>
        <w:spacing w:line="400" w:lineRule="atLeast"/>
        <w:ind w:left="1985" w:hanging="1985"/>
        <w:jc w:val="center"/>
        <w:rPr>
          <w:b/>
          <w:szCs w:val="28"/>
        </w:rPr>
      </w:pPr>
    </w:p>
    <w:p w:rsidR="0060362E" w:rsidRPr="00FA685B" w:rsidRDefault="0060362E" w:rsidP="0060362E">
      <w:pPr>
        <w:tabs>
          <w:tab w:val="left" w:pos="567"/>
          <w:tab w:val="left" w:pos="1134"/>
        </w:tabs>
        <w:snapToGrid w:val="0"/>
        <w:spacing w:line="400" w:lineRule="atLeast"/>
        <w:ind w:left="1985" w:hanging="1985"/>
        <w:jc w:val="center"/>
        <w:rPr>
          <w:szCs w:val="28"/>
        </w:rPr>
      </w:pPr>
      <w:r w:rsidRPr="00FA685B">
        <w:rPr>
          <w:b/>
          <w:szCs w:val="28"/>
        </w:rPr>
        <w:t>香港居民的教育程度</w:t>
      </w:r>
    </w:p>
    <w:p w:rsidR="0060362E" w:rsidRPr="00FA685B" w:rsidRDefault="0060362E" w:rsidP="0060362E">
      <w:pPr>
        <w:tabs>
          <w:tab w:val="left" w:pos="567"/>
          <w:tab w:val="left" w:pos="1134"/>
        </w:tabs>
        <w:snapToGrid w:val="0"/>
        <w:spacing w:line="400" w:lineRule="atLeast"/>
        <w:ind w:left="1985" w:hanging="1985"/>
        <w:rPr>
          <w:szCs w:val="28"/>
        </w:rPr>
      </w:pPr>
    </w:p>
    <w:tbl>
      <w:tblPr>
        <w:tblW w:w="87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2"/>
        <w:gridCol w:w="1620"/>
        <w:gridCol w:w="637"/>
        <w:gridCol w:w="1276"/>
        <w:gridCol w:w="567"/>
        <w:gridCol w:w="1276"/>
        <w:gridCol w:w="567"/>
        <w:gridCol w:w="1275"/>
        <w:gridCol w:w="709"/>
      </w:tblGrid>
      <w:tr w:rsidR="006977CC" w:rsidRPr="00FA685B" w:rsidTr="006977CC">
        <w:tc>
          <w:tcPr>
            <w:tcW w:w="862" w:type="dxa"/>
            <w:tcBorders>
              <w:bottom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p>
        </w:tc>
        <w:tc>
          <w:tcPr>
            <w:tcW w:w="2257" w:type="dxa"/>
            <w:gridSpan w:val="2"/>
            <w:tcBorders>
              <w:bottom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szCs w:val="28"/>
              </w:rPr>
              <w:t>未受過教育／幼稚園</w:t>
            </w:r>
          </w:p>
        </w:tc>
        <w:tc>
          <w:tcPr>
            <w:tcW w:w="1843" w:type="dxa"/>
            <w:gridSpan w:val="2"/>
            <w:tcBorders>
              <w:bottom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szCs w:val="28"/>
              </w:rPr>
              <w:t>小學</w:t>
            </w:r>
          </w:p>
        </w:tc>
        <w:tc>
          <w:tcPr>
            <w:tcW w:w="1843" w:type="dxa"/>
            <w:gridSpan w:val="2"/>
            <w:tcBorders>
              <w:bottom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szCs w:val="28"/>
              </w:rPr>
              <w:t>中學或</w:t>
            </w:r>
          </w:p>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szCs w:val="28"/>
              </w:rPr>
              <w:t>以上</w:t>
            </w:r>
          </w:p>
        </w:tc>
        <w:tc>
          <w:tcPr>
            <w:tcW w:w="1984" w:type="dxa"/>
            <w:gridSpan w:val="2"/>
            <w:tcBorders>
              <w:bottom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szCs w:val="28"/>
              </w:rPr>
              <w:t>合計</w:t>
            </w:r>
          </w:p>
        </w:tc>
      </w:tr>
      <w:tr w:rsidR="006977CC" w:rsidRPr="00FA685B" w:rsidTr="006977CC">
        <w:tc>
          <w:tcPr>
            <w:tcW w:w="862" w:type="dxa"/>
            <w:tcBorders>
              <w:top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p>
        </w:tc>
        <w:tc>
          <w:tcPr>
            <w:tcW w:w="2257" w:type="dxa"/>
            <w:gridSpan w:val="2"/>
            <w:tcBorders>
              <w:top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position w:val="10"/>
                <w:szCs w:val="28"/>
              </w:rPr>
              <w:t>(1)</w:t>
            </w:r>
          </w:p>
        </w:tc>
        <w:tc>
          <w:tcPr>
            <w:tcW w:w="1843" w:type="dxa"/>
            <w:gridSpan w:val="2"/>
            <w:tcBorders>
              <w:top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r w:rsidRPr="00FA685B">
              <w:rPr>
                <w:b/>
                <w:position w:val="10"/>
                <w:szCs w:val="28"/>
              </w:rPr>
              <w:t>(2)</w:t>
            </w:r>
          </w:p>
        </w:tc>
        <w:tc>
          <w:tcPr>
            <w:tcW w:w="1843" w:type="dxa"/>
            <w:gridSpan w:val="2"/>
            <w:tcBorders>
              <w:top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p>
        </w:tc>
        <w:tc>
          <w:tcPr>
            <w:tcW w:w="1984" w:type="dxa"/>
            <w:gridSpan w:val="2"/>
            <w:tcBorders>
              <w:top w:val="nil"/>
            </w:tcBorders>
          </w:tcPr>
          <w:p w:rsidR="006977CC" w:rsidRPr="00FA685B" w:rsidRDefault="006977CC" w:rsidP="00E22C88">
            <w:pPr>
              <w:tabs>
                <w:tab w:val="left" w:pos="567"/>
                <w:tab w:val="left" w:pos="1134"/>
              </w:tabs>
              <w:adjustRightInd w:val="0"/>
              <w:snapToGrid w:val="0"/>
              <w:spacing w:line="400" w:lineRule="atLeast"/>
              <w:jc w:val="center"/>
              <w:rPr>
                <w:b/>
                <w:szCs w:val="28"/>
              </w:rPr>
            </w:pP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年份</w:t>
            </w:r>
          </w:p>
        </w:tc>
        <w:tc>
          <w:tcPr>
            <w:tcW w:w="1620"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人數</w:t>
            </w:r>
          </w:p>
        </w:tc>
        <w:tc>
          <w:tcPr>
            <w:tcW w:w="637"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人數</w:t>
            </w:r>
          </w:p>
        </w:tc>
        <w:tc>
          <w:tcPr>
            <w:tcW w:w="567"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人數</w:t>
            </w:r>
          </w:p>
        </w:tc>
        <w:tc>
          <w:tcPr>
            <w:tcW w:w="567"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人數</w:t>
            </w:r>
          </w:p>
        </w:tc>
        <w:tc>
          <w:tcPr>
            <w:tcW w:w="709" w:type="dxa"/>
          </w:tcPr>
          <w:p w:rsidR="0060362E" w:rsidRPr="00FA685B" w:rsidRDefault="0060362E" w:rsidP="00E22C88">
            <w:pPr>
              <w:tabs>
                <w:tab w:val="left" w:pos="567"/>
                <w:tab w:val="left" w:pos="1134"/>
              </w:tabs>
              <w:adjustRightInd w:val="0"/>
              <w:snapToGrid w:val="0"/>
              <w:spacing w:line="400" w:lineRule="atLeast"/>
              <w:jc w:val="center"/>
              <w:rPr>
                <w:b/>
                <w:szCs w:val="28"/>
              </w:rPr>
            </w:pPr>
            <w:r w:rsidRPr="00FA685B">
              <w:rPr>
                <w:b/>
                <w:szCs w:val="28"/>
              </w:rPr>
              <w:t>(%)</w:t>
            </w: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1981</w:t>
            </w:r>
          </w:p>
        </w:tc>
        <w:tc>
          <w:tcPr>
            <w:tcW w:w="1620" w:type="dxa"/>
          </w:tcPr>
          <w:p w:rsidR="0060362E" w:rsidRPr="00FA685B" w:rsidRDefault="0060362E" w:rsidP="00E22C88">
            <w:pPr>
              <w:adjustRightInd w:val="0"/>
              <w:snapToGrid w:val="0"/>
              <w:spacing w:line="400" w:lineRule="atLeast"/>
              <w:ind w:right="332"/>
              <w:jc w:val="right"/>
              <w:rPr>
                <w:szCs w:val="28"/>
              </w:rPr>
            </w:pPr>
            <w:r w:rsidRPr="00FA685B">
              <w:rPr>
                <w:szCs w:val="28"/>
              </w:rPr>
              <w:t>1 101 279</w:t>
            </w:r>
          </w:p>
        </w:tc>
        <w:tc>
          <w:tcPr>
            <w:tcW w:w="63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22</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1 831 133</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37</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2 054 148</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41</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4 986 560</w:t>
            </w:r>
          </w:p>
        </w:tc>
        <w:tc>
          <w:tcPr>
            <w:tcW w:w="709"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100</w:t>
            </w: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1986</w:t>
            </w:r>
          </w:p>
        </w:tc>
        <w:tc>
          <w:tcPr>
            <w:tcW w:w="1620" w:type="dxa"/>
          </w:tcPr>
          <w:p w:rsidR="0060362E" w:rsidRPr="00FA685B" w:rsidRDefault="0060362E" w:rsidP="00E22C88">
            <w:pPr>
              <w:adjustRightInd w:val="0"/>
              <w:snapToGrid w:val="0"/>
              <w:spacing w:line="400" w:lineRule="atLeast"/>
              <w:ind w:right="332"/>
              <w:jc w:val="right"/>
              <w:rPr>
                <w:szCs w:val="28"/>
              </w:rPr>
            </w:pPr>
            <w:r w:rsidRPr="00FA685B">
              <w:rPr>
                <w:szCs w:val="28"/>
              </w:rPr>
              <w:t>1 085 636</w:t>
            </w:r>
          </w:p>
        </w:tc>
        <w:tc>
          <w:tcPr>
            <w:tcW w:w="63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20</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1 760 779</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33</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2 549 582</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47</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5 395 997</w:t>
            </w:r>
          </w:p>
        </w:tc>
        <w:tc>
          <w:tcPr>
            <w:tcW w:w="709"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100</w:t>
            </w: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1991</w:t>
            </w:r>
          </w:p>
        </w:tc>
        <w:tc>
          <w:tcPr>
            <w:tcW w:w="1620" w:type="dxa"/>
          </w:tcPr>
          <w:p w:rsidR="0060362E" w:rsidRPr="00FA685B" w:rsidRDefault="0060362E" w:rsidP="00E22C88">
            <w:pPr>
              <w:adjustRightInd w:val="0"/>
              <w:snapToGrid w:val="0"/>
              <w:spacing w:line="400" w:lineRule="atLeast"/>
              <w:ind w:right="332"/>
              <w:jc w:val="right"/>
              <w:rPr>
                <w:szCs w:val="28"/>
              </w:rPr>
            </w:pPr>
            <w:r w:rsidRPr="00FA685B">
              <w:rPr>
                <w:szCs w:val="28"/>
              </w:rPr>
              <w:t>985 582</w:t>
            </w:r>
          </w:p>
        </w:tc>
        <w:tc>
          <w:tcPr>
            <w:tcW w:w="63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18</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1 623 046</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29</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2 913 653</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53</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5 522 281</w:t>
            </w:r>
          </w:p>
        </w:tc>
        <w:tc>
          <w:tcPr>
            <w:tcW w:w="709"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100</w:t>
            </w: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1996</w:t>
            </w:r>
          </w:p>
        </w:tc>
        <w:tc>
          <w:tcPr>
            <w:tcW w:w="1620" w:type="dxa"/>
          </w:tcPr>
          <w:p w:rsidR="0060362E" w:rsidRPr="00FA685B" w:rsidRDefault="0060362E" w:rsidP="00E22C88">
            <w:pPr>
              <w:adjustRightInd w:val="0"/>
              <w:snapToGrid w:val="0"/>
              <w:spacing w:line="400" w:lineRule="atLeast"/>
              <w:ind w:right="332"/>
              <w:jc w:val="right"/>
              <w:rPr>
                <w:szCs w:val="28"/>
              </w:rPr>
            </w:pPr>
            <w:r w:rsidRPr="00FA685B">
              <w:rPr>
                <w:szCs w:val="28"/>
              </w:rPr>
              <w:t>910 116</w:t>
            </w:r>
          </w:p>
        </w:tc>
        <w:tc>
          <w:tcPr>
            <w:tcW w:w="63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15</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1 638 975</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26</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3 668 465</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59</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6 217 556</w:t>
            </w:r>
          </w:p>
        </w:tc>
        <w:tc>
          <w:tcPr>
            <w:tcW w:w="709"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100</w:t>
            </w: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2001</w:t>
            </w:r>
          </w:p>
        </w:tc>
        <w:tc>
          <w:tcPr>
            <w:tcW w:w="1620" w:type="dxa"/>
          </w:tcPr>
          <w:p w:rsidR="0060362E" w:rsidRPr="00FA685B" w:rsidRDefault="0060362E" w:rsidP="00E22C88">
            <w:pPr>
              <w:adjustRightInd w:val="0"/>
              <w:snapToGrid w:val="0"/>
              <w:spacing w:line="400" w:lineRule="atLeast"/>
              <w:ind w:right="332"/>
              <w:jc w:val="right"/>
              <w:rPr>
                <w:szCs w:val="28"/>
              </w:rPr>
            </w:pPr>
            <w:r w:rsidRPr="00FA685B">
              <w:rPr>
                <w:szCs w:val="28"/>
              </w:rPr>
              <w:t>845 831</w:t>
            </w:r>
          </w:p>
        </w:tc>
        <w:tc>
          <w:tcPr>
            <w:tcW w:w="63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13</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1 671 836</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25</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4 190 722</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62</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6 708 389</w:t>
            </w:r>
          </w:p>
        </w:tc>
        <w:tc>
          <w:tcPr>
            <w:tcW w:w="709"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100</w:t>
            </w:r>
          </w:p>
        </w:tc>
      </w:tr>
      <w:tr w:rsidR="0060362E" w:rsidRPr="00FA685B" w:rsidTr="00E22C88">
        <w:tc>
          <w:tcPr>
            <w:tcW w:w="862"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2006</w:t>
            </w:r>
          </w:p>
        </w:tc>
        <w:tc>
          <w:tcPr>
            <w:tcW w:w="1620" w:type="dxa"/>
          </w:tcPr>
          <w:p w:rsidR="0060362E" w:rsidRPr="00FA685B" w:rsidRDefault="0060362E" w:rsidP="00E22C88">
            <w:pPr>
              <w:adjustRightInd w:val="0"/>
              <w:snapToGrid w:val="0"/>
              <w:spacing w:line="400" w:lineRule="atLeast"/>
              <w:ind w:right="332"/>
              <w:jc w:val="right"/>
              <w:rPr>
                <w:szCs w:val="28"/>
              </w:rPr>
            </w:pPr>
            <w:r w:rsidRPr="00FA685B">
              <w:rPr>
                <w:szCs w:val="28"/>
              </w:rPr>
              <w:t>719 521</w:t>
            </w:r>
          </w:p>
        </w:tc>
        <w:tc>
          <w:tcPr>
            <w:tcW w:w="63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11</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1 531 340</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22</w:t>
            </w:r>
          </w:p>
        </w:tc>
        <w:tc>
          <w:tcPr>
            <w:tcW w:w="1276"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4 613 485</w:t>
            </w:r>
          </w:p>
        </w:tc>
        <w:tc>
          <w:tcPr>
            <w:tcW w:w="567"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67</w:t>
            </w:r>
          </w:p>
        </w:tc>
        <w:tc>
          <w:tcPr>
            <w:tcW w:w="1275"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6 864 346</w:t>
            </w:r>
          </w:p>
        </w:tc>
        <w:tc>
          <w:tcPr>
            <w:tcW w:w="709" w:type="dxa"/>
          </w:tcPr>
          <w:p w:rsidR="0060362E" w:rsidRPr="00FA685B" w:rsidRDefault="0060362E" w:rsidP="00E22C88">
            <w:pPr>
              <w:tabs>
                <w:tab w:val="left" w:pos="567"/>
                <w:tab w:val="left" w:pos="1134"/>
              </w:tabs>
              <w:adjustRightInd w:val="0"/>
              <w:snapToGrid w:val="0"/>
              <w:spacing w:line="400" w:lineRule="atLeast"/>
              <w:jc w:val="center"/>
              <w:rPr>
                <w:szCs w:val="28"/>
              </w:rPr>
            </w:pPr>
            <w:r w:rsidRPr="00FA685B">
              <w:rPr>
                <w:szCs w:val="28"/>
              </w:rPr>
              <w:t>100</w:t>
            </w:r>
          </w:p>
        </w:tc>
      </w:tr>
      <w:tr w:rsidR="0060362E" w:rsidRPr="00FA685B" w:rsidTr="00E22C88">
        <w:tc>
          <w:tcPr>
            <w:tcW w:w="862"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2011</w:t>
            </w:r>
          </w:p>
        </w:tc>
        <w:tc>
          <w:tcPr>
            <w:tcW w:w="1620" w:type="dxa"/>
          </w:tcPr>
          <w:p w:rsidR="0060362E" w:rsidRPr="00E75B8D" w:rsidRDefault="0060362E" w:rsidP="00E22C88">
            <w:pPr>
              <w:adjustRightInd w:val="0"/>
              <w:snapToGrid w:val="0"/>
              <w:spacing w:line="400" w:lineRule="atLeast"/>
              <w:ind w:right="332"/>
              <w:jc w:val="right"/>
              <w:rPr>
                <w:szCs w:val="28"/>
              </w:rPr>
            </w:pPr>
            <w:r w:rsidRPr="00E75B8D">
              <w:rPr>
                <w:szCs w:val="28"/>
                <w:lang w:val="en-GB"/>
              </w:rPr>
              <w:t>714 470</w:t>
            </w:r>
          </w:p>
        </w:tc>
        <w:tc>
          <w:tcPr>
            <w:tcW w:w="637"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10</w:t>
            </w:r>
          </w:p>
        </w:tc>
        <w:tc>
          <w:tcPr>
            <w:tcW w:w="1276"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1 358 104</w:t>
            </w:r>
          </w:p>
        </w:tc>
        <w:tc>
          <w:tcPr>
            <w:tcW w:w="567"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19</w:t>
            </w:r>
          </w:p>
        </w:tc>
        <w:tc>
          <w:tcPr>
            <w:tcW w:w="1276"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4 999 002</w:t>
            </w:r>
          </w:p>
        </w:tc>
        <w:tc>
          <w:tcPr>
            <w:tcW w:w="567"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71</w:t>
            </w:r>
          </w:p>
        </w:tc>
        <w:tc>
          <w:tcPr>
            <w:tcW w:w="1275"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7 071 576</w:t>
            </w:r>
          </w:p>
        </w:tc>
        <w:tc>
          <w:tcPr>
            <w:tcW w:w="709"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100</w:t>
            </w:r>
          </w:p>
        </w:tc>
      </w:tr>
      <w:tr w:rsidR="0060362E" w:rsidRPr="00FA685B" w:rsidTr="00E22C88">
        <w:tc>
          <w:tcPr>
            <w:tcW w:w="862"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2016</w:t>
            </w:r>
          </w:p>
        </w:tc>
        <w:tc>
          <w:tcPr>
            <w:tcW w:w="1620" w:type="dxa"/>
          </w:tcPr>
          <w:p w:rsidR="0060362E" w:rsidRPr="00E75B8D" w:rsidRDefault="0060362E" w:rsidP="00E22C88">
            <w:pPr>
              <w:adjustRightInd w:val="0"/>
              <w:snapToGrid w:val="0"/>
              <w:spacing w:line="400" w:lineRule="atLeast"/>
              <w:ind w:right="332"/>
              <w:jc w:val="right"/>
              <w:rPr>
                <w:szCs w:val="28"/>
              </w:rPr>
            </w:pPr>
            <w:r w:rsidRPr="00E75B8D">
              <w:rPr>
                <w:szCs w:val="28"/>
                <w:lang w:val="en-GB"/>
              </w:rPr>
              <w:t>725 969</w:t>
            </w:r>
          </w:p>
        </w:tc>
        <w:tc>
          <w:tcPr>
            <w:tcW w:w="637"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10</w:t>
            </w:r>
          </w:p>
        </w:tc>
        <w:tc>
          <w:tcPr>
            <w:tcW w:w="1276"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1 278 025</w:t>
            </w:r>
          </w:p>
        </w:tc>
        <w:tc>
          <w:tcPr>
            <w:tcW w:w="567"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17</w:t>
            </w:r>
          </w:p>
        </w:tc>
        <w:tc>
          <w:tcPr>
            <w:tcW w:w="1276"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5 332 591</w:t>
            </w:r>
          </w:p>
        </w:tc>
        <w:tc>
          <w:tcPr>
            <w:tcW w:w="567"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73</w:t>
            </w:r>
          </w:p>
        </w:tc>
        <w:tc>
          <w:tcPr>
            <w:tcW w:w="1275"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7 336 585</w:t>
            </w:r>
          </w:p>
        </w:tc>
        <w:tc>
          <w:tcPr>
            <w:tcW w:w="709" w:type="dxa"/>
          </w:tcPr>
          <w:p w:rsidR="0060362E" w:rsidRPr="00E75B8D" w:rsidRDefault="0060362E" w:rsidP="00E22C88">
            <w:pPr>
              <w:tabs>
                <w:tab w:val="left" w:pos="567"/>
                <w:tab w:val="left" w:pos="1134"/>
              </w:tabs>
              <w:adjustRightInd w:val="0"/>
              <w:snapToGrid w:val="0"/>
              <w:spacing w:line="400" w:lineRule="atLeast"/>
              <w:jc w:val="center"/>
              <w:rPr>
                <w:szCs w:val="28"/>
              </w:rPr>
            </w:pPr>
            <w:r w:rsidRPr="00E75B8D">
              <w:rPr>
                <w:szCs w:val="28"/>
                <w:lang w:val="en-GB"/>
              </w:rPr>
              <w:t>100</w:t>
            </w:r>
          </w:p>
        </w:tc>
      </w:tr>
    </w:tbl>
    <w:p w:rsidR="0060362E" w:rsidRPr="00FA685B" w:rsidRDefault="0060362E" w:rsidP="0060362E">
      <w:pPr>
        <w:tabs>
          <w:tab w:val="left" w:pos="567"/>
          <w:tab w:val="left" w:pos="1134"/>
        </w:tabs>
        <w:snapToGrid w:val="0"/>
        <w:spacing w:line="400" w:lineRule="atLeast"/>
        <w:ind w:left="1985" w:hanging="1985"/>
        <w:rPr>
          <w:szCs w:val="28"/>
        </w:rPr>
      </w:pPr>
    </w:p>
    <w:p w:rsidR="0060362E" w:rsidRPr="00FA685B" w:rsidRDefault="0060362E" w:rsidP="0060362E">
      <w:pPr>
        <w:tabs>
          <w:tab w:val="left" w:pos="567"/>
          <w:tab w:val="left" w:pos="1134"/>
        </w:tabs>
        <w:adjustRightInd w:val="0"/>
        <w:snapToGrid w:val="0"/>
        <w:spacing w:line="400" w:lineRule="atLeast"/>
        <w:ind w:left="1985" w:hanging="1985"/>
        <w:rPr>
          <w:szCs w:val="28"/>
        </w:rPr>
      </w:pPr>
      <w:r w:rsidRPr="00FA685B">
        <w:rPr>
          <w:szCs w:val="28"/>
        </w:rPr>
        <w:t>註：</w:t>
      </w:r>
      <w:r w:rsidRPr="00FA685B">
        <w:rPr>
          <w:szCs w:val="28"/>
        </w:rPr>
        <w:t xml:space="preserve">(1) </w:t>
      </w:r>
      <w:r w:rsidRPr="00FA685B">
        <w:rPr>
          <w:szCs w:val="28"/>
        </w:rPr>
        <w:t>未受過小學教育的人士。</w:t>
      </w:r>
    </w:p>
    <w:p w:rsidR="0060362E" w:rsidRPr="00FA685B" w:rsidRDefault="0060362E" w:rsidP="0060362E">
      <w:pPr>
        <w:tabs>
          <w:tab w:val="left" w:pos="567"/>
          <w:tab w:val="left" w:pos="1134"/>
        </w:tabs>
        <w:adjustRightInd w:val="0"/>
        <w:snapToGrid w:val="0"/>
        <w:spacing w:line="400" w:lineRule="atLeast"/>
        <w:ind w:left="1985" w:hanging="1985"/>
        <w:rPr>
          <w:szCs w:val="28"/>
        </w:rPr>
      </w:pPr>
      <w:r w:rsidRPr="00FA685B">
        <w:rPr>
          <w:szCs w:val="28"/>
        </w:rPr>
        <w:t xml:space="preserve">　　</w:t>
      </w:r>
      <w:r w:rsidRPr="00FA685B">
        <w:rPr>
          <w:szCs w:val="28"/>
        </w:rPr>
        <w:t xml:space="preserve">(2) </w:t>
      </w:r>
      <w:r w:rsidRPr="00FA685B">
        <w:rPr>
          <w:szCs w:val="28"/>
        </w:rPr>
        <w:t>包括未完成小學教育的人士。</w:t>
      </w:r>
    </w:p>
    <w:p w:rsidR="0060362E" w:rsidRPr="00FA685B" w:rsidRDefault="0060362E" w:rsidP="0060362E">
      <w:pPr>
        <w:tabs>
          <w:tab w:val="left" w:pos="567"/>
        </w:tabs>
        <w:adjustRightInd w:val="0"/>
        <w:snapToGrid w:val="0"/>
        <w:spacing w:line="400" w:lineRule="atLeast"/>
        <w:ind w:left="1985" w:hanging="1985"/>
        <w:rPr>
          <w:szCs w:val="28"/>
        </w:rPr>
      </w:pPr>
      <w:r w:rsidRPr="00FA685B">
        <w:rPr>
          <w:szCs w:val="28"/>
        </w:rPr>
        <w:tab/>
      </w:r>
    </w:p>
    <w:p w:rsidR="0060362E" w:rsidRPr="00FA685B" w:rsidRDefault="0060362E" w:rsidP="0060362E">
      <w:pPr>
        <w:tabs>
          <w:tab w:val="left" w:pos="567"/>
          <w:tab w:val="left" w:pos="1134"/>
        </w:tabs>
        <w:adjustRightInd w:val="0"/>
        <w:snapToGrid w:val="0"/>
        <w:spacing w:line="400" w:lineRule="atLeast"/>
        <w:rPr>
          <w:szCs w:val="28"/>
        </w:rPr>
      </w:pPr>
    </w:p>
    <w:p w:rsidR="0060362E" w:rsidRPr="00FA685B" w:rsidRDefault="0060362E" w:rsidP="0060362E">
      <w:pPr>
        <w:tabs>
          <w:tab w:val="left" w:pos="567"/>
          <w:tab w:val="left" w:pos="1000"/>
        </w:tabs>
        <w:adjustRightInd w:val="0"/>
        <w:snapToGrid w:val="0"/>
        <w:spacing w:line="400" w:lineRule="atLeast"/>
        <w:ind w:left="1442" w:hangingChars="515" w:hanging="1442"/>
        <w:jc w:val="both"/>
        <w:rPr>
          <w:szCs w:val="28"/>
        </w:rPr>
      </w:pPr>
      <w:r w:rsidRPr="00FA685B">
        <w:rPr>
          <w:szCs w:val="28"/>
        </w:rPr>
        <w:t>資料來源：</w:t>
      </w:r>
      <w:r>
        <w:rPr>
          <w:rFonts w:hint="eastAsia"/>
          <w:szCs w:val="28"/>
        </w:rPr>
        <w:tab/>
      </w:r>
      <w:r w:rsidRPr="00FA685B">
        <w:rPr>
          <w:szCs w:val="28"/>
        </w:rPr>
        <w:t>1981</w:t>
      </w:r>
      <w:r w:rsidRPr="00FA685B">
        <w:rPr>
          <w:szCs w:val="28"/>
        </w:rPr>
        <w:t>、</w:t>
      </w:r>
      <w:r w:rsidRPr="00FA685B">
        <w:rPr>
          <w:szCs w:val="28"/>
        </w:rPr>
        <w:t>1991</w:t>
      </w:r>
      <w:r>
        <w:rPr>
          <w:rFonts w:hint="eastAsia"/>
          <w:szCs w:val="28"/>
        </w:rPr>
        <w:t>、</w:t>
      </w:r>
      <w:r w:rsidRPr="00FA685B">
        <w:rPr>
          <w:szCs w:val="28"/>
        </w:rPr>
        <w:t>2001</w:t>
      </w:r>
      <w:r w:rsidRPr="00FA685B">
        <w:rPr>
          <w:szCs w:val="28"/>
        </w:rPr>
        <w:t>及</w:t>
      </w:r>
      <w:r>
        <w:rPr>
          <w:rFonts w:hint="eastAsia"/>
          <w:szCs w:val="28"/>
        </w:rPr>
        <w:t>2011</w:t>
      </w:r>
      <w:r w:rsidRPr="00FA685B">
        <w:rPr>
          <w:szCs w:val="28"/>
        </w:rPr>
        <w:t>年人口普查，以及</w:t>
      </w:r>
      <w:r w:rsidRPr="00FA685B">
        <w:rPr>
          <w:szCs w:val="28"/>
        </w:rPr>
        <w:t>1986</w:t>
      </w:r>
      <w:r w:rsidRPr="00FA685B">
        <w:rPr>
          <w:szCs w:val="28"/>
        </w:rPr>
        <w:t>、</w:t>
      </w:r>
      <w:r w:rsidRPr="00FA685B">
        <w:rPr>
          <w:szCs w:val="28"/>
        </w:rPr>
        <w:t>1996</w:t>
      </w:r>
      <w:r>
        <w:rPr>
          <w:rFonts w:hint="eastAsia"/>
          <w:szCs w:val="28"/>
        </w:rPr>
        <w:t>、</w:t>
      </w:r>
      <w:r w:rsidRPr="00FA685B">
        <w:rPr>
          <w:szCs w:val="28"/>
        </w:rPr>
        <w:t>2006</w:t>
      </w:r>
      <w:r w:rsidRPr="00FA685B">
        <w:rPr>
          <w:szCs w:val="28"/>
        </w:rPr>
        <w:t>及</w:t>
      </w:r>
      <w:r>
        <w:rPr>
          <w:rFonts w:hint="eastAsia"/>
          <w:szCs w:val="28"/>
        </w:rPr>
        <w:t>2016</w:t>
      </w:r>
      <w:r w:rsidRPr="00FA685B">
        <w:rPr>
          <w:szCs w:val="28"/>
        </w:rPr>
        <w:t>年中期人口統計。</w:t>
      </w:r>
    </w:p>
    <w:p w:rsidR="00563F55" w:rsidRDefault="00563F55" w:rsidP="001745ED">
      <w:pPr>
        <w:tabs>
          <w:tab w:val="left" w:pos="1440"/>
          <w:tab w:val="left" w:pos="1680"/>
        </w:tabs>
        <w:adjustRightInd w:val="0"/>
        <w:snapToGrid w:val="0"/>
        <w:spacing w:line="400" w:lineRule="atLeast"/>
        <w:ind w:right="-154"/>
        <w:jc w:val="both"/>
        <w:rPr>
          <w:rFonts w:cs="Times New Roman"/>
          <w:bCs/>
          <w:kern w:val="0"/>
          <w:szCs w:val="28"/>
        </w:rPr>
        <w:sectPr w:rsidR="00563F55" w:rsidSect="0060362E">
          <w:footerReference w:type="default" r:id="rId74"/>
          <w:pgSz w:w="11906" w:h="16838"/>
          <w:pgMar w:top="1440" w:right="1800" w:bottom="1440" w:left="1800" w:header="720" w:footer="720" w:gutter="0"/>
          <w:pgNumType w:start="1"/>
          <w:cols w:space="425"/>
          <w:docGrid w:type="lines" w:linePitch="381"/>
        </w:sectPr>
      </w:pPr>
    </w:p>
    <w:p w:rsidR="00DE54D6" w:rsidRDefault="00DE54D6" w:rsidP="00DE54D6">
      <w:pPr>
        <w:snapToGrid w:val="0"/>
        <w:spacing w:line="400" w:lineRule="atLeast"/>
        <w:jc w:val="right"/>
        <w:rPr>
          <w:b/>
          <w:szCs w:val="28"/>
        </w:rPr>
      </w:pPr>
      <w:r w:rsidRPr="00C330D2">
        <w:rPr>
          <w:rFonts w:hint="eastAsia"/>
          <w:b/>
          <w:szCs w:val="28"/>
          <w:lang w:eastAsia="zh-HK"/>
        </w:rPr>
        <w:lastRenderedPageBreak/>
        <w:t>附件</w:t>
      </w:r>
      <w:r w:rsidRPr="00C330D2">
        <w:rPr>
          <w:rFonts w:hint="eastAsia"/>
          <w:b/>
          <w:szCs w:val="28"/>
        </w:rPr>
        <w:t>1</w:t>
      </w:r>
      <w:r>
        <w:rPr>
          <w:rFonts w:hint="eastAsia"/>
          <w:b/>
          <w:szCs w:val="28"/>
        </w:rPr>
        <w:t>3B</w:t>
      </w:r>
    </w:p>
    <w:p w:rsidR="00DE54D6" w:rsidRPr="00573978" w:rsidRDefault="00DE54D6" w:rsidP="00DE54D6">
      <w:pPr>
        <w:snapToGrid w:val="0"/>
        <w:spacing w:line="400" w:lineRule="atLeast"/>
        <w:jc w:val="center"/>
        <w:rPr>
          <w:b/>
          <w:szCs w:val="28"/>
        </w:rPr>
      </w:pPr>
    </w:p>
    <w:p w:rsidR="00DE54D6" w:rsidRDefault="00DE54D6" w:rsidP="00DE54D6">
      <w:pPr>
        <w:snapToGrid w:val="0"/>
        <w:spacing w:line="400" w:lineRule="atLeast"/>
        <w:jc w:val="center"/>
        <w:rPr>
          <w:b/>
          <w:szCs w:val="28"/>
          <w:lang w:eastAsia="zh-HK"/>
        </w:rPr>
      </w:pPr>
      <w:r w:rsidRPr="00CC5A54">
        <w:rPr>
          <w:rFonts w:hint="eastAsia"/>
          <w:b/>
          <w:szCs w:val="28"/>
          <w:lang w:eastAsia="zh-HK"/>
        </w:rPr>
        <w:t>幼稚園教育、中小學教育、職業專才教育、私立學校、專上教育、</w:t>
      </w:r>
    </w:p>
    <w:p w:rsidR="00DE54D6" w:rsidRDefault="00DE54D6" w:rsidP="00DE54D6">
      <w:pPr>
        <w:snapToGrid w:val="0"/>
        <w:spacing w:line="400" w:lineRule="atLeast"/>
        <w:jc w:val="center"/>
        <w:rPr>
          <w:b/>
          <w:szCs w:val="28"/>
        </w:rPr>
      </w:pPr>
      <w:r w:rsidRPr="00CC5A54">
        <w:rPr>
          <w:rFonts w:hint="eastAsia"/>
          <w:b/>
          <w:szCs w:val="28"/>
          <w:lang w:eastAsia="zh-HK"/>
        </w:rPr>
        <w:t>成人教育</w:t>
      </w:r>
      <w:r>
        <w:rPr>
          <w:rFonts w:hint="eastAsia"/>
          <w:b/>
          <w:szCs w:val="28"/>
          <w:lang w:eastAsia="zh-HK"/>
        </w:rPr>
        <w:t>、優質教</w:t>
      </w:r>
      <w:r>
        <w:rPr>
          <w:rFonts w:hint="eastAsia"/>
          <w:b/>
          <w:szCs w:val="28"/>
        </w:rPr>
        <w:t>育</w:t>
      </w:r>
      <w:r>
        <w:rPr>
          <w:rFonts w:hint="eastAsia"/>
          <w:b/>
          <w:szCs w:val="28"/>
          <w:lang w:eastAsia="zh-HK"/>
        </w:rPr>
        <w:t>基</w:t>
      </w:r>
      <w:r>
        <w:rPr>
          <w:rFonts w:hint="eastAsia"/>
          <w:b/>
          <w:szCs w:val="28"/>
        </w:rPr>
        <w:t>金</w:t>
      </w:r>
      <w:r w:rsidRPr="00CC5A54">
        <w:rPr>
          <w:rFonts w:hint="eastAsia"/>
          <w:b/>
          <w:szCs w:val="28"/>
          <w:lang w:eastAsia="zh-HK"/>
        </w:rPr>
        <w:t>及</w:t>
      </w:r>
      <w:r>
        <w:rPr>
          <w:rFonts w:hint="eastAsia"/>
          <w:b/>
          <w:szCs w:val="28"/>
          <w:lang w:eastAsia="zh-HK"/>
        </w:rPr>
        <w:t>資歷架</w:t>
      </w:r>
      <w:r>
        <w:rPr>
          <w:rFonts w:hint="eastAsia"/>
          <w:b/>
          <w:szCs w:val="28"/>
        </w:rPr>
        <w:t>構</w:t>
      </w:r>
      <w:r w:rsidRPr="00CC5A54">
        <w:rPr>
          <w:rFonts w:hint="eastAsia"/>
          <w:b/>
          <w:szCs w:val="28"/>
          <w:lang w:eastAsia="zh-HK"/>
        </w:rPr>
        <w:t>的情況</w:t>
      </w:r>
    </w:p>
    <w:p w:rsidR="00DE54D6" w:rsidRDefault="00DE54D6" w:rsidP="00DE54D6">
      <w:pPr>
        <w:adjustRightInd w:val="0"/>
        <w:snapToGrid w:val="0"/>
        <w:spacing w:line="400" w:lineRule="atLeast"/>
        <w:contextualSpacing/>
        <w:jc w:val="both"/>
        <w:rPr>
          <w:rFonts w:cs="Times New Roman"/>
          <w:szCs w:val="28"/>
        </w:rPr>
      </w:pPr>
    </w:p>
    <w:p w:rsidR="00DE54D6" w:rsidRPr="00E05AD9" w:rsidRDefault="00DE54D6" w:rsidP="00DE54D6">
      <w:pPr>
        <w:adjustRightInd w:val="0"/>
        <w:snapToGrid w:val="0"/>
        <w:spacing w:line="400" w:lineRule="atLeast"/>
        <w:contextualSpacing/>
        <w:jc w:val="both"/>
        <w:rPr>
          <w:szCs w:val="28"/>
          <w:u w:val="single"/>
          <w:lang w:eastAsia="zh-HK"/>
        </w:rPr>
      </w:pPr>
      <w:r w:rsidRPr="00E05AD9">
        <w:rPr>
          <w:rFonts w:hint="eastAsia"/>
          <w:szCs w:val="28"/>
          <w:u w:val="single"/>
          <w:lang w:eastAsia="zh-HK"/>
        </w:rPr>
        <w:t>幼稚園教育</w:t>
      </w:r>
    </w:p>
    <w:p w:rsidR="00DE54D6" w:rsidRPr="00D552EE" w:rsidRDefault="00DE54D6" w:rsidP="00DE54D6">
      <w:pPr>
        <w:adjustRightInd w:val="0"/>
        <w:snapToGrid w:val="0"/>
        <w:spacing w:line="400" w:lineRule="atLeast"/>
        <w:contextualSpacing/>
        <w:jc w:val="both"/>
        <w:rPr>
          <w:rFonts w:cs="Times New Roman"/>
          <w:szCs w:val="28"/>
        </w:rPr>
      </w:pPr>
    </w:p>
    <w:p w:rsidR="00DE54D6" w:rsidRDefault="00DE54D6" w:rsidP="00DE54D6">
      <w:pPr>
        <w:tabs>
          <w:tab w:val="left" w:pos="1440"/>
        </w:tabs>
        <w:adjustRightInd w:val="0"/>
        <w:snapToGrid w:val="0"/>
        <w:spacing w:line="400" w:lineRule="atLeast"/>
        <w:contextualSpacing/>
        <w:jc w:val="both"/>
        <w:rPr>
          <w:rFonts w:cs="Times New Roman"/>
          <w:szCs w:val="28"/>
        </w:rPr>
      </w:pPr>
      <w:r>
        <w:rPr>
          <w:rFonts w:cs="Times New Roman" w:hint="eastAsia"/>
          <w:szCs w:val="28"/>
        </w:rPr>
        <w:t>1.</w:t>
      </w:r>
      <w:r w:rsidRPr="00D552EE">
        <w:rPr>
          <w:rFonts w:cs="Times New Roman" w:hint="eastAsia"/>
          <w:szCs w:val="28"/>
        </w:rPr>
        <w:tab/>
      </w:r>
      <w:r w:rsidRPr="00CC5A54">
        <w:rPr>
          <w:rFonts w:cs="Times New Roman" w:hint="eastAsia"/>
          <w:szCs w:val="28"/>
        </w:rPr>
        <w:t>幼稚園教育雖非強迫性質，家長一般選擇讓子女入讀，在</w:t>
      </w:r>
      <w:r w:rsidRPr="00CC5A54">
        <w:rPr>
          <w:rFonts w:cs="Times New Roman"/>
          <w:szCs w:val="28"/>
        </w:rPr>
        <w:t>2017/18</w:t>
      </w:r>
      <w:r w:rsidRPr="00CC5A54">
        <w:rPr>
          <w:rFonts w:cs="Times New Roman" w:hint="eastAsia"/>
          <w:szCs w:val="28"/>
        </w:rPr>
        <w:t>學年，在三至五歲兒童當中，就讀幼稚園的比率約為</w:t>
      </w:r>
      <w:r w:rsidRPr="00CC5A54">
        <w:rPr>
          <w:rFonts w:cs="Times New Roman"/>
          <w:szCs w:val="28"/>
        </w:rPr>
        <w:t>100%</w:t>
      </w:r>
      <w:r w:rsidRPr="00CC5A54">
        <w:rPr>
          <w:rFonts w:cs="Times New Roman" w:hint="eastAsia"/>
          <w:szCs w:val="28"/>
        </w:rPr>
        <w:t>。政府一方面維持幼稚園一貫的多元和活力，同時致力讓所有學齡兒童接受優質教育。由</w:t>
      </w:r>
      <w:r w:rsidRPr="00CC5A54">
        <w:rPr>
          <w:rFonts w:cs="Times New Roman"/>
          <w:szCs w:val="28"/>
        </w:rPr>
        <w:t>2017/18</w:t>
      </w:r>
      <w:r w:rsidRPr="00CC5A54">
        <w:rPr>
          <w:rFonts w:cs="Times New Roman" w:hint="eastAsia"/>
          <w:szCs w:val="28"/>
        </w:rPr>
        <w:t>學年開始，我們推行新的幼稚園教育計劃，為參加計劃的幼稚園直接提供資助。目標是提供易於負擔的優質幼稚園教育，以及提高學童按其所需接受不同模式幼稚園教育的機會。我們亦循多元途徑提升幼稚園教育的質素。</w:t>
      </w:r>
      <w:r w:rsidRPr="00CC5A54">
        <w:rPr>
          <w:rFonts w:cs="Times New Roman"/>
          <w:szCs w:val="28"/>
        </w:rPr>
        <w:t>2017/18</w:t>
      </w:r>
      <w:r w:rsidRPr="00CC5A54">
        <w:rPr>
          <w:rFonts w:cs="Times New Roman" w:hint="eastAsia"/>
          <w:szCs w:val="28"/>
        </w:rPr>
        <w:t>學年，約</w:t>
      </w:r>
      <w:r w:rsidRPr="00CC5A54">
        <w:rPr>
          <w:rFonts w:cs="Times New Roman"/>
          <w:szCs w:val="28"/>
        </w:rPr>
        <w:t>97%</w:t>
      </w:r>
      <w:r w:rsidRPr="00CC5A54">
        <w:rPr>
          <w:rFonts w:cs="Times New Roman" w:hint="eastAsia"/>
          <w:szCs w:val="28"/>
        </w:rPr>
        <w:t>的合資格幼稚園（即本地非牟利幼稚園）參加計劃，其中超過九成的半日制幼稚園免費。至於全日制幼稚園，在家長與政府共同承擔的原則下，家長需要繳付學費，但由於政府提供額外資助，整體學費在低水平。有經濟困難的家庭，可透過「幼稚園及幼兒中心學費減免計劃」，申請學費減免。此外，政府提供就學開支津貼，以幫助這些家庭支付課本、文具、校服等就學開支。</w:t>
      </w:r>
    </w:p>
    <w:p w:rsidR="00DE54D6" w:rsidRDefault="00DE54D6" w:rsidP="00DE54D6">
      <w:pPr>
        <w:tabs>
          <w:tab w:val="left" w:pos="1440"/>
        </w:tabs>
        <w:adjustRightInd w:val="0"/>
        <w:snapToGrid w:val="0"/>
        <w:spacing w:line="400" w:lineRule="atLeast"/>
        <w:contextualSpacing/>
        <w:jc w:val="both"/>
        <w:rPr>
          <w:rFonts w:cs="Times New Roman"/>
          <w:szCs w:val="28"/>
        </w:rPr>
      </w:pPr>
    </w:p>
    <w:p w:rsidR="00DE54D6" w:rsidRDefault="00DE54D6" w:rsidP="00DE54D6">
      <w:pPr>
        <w:tabs>
          <w:tab w:val="left" w:pos="1440"/>
        </w:tabs>
        <w:adjustRightInd w:val="0"/>
        <w:snapToGrid w:val="0"/>
        <w:spacing w:line="400" w:lineRule="atLeast"/>
        <w:contextualSpacing/>
        <w:jc w:val="both"/>
        <w:rPr>
          <w:rFonts w:cs="Times New Roman"/>
          <w:szCs w:val="28"/>
        </w:rPr>
      </w:pPr>
      <w:r>
        <w:rPr>
          <w:rFonts w:cs="Times New Roman" w:hint="eastAsia"/>
          <w:szCs w:val="28"/>
        </w:rPr>
        <w:t>2.</w:t>
      </w:r>
      <w:r>
        <w:rPr>
          <w:rFonts w:cs="Times New Roman"/>
          <w:szCs w:val="28"/>
        </w:rPr>
        <w:tab/>
      </w:r>
      <w:r w:rsidRPr="00CC5A54">
        <w:rPr>
          <w:rFonts w:cs="Times New Roman" w:hint="eastAsia"/>
          <w:szCs w:val="28"/>
        </w:rPr>
        <w:t>新的幼稚園教育計劃取代了我們在上一次報告第</w:t>
      </w:r>
      <w:r w:rsidRPr="00CC5A54">
        <w:rPr>
          <w:rFonts w:cs="Times New Roman" w:hint="eastAsia"/>
          <w:szCs w:val="28"/>
        </w:rPr>
        <w:t>13.3</w:t>
      </w:r>
      <w:r w:rsidRPr="00CC5A54">
        <w:rPr>
          <w:rFonts w:cs="Times New Roman" w:hint="eastAsia"/>
          <w:szCs w:val="28"/>
        </w:rPr>
        <w:t>段所述的「學前教育學券計劃」。</w:t>
      </w:r>
    </w:p>
    <w:p w:rsidR="00DE54D6" w:rsidRDefault="00DE54D6" w:rsidP="00DE54D6">
      <w:pPr>
        <w:tabs>
          <w:tab w:val="left" w:pos="1440"/>
        </w:tabs>
        <w:adjustRightInd w:val="0"/>
        <w:snapToGrid w:val="0"/>
        <w:spacing w:line="400" w:lineRule="atLeast"/>
        <w:contextualSpacing/>
        <w:jc w:val="both"/>
        <w:rPr>
          <w:rFonts w:cs="Times New Roman"/>
          <w:szCs w:val="28"/>
        </w:rPr>
      </w:pPr>
    </w:p>
    <w:p w:rsidR="00DE54D6" w:rsidRPr="00E05AD9" w:rsidRDefault="00DE54D6" w:rsidP="00DE54D6">
      <w:pPr>
        <w:tabs>
          <w:tab w:val="left" w:pos="1440"/>
        </w:tabs>
        <w:adjustRightInd w:val="0"/>
        <w:snapToGrid w:val="0"/>
        <w:spacing w:line="400" w:lineRule="atLeast"/>
        <w:contextualSpacing/>
        <w:jc w:val="both"/>
        <w:rPr>
          <w:rFonts w:cs="Times New Roman"/>
          <w:szCs w:val="28"/>
          <w:u w:val="single"/>
        </w:rPr>
      </w:pPr>
      <w:r w:rsidRPr="00E05AD9">
        <w:rPr>
          <w:rFonts w:cs="Times New Roman" w:hint="eastAsia"/>
          <w:szCs w:val="28"/>
          <w:u w:val="single"/>
        </w:rPr>
        <w:t>中小學教育</w:t>
      </w:r>
    </w:p>
    <w:p w:rsidR="00DE54D6" w:rsidRPr="00D552EE" w:rsidRDefault="00DE54D6" w:rsidP="00DE54D6">
      <w:pPr>
        <w:tabs>
          <w:tab w:val="left" w:pos="1440"/>
        </w:tabs>
        <w:adjustRightInd w:val="0"/>
        <w:snapToGrid w:val="0"/>
        <w:spacing w:line="400" w:lineRule="atLeast"/>
        <w:contextualSpacing/>
        <w:jc w:val="both"/>
        <w:rPr>
          <w:rFonts w:cs="Times New Roman"/>
          <w:szCs w:val="28"/>
        </w:rPr>
      </w:pPr>
    </w:p>
    <w:p w:rsidR="00DE54D6" w:rsidRPr="00D552EE" w:rsidRDefault="00DE54D6" w:rsidP="00DE54D6">
      <w:pPr>
        <w:tabs>
          <w:tab w:val="left" w:pos="1440"/>
        </w:tabs>
        <w:adjustRightInd w:val="0"/>
        <w:snapToGrid w:val="0"/>
        <w:spacing w:line="400" w:lineRule="atLeast"/>
        <w:contextualSpacing/>
        <w:jc w:val="both"/>
        <w:rPr>
          <w:rFonts w:cs="Times New Roman"/>
          <w:szCs w:val="28"/>
        </w:rPr>
      </w:pPr>
      <w:r>
        <w:rPr>
          <w:rFonts w:cs="Times New Roman" w:hint="eastAsia"/>
          <w:szCs w:val="28"/>
        </w:rPr>
        <w:t>3.</w:t>
      </w:r>
      <w:r>
        <w:rPr>
          <w:rFonts w:cs="Times New Roman"/>
          <w:szCs w:val="28"/>
        </w:rPr>
        <w:tab/>
      </w:r>
      <w:r w:rsidRPr="00CC5A54">
        <w:rPr>
          <w:rFonts w:cs="Times New Roman" w:hint="eastAsia"/>
          <w:szCs w:val="28"/>
        </w:rPr>
        <w:t>政府自</w:t>
      </w:r>
      <w:r w:rsidRPr="00CC5A54">
        <w:rPr>
          <w:rFonts w:cs="Times New Roman"/>
          <w:szCs w:val="28"/>
        </w:rPr>
        <w:t>1978</w:t>
      </w:r>
      <w:r w:rsidRPr="00CC5A54">
        <w:rPr>
          <w:rFonts w:cs="Times New Roman" w:hint="eastAsia"/>
          <w:szCs w:val="28"/>
        </w:rPr>
        <w:t>年起透過公營中小學實施九年免費普及基礎教育（包括六年小學和三年初中教育）。根據《教育條例》（第</w:t>
      </w:r>
      <w:r w:rsidRPr="00CC5A54">
        <w:rPr>
          <w:rFonts w:cs="Times New Roman"/>
          <w:szCs w:val="28"/>
        </w:rPr>
        <w:t>279</w:t>
      </w:r>
      <w:r w:rsidRPr="00CC5A54">
        <w:rPr>
          <w:rFonts w:cs="Times New Roman" w:hint="eastAsia"/>
          <w:szCs w:val="28"/>
        </w:rPr>
        <w:t>章），家長有法律責任確保</w:t>
      </w:r>
      <w:r w:rsidRPr="00CC5A54">
        <w:rPr>
          <w:rFonts w:cs="Times New Roman"/>
          <w:szCs w:val="28"/>
        </w:rPr>
        <w:t>6</w:t>
      </w:r>
      <w:r w:rsidRPr="00CC5A54">
        <w:rPr>
          <w:rFonts w:cs="Times New Roman" w:hint="eastAsia"/>
          <w:szCs w:val="28"/>
        </w:rPr>
        <w:t>至</w:t>
      </w:r>
      <w:r w:rsidRPr="00CC5A54">
        <w:rPr>
          <w:rFonts w:cs="Times New Roman"/>
          <w:szCs w:val="28"/>
        </w:rPr>
        <w:t>15</w:t>
      </w:r>
      <w:r w:rsidRPr="00CC5A54">
        <w:rPr>
          <w:rFonts w:cs="Times New Roman" w:hint="eastAsia"/>
          <w:szCs w:val="28"/>
        </w:rPr>
        <w:t>歲的子女定時上學，教育局要求學校申報學生缺課個案，以保障兒童接受教育的權利。教育局會適時跟進及提供支援，讓缺課學生盡快復課。為顯示政府對培育下一代的承擔，並裝備學生面對日趨複雜和多元化的社會環境，我們已由</w:t>
      </w:r>
      <w:r w:rsidRPr="00CC5A54">
        <w:rPr>
          <w:rFonts w:cs="Times New Roman"/>
          <w:szCs w:val="28"/>
        </w:rPr>
        <w:t>2008/09</w:t>
      </w:r>
      <w:r w:rsidRPr="00CC5A54">
        <w:rPr>
          <w:rFonts w:cs="Times New Roman" w:hint="eastAsia"/>
          <w:szCs w:val="28"/>
        </w:rPr>
        <w:t>學年開始，把免費教育延伸至</w:t>
      </w:r>
      <w:r w:rsidRPr="00CC5A54">
        <w:rPr>
          <w:rFonts w:cs="Times New Roman"/>
          <w:szCs w:val="28"/>
        </w:rPr>
        <w:t>12</w:t>
      </w:r>
      <w:r w:rsidRPr="00CC5A54">
        <w:rPr>
          <w:rFonts w:cs="Times New Roman" w:hint="eastAsia"/>
          <w:szCs w:val="28"/>
        </w:rPr>
        <w:t>年並涵蓋公營中學的高中教育，提供有助於全人發展的基要學習經歷，在德、智、體、群、美五育有全面</w:t>
      </w:r>
      <w:r w:rsidRPr="00CC5A54">
        <w:rPr>
          <w:rFonts w:cs="Times New Roman" w:hint="eastAsia"/>
          <w:szCs w:val="28"/>
        </w:rPr>
        <w:lastRenderedPageBreak/>
        <w:t>的發展，盡展潛能。</w:t>
      </w:r>
    </w:p>
    <w:p w:rsidR="00DE54D6" w:rsidRDefault="00DE54D6" w:rsidP="00DE54D6">
      <w:pPr>
        <w:snapToGrid w:val="0"/>
        <w:spacing w:line="400" w:lineRule="atLeast"/>
        <w:jc w:val="both"/>
        <w:rPr>
          <w:b/>
          <w:szCs w:val="28"/>
        </w:rPr>
      </w:pPr>
    </w:p>
    <w:p w:rsidR="00DE54D6" w:rsidRPr="004078B6" w:rsidRDefault="00DE54D6" w:rsidP="00DE54D6">
      <w:pPr>
        <w:tabs>
          <w:tab w:val="left" w:pos="1440"/>
        </w:tabs>
        <w:adjustRightInd w:val="0"/>
        <w:snapToGrid w:val="0"/>
        <w:spacing w:line="400" w:lineRule="atLeast"/>
        <w:contextualSpacing/>
        <w:jc w:val="both"/>
        <w:rPr>
          <w:rFonts w:cs="Times New Roman"/>
          <w:spacing w:val="2"/>
          <w:szCs w:val="28"/>
        </w:rPr>
      </w:pPr>
      <w:r>
        <w:rPr>
          <w:rFonts w:cs="Times New Roman" w:hint="eastAsia"/>
          <w:szCs w:val="28"/>
        </w:rPr>
        <w:t>4.</w:t>
      </w:r>
      <w:r>
        <w:rPr>
          <w:rFonts w:cs="Times New Roman"/>
          <w:szCs w:val="28"/>
        </w:rPr>
        <w:tab/>
      </w:r>
      <w:r w:rsidRPr="00CC5A54">
        <w:rPr>
          <w:rFonts w:cs="Times New Roman" w:hint="eastAsia"/>
          <w:szCs w:val="28"/>
        </w:rPr>
        <w:t>香港學校課程的設計寬廣而均衡，能配合學生的能力、興趣和需要。課程架構開放而具彈性，能切合學校的校情和需要，培養學生終身學習和自主學習的能力，以及促進全人發展。我們重視照顧學生的多樣性，在「同一課程架構」的原則下，有特殊教育需要學生與其他學生一樣，獲得寬廣而均衡的學習經歷，發展潛能。我們相信所有兒童都擁有多元智能，只要給予適當的學習機會，都能盡展所長，因此，香港的資優教育採用融合模式，根據自</w:t>
      </w:r>
      <w:r w:rsidRPr="00CC5A54">
        <w:rPr>
          <w:rFonts w:cs="Times New Roman" w:hint="eastAsia"/>
          <w:szCs w:val="28"/>
        </w:rPr>
        <w:t>2000</w:t>
      </w:r>
      <w:r w:rsidRPr="00CC5A54">
        <w:rPr>
          <w:rFonts w:cs="Times New Roman" w:hint="eastAsia"/>
          <w:szCs w:val="28"/>
        </w:rPr>
        <w:t>年發表的「三層架構推行模式」實施，包括透過校內的課堂學習（第一層），輔以校本抽離式增潤及延伸課程（第二層），以及校外的支援服務（第三層），以促進資優教育的推展。此外，由</w:t>
      </w:r>
      <w:r w:rsidRPr="00CC5A54">
        <w:rPr>
          <w:rFonts w:cs="Times New Roman" w:hint="eastAsia"/>
          <w:szCs w:val="28"/>
        </w:rPr>
        <w:t>2014/15</w:t>
      </w:r>
      <w:r w:rsidRPr="00CC5A54">
        <w:rPr>
          <w:rFonts w:cs="Times New Roman" w:hint="eastAsia"/>
          <w:szCs w:val="28"/>
        </w:rPr>
        <w:t>學年開始在中小學實施「中國語文課程第二語言學習架構」，幫助非華語學生解決學習中文作為</w:t>
      </w:r>
      <w:r w:rsidRPr="004078B6">
        <w:rPr>
          <w:rFonts w:cs="Times New Roman" w:hint="eastAsia"/>
          <w:spacing w:val="2"/>
          <w:szCs w:val="28"/>
        </w:rPr>
        <w:t>第二語言的困難，以協助他們打好基礎，盡早銜接主流中國語文課堂。</w:t>
      </w:r>
    </w:p>
    <w:p w:rsidR="00DE54D6" w:rsidRDefault="00DE54D6" w:rsidP="00DE54D6">
      <w:pPr>
        <w:snapToGrid w:val="0"/>
        <w:spacing w:line="400" w:lineRule="atLeast"/>
        <w:jc w:val="both"/>
        <w:rPr>
          <w:b/>
          <w:szCs w:val="28"/>
        </w:rPr>
      </w:pPr>
    </w:p>
    <w:p w:rsidR="00DE54D6" w:rsidRDefault="00DE54D6" w:rsidP="00DE54D6">
      <w:pPr>
        <w:tabs>
          <w:tab w:val="left" w:pos="1440"/>
        </w:tabs>
        <w:adjustRightInd w:val="0"/>
        <w:snapToGrid w:val="0"/>
        <w:spacing w:line="400" w:lineRule="atLeast"/>
        <w:contextualSpacing/>
        <w:jc w:val="both"/>
        <w:rPr>
          <w:rFonts w:cs="Times New Roman"/>
          <w:szCs w:val="28"/>
        </w:rPr>
      </w:pPr>
      <w:r>
        <w:rPr>
          <w:rFonts w:cs="Times New Roman" w:hint="eastAsia"/>
          <w:szCs w:val="28"/>
        </w:rPr>
        <w:t>5.</w:t>
      </w:r>
      <w:r>
        <w:rPr>
          <w:rFonts w:cs="Times New Roman"/>
          <w:szCs w:val="28"/>
        </w:rPr>
        <w:tab/>
      </w:r>
      <w:r w:rsidRPr="00CC5A54">
        <w:rPr>
          <w:rFonts w:cs="Times New Roman" w:hint="eastAsia"/>
          <w:szCs w:val="28"/>
        </w:rPr>
        <w:t>隨著香港發展為知識型經濟體系，我們在</w:t>
      </w:r>
      <w:r w:rsidRPr="00CC5A54">
        <w:rPr>
          <w:rFonts w:cs="Times New Roman"/>
          <w:szCs w:val="28"/>
        </w:rPr>
        <w:t>2009/10</w:t>
      </w:r>
      <w:r w:rsidRPr="00CC5A54">
        <w:rPr>
          <w:rFonts w:cs="Times New Roman" w:hint="eastAsia"/>
          <w:szCs w:val="28"/>
        </w:rPr>
        <w:t>學年開始推行新學制高中課程，而新的公開評核（即香港中學文憑考試）亦於</w:t>
      </w:r>
      <w:r w:rsidRPr="00CC5A54">
        <w:rPr>
          <w:rFonts w:cs="Times New Roman"/>
          <w:szCs w:val="28"/>
        </w:rPr>
        <w:t>2012</w:t>
      </w:r>
      <w:r w:rsidRPr="00CC5A54">
        <w:rPr>
          <w:rFonts w:cs="Times New Roman" w:hint="eastAsia"/>
          <w:szCs w:val="28"/>
        </w:rPr>
        <w:t>年推行，取代過往分別為修畢中五及中七的學生而設的兩個公開考試。新學制提供了寬廣而均衡的高中課程，以配合學生不同的興趣、需要和能力。學生修讀四個核心科目（中國語文、英國語文、數學和通識教育科），以及從各學習領域下的科目、應用學習和其他語言中修讀最多四個選修科目；我們亦為學生提供其他學習經歷的機會，促進他們的全人發展和拓寬視野。</w:t>
      </w:r>
    </w:p>
    <w:p w:rsidR="00DE54D6" w:rsidRDefault="00DE54D6" w:rsidP="00DE54D6">
      <w:pPr>
        <w:tabs>
          <w:tab w:val="left" w:pos="1440"/>
        </w:tabs>
        <w:adjustRightInd w:val="0"/>
        <w:snapToGrid w:val="0"/>
        <w:spacing w:line="400" w:lineRule="atLeast"/>
        <w:contextualSpacing/>
        <w:jc w:val="both"/>
        <w:rPr>
          <w:rFonts w:cs="Times New Roman"/>
          <w:szCs w:val="28"/>
        </w:rPr>
      </w:pPr>
    </w:p>
    <w:p w:rsidR="00DE54D6" w:rsidRDefault="00DE54D6" w:rsidP="00DE54D6">
      <w:pPr>
        <w:tabs>
          <w:tab w:val="left" w:pos="1440"/>
        </w:tabs>
        <w:adjustRightInd w:val="0"/>
        <w:snapToGrid w:val="0"/>
        <w:spacing w:line="400" w:lineRule="atLeast"/>
        <w:contextualSpacing/>
        <w:jc w:val="both"/>
        <w:rPr>
          <w:rFonts w:cs="Times New Roman"/>
          <w:szCs w:val="28"/>
        </w:rPr>
      </w:pPr>
      <w:r>
        <w:rPr>
          <w:rFonts w:cs="Times New Roman" w:hint="eastAsia"/>
          <w:szCs w:val="28"/>
        </w:rPr>
        <w:t>6.</w:t>
      </w:r>
      <w:r>
        <w:rPr>
          <w:rFonts w:cs="Times New Roman"/>
          <w:szCs w:val="28"/>
        </w:rPr>
        <w:tab/>
      </w:r>
      <w:r w:rsidRPr="00CC5A54">
        <w:rPr>
          <w:rFonts w:cs="Times New Roman" w:hint="eastAsia"/>
          <w:szCs w:val="28"/>
        </w:rPr>
        <w:t>現時公營及直接資助計劃小學提供的全日制學位，足讓所有學童享有具質素的全日制小學教育。由</w:t>
      </w:r>
      <w:r w:rsidRPr="00CC5A54">
        <w:rPr>
          <w:rFonts w:cs="Times New Roman"/>
          <w:szCs w:val="28"/>
        </w:rPr>
        <w:t>2009/10</w:t>
      </w:r>
      <w:r w:rsidRPr="00CC5A54">
        <w:rPr>
          <w:rFonts w:cs="Times New Roman" w:hint="eastAsia"/>
          <w:szCs w:val="28"/>
        </w:rPr>
        <w:t>學年起，在條件許可下，公營小學的一年級開始分階段實施小班教學，並逐年推展至六年級。目的是在小班環境下，改善學與教的質素。實施小班教學的學校在「小一入學統籌辦法」下，以</w:t>
      </w:r>
      <w:r w:rsidRPr="00CC5A54">
        <w:rPr>
          <w:rFonts w:cs="Times New Roman"/>
          <w:szCs w:val="28"/>
        </w:rPr>
        <w:t>25</w:t>
      </w:r>
      <w:r w:rsidRPr="00CC5A54">
        <w:rPr>
          <w:rFonts w:cs="Times New Roman" w:hint="eastAsia"/>
          <w:szCs w:val="28"/>
        </w:rPr>
        <w:t>名學生一班為標準班額，而其餘的學校則以每班</w:t>
      </w:r>
      <w:r w:rsidRPr="00CC5A54">
        <w:rPr>
          <w:rFonts w:cs="Times New Roman"/>
          <w:szCs w:val="28"/>
        </w:rPr>
        <w:t>30</w:t>
      </w:r>
      <w:r w:rsidRPr="00CC5A54">
        <w:rPr>
          <w:rFonts w:cs="Times New Roman" w:hint="eastAsia"/>
          <w:szCs w:val="28"/>
        </w:rPr>
        <w:t>名學生為標準班額。實施小班教學的學校已由</w:t>
      </w:r>
      <w:r w:rsidRPr="00CC5A54">
        <w:rPr>
          <w:rFonts w:cs="Times New Roman"/>
          <w:szCs w:val="28"/>
        </w:rPr>
        <w:t>2009/10</w:t>
      </w:r>
      <w:r w:rsidRPr="00CC5A54">
        <w:rPr>
          <w:rFonts w:cs="Times New Roman" w:hint="eastAsia"/>
          <w:szCs w:val="28"/>
        </w:rPr>
        <w:t>學年約</w:t>
      </w:r>
      <w:r w:rsidRPr="00CC5A54">
        <w:rPr>
          <w:rFonts w:cs="Times New Roman"/>
          <w:szCs w:val="28"/>
        </w:rPr>
        <w:t>65%</w:t>
      </w:r>
      <w:r w:rsidRPr="00CC5A54">
        <w:rPr>
          <w:rFonts w:cs="Times New Roman" w:hint="eastAsia"/>
          <w:szCs w:val="28"/>
        </w:rPr>
        <w:t>增至</w:t>
      </w:r>
      <w:r w:rsidRPr="00CC5A54">
        <w:rPr>
          <w:rFonts w:cs="Times New Roman"/>
          <w:szCs w:val="28"/>
        </w:rPr>
        <w:t>2018/19</w:t>
      </w:r>
      <w:r w:rsidRPr="00CC5A54">
        <w:rPr>
          <w:rFonts w:cs="Times New Roman" w:hint="eastAsia"/>
          <w:szCs w:val="28"/>
        </w:rPr>
        <w:t>學年約</w:t>
      </w:r>
      <w:r w:rsidRPr="00CC5A54">
        <w:rPr>
          <w:rFonts w:cs="Times New Roman"/>
          <w:szCs w:val="28"/>
        </w:rPr>
        <w:t>75%</w:t>
      </w:r>
      <w:r w:rsidRPr="00CC5A54">
        <w:rPr>
          <w:rFonts w:cs="Times New Roman" w:hint="eastAsia"/>
          <w:szCs w:val="28"/>
        </w:rPr>
        <w:t>。政府已根據小班教學研究結果，籌劃有關的專業發展計劃，以便支援教師於公營小學實施小班教學。</w:t>
      </w:r>
    </w:p>
    <w:p w:rsidR="00FF6B99" w:rsidRDefault="00FF6B99" w:rsidP="00DE54D6">
      <w:pPr>
        <w:tabs>
          <w:tab w:val="left" w:pos="1440"/>
        </w:tabs>
        <w:adjustRightInd w:val="0"/>
        <w:snapToGrid w:val="0"/>
        <w:spacing w:line="400" w:lineRule="atLeast"/>
        <w:contextualSpacing/>
        <w:jc w:val="both"/>
        <w:rPr>
          <w:rFonts w:cs="Times New Roman"/>
          <w:szCs w:val="28"/>
        </w:rPr>
      </w:pPr>
    </w:p>
    <w:p w:rsidR="00DE54D6" w:rsidRDefault="00DE54D6" w:rsidP="00DE54D6">
      <w:pPr>
        <w:tabs>
          <w:tab w:val="left" w:pos="1440"/>
        </w:tabs>
        <w:adjustRightInd w:val="0"/>
        <w:snapToGrid w:val="0"/>
        <w:spacing w:line="400" w:lineRule="atLeast"/>
        <w:contextualSpacing/>
        <w:jc w:val="both"/>
        <w:rPr>
          <w:rFonts w:cs="Times New Roman"/>
          <w:szCs w:val="28"/>
        </w:rPr>
      </w:pPr>
      <w:r>
        <w:rPr>
          <w:rFonts w:cs="Times New Roman"/>
          <w:szCs w:val="28"/>
        </w:rPr>
        <w:t>7</w:t>
      </w:r>
      <w:r>
        <w:rPr>
          <w:rFonts w:cs="Times New Roman" w:hint="eastAsia"/>
          <w:szCs w:val="28"/>
        </w:rPr>
        <w:t>.</w:t>
      </w:r>
      <w:r>
        <w:rPr>
          <w:rFonts w:cs="Times New Roman"/>
          <w:szCs w:val="28"/>
        </w:rPr>
        <w:tab/>
      </w:r>
      <w:r w:rsidRPr="00CC5A54">
        <w:rPr>
          <w:rFonts w:cs="Times New Roman" w:hint="eastAsia"/>
          <w:szCs w:val="28"/>
        </w:rPr>
        <w:t>所有合資格兒童，不分種族或出生地，均享有同等機會入讀公營學校。政府致力鼓勵及支援非華語學生（特別是少數族裔學生）盡早融入社會，包括幫助他們適應本地教育體系及學好中文，並已加強為學校和非華語學生提供支援，協助他們學習中文。</w:t>
      </w:r>
    </w:p>
    <w:p w:rsidR="00DE54D6" w:rsidRDefault="00DE54D6" w:rsidP="00DE54D6">
      <w:pPr>
        <w:snapToGrid w:val="0"/>
        <w:spacing w:line="400" w:lineRule="atLeast"/>
        <w:jc w:val="both"/>
        <w:rPr>
          <w:rFonts w:cs="Times New Roman"/>
          <w:szCs w:val="28"/>
        </w:rPr>
      </w:pPr>
    </w:p>
    <w:p w:rsidR="00DE54D6" w:rsidRPr="00E05AD9" w:rsidRDefault="00DE54D6" w:rsidP="00DE54D6">
      <w:pPr>
        <w:snapToGrid w:val="0"/>
        <w:spacing w:line="400" w:lineRule="atLeast"/>
        <w:jc w:val="both"/>
        <w:rPr>
          <w:rFonts w:cs="Times New Roman"/>
          <w:szCs w:val="28"/>
          <w:u w:val="single"/>
        </w:rPr>
      </w:pPr>
      <w:r w:rsidRPr="00E05AD9">
        <w:rPr>
          <w:rFonts w:cs="Times New Roman" w:hint="eastAsia"/>
          <w:szCs w:val="28"/>
          <w:u w:val="single"/>
        </w:rPr>
        <w:t>職業專才教育</w:t>
      </w:r>
    </w:p>
    <w:p w:rsidR="00DE54D6" w:rsidRDefault="00DE54D6" w:rsidP="00DE54D6">
      <w:pPr>
        <w:snapToGrid w:val="0"/>
        <w:spacing w:line="400" w:lineRule="atLeast"/>
        <w:jc w:val="both"/>
        <w:rPr>
          <w:rFonts w:cs="Times New Roman"/>
          <w:szCs w:val="28"/>
        </w:rPr>
      </w:pPr>
    </w:p>
    <w:p w:rsidR="00DE54D6" w:rsidRDefault="00DE54D6" w:rsidP="00DE54D6">
      <w:pPr>
        <w:tabs>
          <w:tab w:val="left" w:pos="1418"/>
        </w:tabs>
        <w:adjustRightInd w:val="0"/>
        <w:snapToGrid w:val="0"/>
        <w:spacing w:line="400" w:lineRule="atLeast"/>
        <w:contextualSpacing/>
        <w:jc w:val="both"/>
        <w:rPr>
          <w:rFonts w:cs="Times New Roman"/>
          <w:szCs w:val="28"/>
        </w:rPr>
      </w:pPr>
      <w:r>
        <w:rPr>
          <w:rFonts w:cs="Times New Roman"/>
          <w:szCs w:val="28"/>
        </w:rPr>
        <w:t>8</w:t>
      </w:r>
      <w:r>
        <w:rPr>
          <w:rFonts w:cs="Times New Roman" w:hint="eastAsia"/>
          <w:szCs w:val="28"/>
        </w:rPr>
        <w:t>.</w:t>
      </w:r>
      <w:r>
        <w:rPr>
          <w:rFonts w:cs="Times New Roman"/>
          <w:szCs w:val="28"/>
        </w:rPr>
        <w:tab/>
      </w:r>
      <w:r>
        <w:rPr>
          <w:rFonts w:cs="Times New Roman"/>
          <w:szCs w:val="28"/>
        </w:rPr>
        <w:tab/>
      </w:r>
      <w:r w:rsidRPr="00CC5A54">
        <w:rPr>
          <w:rFonts w:cs="Times New Roman" w:hint="eastAsia"/>
          <w:szCs w:val="28"/>
        </w:rPr>
        <w:t>如上一次報告第</w:t>
      </w:r>
      <w:r w:rsidRPr="00CC5A54">
        <w:rPr>
          <w:rFonts w:cs="Times New Roman"/>
          <w:szCs w:val="28"/>
        </w:rPr>
        <w:t>13.43</w:t>
      </w:r>
      <w:r w:rsidRPr="00CC5A54">
        <w:rPr>
          <w:rFonts w:cs="Times New Roman" w:hint="eastAsia"/>
          <w:szCs w:val="28"/>
        </w:rPr>
        <w:t>段所述，職業訓練局（職訓局）是提供職業專才教育的主要機構，並負責就有關職業專才教育的政策，向政府提供意見。職訓局開辦多元化的職前培訓課程，讓不同學歷背景和學習能力、興趣的人士，均可循多樣且靈活貫通的職業教育進修階梯，向目標前進。</w:t>
      </w:r>
    </w:p>
    <w:p w:rsidR="00DE54D6" w:rsidRDefault="00DE54D6" w:rsidP="00DE54D6">
      <w:pPr>
        <w:snapToGrid w:val="0"/>
        <w:spacing w:line="400" w:lineRule="atLeast"/>
        <w:jc w:val="both"/>
        <w:rPr>
          <w:rFonts w:cs="Times New Roman"/>
          <w:szCs w:val="28"/>
        </w:rPr>
      </w:pPr>
    </w:p>
    <w:p w:rsidR="00DE54D6" w:rsidRPr="00E05AD9" w:rsidRDefault="00DE54D6" w:rsidP="00DE54D6">
      <w:pPr>
        <w:widowControl/>
        <w:tabs>
          <w:tab w:val="left" w:pos="1440"/>
        </w:tabs>
        <w:adjustRightInd w:val="0"/>
        <w:snapToGrid w:val="0"/>
        <w:spacing w:line="400" w:lineRule="atLeast"/>
        <w:jc w:val="both"/>
        <w:rPr>
          <w:szCs w:val="28"/>
        </w:rPr>
      </w:pPr>
      <w:r w:rsidRPr="00E05AD9">
        <w:rPr>
          <w:rFonts w:cs="Times New Roman"/>
          <w:szCs w:val="28"/>
        </w:rPr>
        <w:t>9.</w:t>
      </w:r>
      <w:r w:rsidRPr="00E05AD9">
        <w:rPr>
          <w:rFonts w:cs="Times New Roman"/>
          <w:szCs w:val="28"/>
        </w:rPr>
        <w:tab/>
      </w:r>
      <w:r w:rsidRPr="00E05AD9">
        <w:rPr>
          <w:rFonts w:cs="Times New Roman" w:hint="eastAsia"/>
          <w:szCs w:val="28"/>
        </w:rPr>
        <w:t>由職訓局開辦的職業專才教育課程，中六或以上程度的包括學位、高級文憑、基礎課程文憑、職專文憑、毅進文憑及與各行業相關的文憑、證書課程。這些課程主要由職訓局的機構成員提供</w:t>
      </w:r>
      <w:r w:rsidRPr="00E05AD9">
        <w:rPr>
          <w:rFonts w:cs="Times New Roman" w:hint="eastAsia"/>
          <w:szCs w:val="28"/>
          <w:lang w:eastAsia="zh-HK"/>
        </w:rPr>
        <w:t>：</w:t>
      </w:r>
      <w:r w:rsidRPr="00E05AD9">
        <w:rPr>
          <w:rFonts w:cs="Times New Roman" w:hint="eastAsia"/>
          <w:szCs w:val="28"/>
        </w:rPr>
        <w:t>香港高等教育科技學院、香港專業教育學院、香港知專設計學院、青年學院、酒店及旅遊學院、中華廚藝學院、國際廚藝學院、以及海事訓練學院等。自</w:t>
      </w:r>
      <w:r w:rsidRPr="00E05AD9">
        <w:rPr>
          <w:rFonts w:cs="Times New Roman"/>
          <w:szCs w:val="28"/>
        </w:rPr>
        <w:t>2018/19</w:t>
      </w:r>
      <w:r w:rsidRPr="00E05AD9">
        <w:rPr>
          <w:rFonts w:cs="Times New Roman" w:hint="eastAsia"/>
          <w:szCs w:val="28"/>
        </w:rPr>
        <w:t>學年起，中三程度的離校生均可報讀剛由青年學院</w:t>
      </w:r>
      <w:r w:rsidRPr="00E05AD9">
        <w:rPr>
          <w:rFonts w:cs="Times New Roman" w:hint="eastAsia"/>
          <w:szCs w:val="28"/>
          <w:lang w:eastAsia="zh-HK"/>
        </w:rPr>
        <w:t>（</w:t>
      </w:r>
      <w:r w:rsidRPr="00E05AD9">
        <w:rPr>
          <w:rFonts w:cs="Times New Roman" w:hint="eastAsia"/>
          <w:szCs w:val="28"/>
        </w:rPr>
        <w:t>國際課程</w:t>
      </w:r>
      <w:r w:rsidRPr="00E05AD9">
        <w:rPr>
          <w:rFonts w:cs="Times New Roman" w:hint="eastAsia"/>
          <w:szCs w:val="28"/>
          <w:lang w:eastAsia="zh-HK"/>
        </w:rPr>
        <w:t>）</w:t>
      </w:r>
      <w:r w:rsidRPr="00E05AD9">
        <w:rPr>
          <w:rFonts w:cs="Times New Roman" w:hint="eastAsia"/>
          <w:szCs w:val="28"/>
        </w:rPr>
        <w:t>開辦的職業國際文憑，亦可選擇現時由青年學院、酒店及旅遊學院、中華廚藝學院、國際廚藝學院和海事訓練學院提供的職專文憑、或與各行業相關的證書課程。除一般課程外，職訓局亦致力增強非華語學生職業及專業技能，好讓他們能夠融入社群，提高就業的機會，同時提升自信心。在</w:t>
      </w:r>
      <w:r w:rsidRPr="00E05AD9">
        <w:rPr>
          <w:rFonts w:cs="Times New Roman"/>
          <w:szCs w:val="28"/>
        </w:rPr>
        <w:t>2017/18</w:t>
      </w:r>
      <w:r w:rsidRPr="00E05AD9">
        <w:rPr>
          <w:rFonts w:cs="Times New Roman" w:hint="eastAsia"/>
          <w:szCs w:val="28"/>
        </w:rPr>
        <w:t>學年，職訓局因應非華語學生的不同需要為他們開辦約</w:t>
      </w:r>
      <w:r w:rsidRPr="00E05AD9">
        <w:rPr>
          <w:rFonts w:cs="Times New Roman"/>
          <w:szCs w:val="28"/>
        </w:rPr>
        <w:t>20</w:t>
      </w:r>
      <w:r w:rsidRPr="00E05AD9">
        <w:rPr>
          <w:rFonts w:cs="Times New Roman" w:hint="eastAsia"/>
          <w:szCs w:val="28"/>
        </w:rPr>
        <w:t>個</w:t>
      </w:r>
      <w:r w:rsidRPr="00E05AD9">
        <w:rPr>
          <w:rFonts w:cs="Times New Roman" w:hint="eastAsia"/>
          <w:szCs w:val="28"/>
          <w:lang w:eastAsia="zh-HK"/>
        </w:rPr>
        <w:t>（</w:t>
      </w:r>
      <w:r w:rsidRPr="00E05AD9">
        <w:rPr>
          <w:rFonts w:cs="Times New Roman" w:hint="eastAsia"/>
          <w:szCs w:val="28"/>
        </w:rPr>
        <w:t>全日制和兼讀制</w:t>
      </w:r>
      <w:r w:rsidRPr="00E05AD9">
        <w:rPr>
          <w:rFonts w:cs="Times New Roman" w:hint="eastAsia"/>
          <w:szCs w:val="28"/>
          <w:lang w:eastAsia="zh-HK"/>
        </w:rPr>
        <w:t>）</w:t>
      </w:r>
      <w:r w:rsidRPr="00E05AD9">
        <w:rPr>
          <w:rFonts w:cs="Times New Roman" w:hint="eastAsia"/>
          <w:szCs w:val="28"/>
        </w:rPr>
        <w:t>資助的職業專才教育的專設課程。該等課程包括適合中學離校生修讀的商科、設計、酒店及旅遊文憑課程、為高中學生而設的應用學習課程、職業中文基礎課程，以及為特定行業而設的短期課程。約有</w:t>
      </w:r>
      <w:r w:rsidRPr="00E05AD9">
        <w:rPr>
          <w:rFonts w:cs="Times New Roman"/>
          <w:szCs w:val="28"/>
        </w:rPr>
        <w:t>700</w:t>
      </w:r>
      <w:r w:rsidRPr="00E05AD9">
        <w:rPr>
          <w:rFonts w:cs="Times New Roman" w:hint="eastAsia"/>
          <w:szCs w:val="28"/>
        </w:rPr>
        <w:t>名非華語學生曾參與上述課程。</w:t>
      </w:r>
    </w:p>
    <w:p w:rsidR="00DE54D6" w:rsidRDefault="00DE54D6" w:rsidP="00DE54D6">
      <w:pPr>
        <w:snapToGrid w:val="0"/>
        <w:spacing w:line="400" w:lineRule="atLeast"/>
        <w:jc w:val="both"/>
        <w:rPr>
          <w:rFonts w:cs="Times New Roman"/>
          <w:szCs w:val="28"/>
        </w:rPr>
      </w:pPr>
    </w:p>
    <w:p w:rsidR="00DE54D6" w:rsidRPr="00FF6B99" w:rsidRDefault="00DE54D6" w:rsidP="00DE54D6">
      <w:pPr>
        <w:widowControl/>
        <w:tabs>
          <w:tab w:val="left" w:pos="1440"/>
        </w:tabs>
        <w:adjustRightInd w:val="0"/>
        <w:snapToGrid w:val="0"/>
        <w:spacing w:line="400" w:lineRule="atLeast"/>
        <w:jc w:val="both"/>
        <w:rPr>
          <w:b/>
          <w:spacing w:val="2"/>
          <w:szCs w:val="28"/>
        </w:rPr>
      </w:pPr>
      <w:r>
        <w:rPr>
          <w:rFonts w:cs="Times New Roman" w:hint="eastAsia"/>
          <w:szCs w:val="28"/>
        </w:rPr>
        <w:t>10.</w:t>
      </w:r>
      <w:r>
        <w:rPr>
          <w:rFonts w:cs="Times New Roman"/>
          <w:szCs w:val="28"/>
        </w:rPr>
        <w:tab/>
      </w:r>
      <w:r w:rsidRPr="00CC5A54">
        <w:rPr>
          <w:rFonts w:cs="Times New Roman" w:hint="eastAsia"/>
          <w:szCs w:val="28"/>
        </w:rPr>
        <w:t>隨著新學制的推行，教育局於</w:t>
      </w:r>
      <w:r w:rsidRPr="00CC5A54">
        <w:rPr>
          <w:rFonts w:cs="Times New Roman"/>
          <w:szCs w:val="28"/>
        </w:rPr>
        <w:t>2012/13</w:t>
      </w:r>
      <w:r w:rsidRPr="00CC5A54">
        <w:rPr>
          <w:rFonts w:cs="Times New Roman" w:hint="eastAsia"/>
          <w:szCs w:val="28"/>
        </w:rPr>
        <w:t>學年推出毅進文憑課程以取代前毅進計劃課程。毅進文憑課程旨在為主流課程學業成績不如理想的學生提供另一種進修途徑，以便他們取得相當於香港中學</w:t>
      </w:r>
      <w:r w:rsidRPr="00CC5A54">
        <w:rPr>
          <w:rFonts w:cs="Times New Roman" w:hint="eastAsia"/>
          <w:szCs w:val="28"/>
        </w:rPr>
        <w:lastRenderedPageBreak/>
        <w:t>文憑考試五科（包括中國語文和英國語文科）第</w:t>
      </w:r>
      <w:r w:rsidRPr="00CC5A54">
        <w:rPr>
          <w:rFonts w:cs="Times New Roman"/>
          <w:szCs w:val="28"/>
        </w:rPr>
        <w:t>2</w:t>
      </w:r>
      <w:r w:rsidRPr="00CC5A54">
        <w:rPr>
          <w:rFonts w:cs="Times New Roman" w:hint="eastAsia"/>
          <w:szCs w:val="28"/>
        </w:rPr>
        <w:t>級程度的學歷。目標之一是協助學員掌握各種一般技能和常識，包括基本語文能力、資</w:t>
      </w:r>
      <w:r w:rsidRPr="00FF6B99">
        <w:rPr>
          <w:rFonts w:cs="Times New Roman" w:hint="eastAsia"/>
          <w:spacing w:val="2"/>
          <w:szCs w:val="28"/>
        </w:rPr>
        <w:t>訊科技技能、數學推理能力和人際關係技巧，以助學員日後就業升學。</w:t>
      </w:r>
    </w:p>
    <w:p w:rsidR="00DE54D6" w:rsidRDefault="00DE54D6" w:rsidP="00DE54D6">
      <w:pPr>
        <w:snapToGrid w:val="0"/>
        <w:spacing w:line="400" w:lineRule="atLeast"/>
      </w:pPr>
    </w:p>
    <w:p w:rsidR="00DE54D6" w:rsidRPr="00E05AD9" w:rsidRDefault="00DE54D6" w:rsidP="00DE54D6">
      <w:pPr>
        <w:snapToGrid w:val="0"/>
        <w:spacing w:line="400" w:lineRule="atLeast"/>
        <w:rPr>
          <w:szCs w:val="28"/>
          <w:u w:val="single"/>
        </w:rPr>
      </w:pPr>
      <w:r w:rsidRPr="00E05AD9">
        <w:rPr>
          <w:rFonts w:hint="eastAsia"/>
          <w:szCs w:val="28"/>
          <w:u w:val="single"/>
        </w:rPr>
        <w:t>私立學校</w:t>
      </w:r>
    </w:p>
    <w:p w:rsidR="00DE54D6" w:rsidRDefault="00DE54D6" w:rsidP="00DE54D6">
      <w:pPr>
        <w:snapToGrid w:val="0"/>
        <w:spacing w:line="400" w:lineRule="atLeast"/>
        <w:rPr>
          <w:b/>
          <w:szCs w:val="28"/>
        </w:rPr>
      </w:pPr>
    </w:p>
    <w:p w:rsidR="00DE54D6" w:rsidRDefault="00DE54D6" w:rsidP="00DE54D6">
      <w:pPr>
        <w:widowControl/>
        <w:tabs>
          <w:tab w:val="left" w:pos="1440"/>
        </w:tabs>
        <w:adjustRightInd w:val="0"/>
        <w:snapToGrid w:val="0"/>
        <w:spacing w:line="400" w:lineRule="atLeast"/>
        <w:jc w:val="both"/>
        <w:rPr>
          <w:rFonts w:cs="Times New Roman"/>
          <w:szCs w:val="28"/>
        </w:rPr>
      </w:pPr>
      <w:r>
        <w:rPr>
          <w:rFonts w:cs="Times New Roman"/>
          <w:szCs w:val="28"/>
        </w:rPr>
        <w:t>1</w:t>
      </w:r>
      <w:r>
        <w:rPr>
          <w:rFonts w:cs="Times New Roman" w:hint="eastAsia"/>
          <w:szCs w:val="28"/>
        </w:rPr>
        <w:t>1.</w:t>
      </w:r>
      <w:r>
        <w:rPr>
          <w:rFonts w:cs="Times New Roman"/>
          <w:szCs w:val="28"/>
        </w:rPr>
        <w:tab/>
      </w:r>
      <w:r w:rsidRPr="00CC5A54">
        <w:rPr>
          <w:rFonts w:cs="Times New Roman" w:hint="eastAsia"/>
          <w:szCs w:val="28"/>
        </w:rPr>
        <w:t>私立學校必須根據《教育條例》（第</w:t>
      </w:r>
      <w:r w:rsidRPr="00CC5A54">
        <w:rPr>
          <w:rFonts w:cs="Times New Roman"/>
          <w:szCs w:val="28"/>
        </w:rPr>
        <w:t>279</w:t>
      </w:r>
      <w:r w:rsidRPr="00CC5A54">
        <w:rPr>
          <w:rFonts w:cs="Times New Roman" w:hint="eastAsia"/>
          <w:szCs w:val="28"/>
        </w:rPr>
        <w:t>章）向政府註冊。私立學校按自負盈虧和市場運作的原則營辦，為家長提供了公營學校以外的另類選擇，在課程、收生和收費上享有彈性。截至</w:t>
      </w:r>
      <w:r w:rsidRPr="00CC5A54">
        <w:rPr>
          <w:rFonts w:cs="Times New Roman"/>
          <w:szCs w:val="28"/>
        </w:rPr>
        <w:t>2018/19</w:t>
      </w:r>
      <w:r w:rsidRPr="00CC5A54">
        <w:rPr>
          <w:rFonts w:cs="Times New Roman" w:hint="eastAsia"/>
          <w:szCs w:val="28"/>
        </w:rPr>
        <w:t>學年，已有九所學校於</w:t>
      </w:r>
      <w:r w:rsidRPr="00CC5A54">
        <w:rPr>
          <w:rFonts w:cs="Times New Roman"/>
          <w:szCs w:val="28"/>
        </w:rPr>
        <w:t>1999</w:t>
      </w:r>
      <w:r w:rsidRPr="00CC5A54">
        <w:rPr>
          <w:rFonts w:cs="Times New Roman" w:hint="eastAsia"/>
          <w:szCs w:val="28"/>
        </w:rPr>
        <w:t>年學年設立的「私立獨立學校」計劃下落成啟用。政府在計劃下以象徵式地價批出土地，及／或提供非經常撥款，以供興建校舍以推動私營學校的發展，但這類學校並不獲政府提供經常資助金。</w:t>
      </w:r>
    </w:p>
    <w:p w:rsidR="00DE54D6" w:rsidRDefault="00DE54D6" w:rsidP="00DE54D6">
      <w:pPr>
        <w:snapToGrid w:val="0"/>
        <w:spacing w:line="400" w:lineRule="atLeast"/>
        <w:jc w:val="both"/>
        <w:rPr>
          <w:rFonts w:cs="Times New Roman"/>
          <w:szCs w:val="28"/>
        </w:rPr>
      </w:pPr>
    </w:p>
    <w:p w:rsidR="00DE54D6" w:rsidRPr="00E05AD9" w:rsidRDefault="00DE54D6" w:rsidP="00DE54D6">
      <w:pPr>
        <w:snapToGrid w:val="0"/>
        <w:spacing w:line="400" w:lineRule="atLeast"/>
        <w:jc w:val="both"/>
        <w:rPr>
          <w:rFonts w:cs="Times New Roman"/>
          <w:szCs w:val="28"/>
          <w:u w:val="single"/>
        </w:rPr>
      </w:pPr>
      <w:r w:rsidRPr="00E05AD9">
        <w:rPr>
          <w:rFonts w:hint="eastAsia"/>
          <w:szCs w:val="28"/>
          <w:u w:val="single"/>
        </w:rPr>
        <w:t>專上教育</w:t>
      </w:r>
    </w:p>
    <w:p w:rsidR="00DE54D6" w:rsidRDefault="00DE54D6" w:rsidP="00DE54D6">
      <w:pPr>
        <w:snapToGrid w:val="0"/>
        <w:spacing w:line="400" w:lineRule="atLeast"/>
        <w:jc w:val="both"/>
        <w:rPr>
          <w:rFonts w:cs="Times New Roman"/>
          <w:szCs w:val="28"/>
        </w:rPr>
      </w:pPr>
    </w:p>
    <w:p w:rsidR="00DE54D6" w:rsidRDefault="00DE54D6" w:rsidP="00DE54D6">
      <w:pPr>
        <w:widowControl/>
        <w:tabs>
          <w:tab w:val="left" w:pos="1440"/>
        </w:tabs>
        <w:adjustRightInd w:val="0"/>
        <w:snapToGrid w:val="0"/>
        <w:spacing w:line="400" w:lineRule="atLeast"/>
        <w:jc w:val="both"/>
        <w:rPr>
          <w:rFonts w:cs="Times New Roman"/>
          <w:szCs w:val="28"/>
        </w:rPr>
      </w:pPr>
      <w:r>
        <w:rPr>
          <w:rFonts w:cs="Times New Roman"/>
          <w:szCs w:val="28"/>
        </w:rPr>
        <w:t>1</w:t>
      </w:r>
      <w:r>
        <w:rPr>
          <w:rFonts w:cs="Times New Roman" w:hint="eastAsia"/>
          <w:szCs w:val="28"/>
        </w:rPr>
        <w:t>2.</w:t>
      </w:r>
      <w:r>
        <w:rPr>
          <w:rFonts w:cs="Times New Roman"/>
          <w:szCs w:val="28"/>
        </w:rPr>
        <w:tab/>
      </w:r>
      <w:r w:rsidRPr="00CC5A54">
        <w:rPr>
          <w:rFonts w:cs="Times New Roman" w:hint="eastAsia"/>
          <w:szCs w:val="28"/>
        </w:rPr>
        <w:t>情況與上一次報告第</w:t>
      </w:r>
      <w:r w:rsidRPr="00CC5A54">
        <w:rPr>
          <w:rFonts w:cs="Times New Roman"/>
          <w:szCs w:val="28"/>
        </w:rPr>
        <w:t>13.26</w:t>
      </w:r>
      <w:r w:rsidRPr="00CC5A54">
        <w:rPr>
          <w:rFonts w:cs="Times New Roman" w:hint="eastAsia"/>
          <w:szCs w:val="28"/>
        </w:rPr>
        <w:t>段所述的相同。在</w:t>
      </w:r>
      <w:r w:rsidRPr="00CC5A54">
        <w:rPr>
          <w:rFonts w:cs="Times New Roman"/>
          <w:szCs w:val="28"/>
        </w:rPr>
        <w:t>2017/18</w:t>
      </w:r>
      <w:r w:rsidRPr="00CC5A54">
        <w:rPr>
          <w:rFonts w:cs="Times New Roman" w:hint="eastAsia"/>
          <w:szCs w:val="28"/>
        </w:rPr>
        <w:t>學年，約有</w:t>
      </w:r>
      <w:r w:rsidRPr="00CC5A54">
        <w:rPr>
          <w:rFonts w:cs="Times New Roman"/>
          <w:szCs w:val="28"/>
        </w:rPr>
        <w:t>73%</w:t>
      </w:r>
      <w:r w:rsidRPr="00CC5A54">
        <w:rPr>
          <w:rFonts w:cs="Times New Roman" w:hint="eastAsia"/>
          <w:szCs w:val="28"/>
        </w:rPr>
        <w:t>的中學離校人士可以接受專上教育，較</w:t>
      </w:r>
      <w:r w:rsidRPr="00CC5A54">
        <w:rPr>
          <w:rFonts w:cs="Times New Roman"/>
          <w:szCs w:val="28"/>
        </w:rPr>
        <w:t>2003</w:t>
      </w:r>
      <w:r w:rsidRPr="00CC5A54">
        <w:rPr>
          <w:rFonts w:cs="Times New Roman" w:hint="eastAsia"/>
          <w:szCs w:val="28"/>
        </w:rPr>
        <w:t>年的</w:t>
      </w:r>
      <w:r w:rsidRPr="00CC5A54">
        <w:rPr>
          <w:rFonts w:cs="Times New Roman"/>
          <w:szCs w:val="28"/>
        </w:rPr>
        <w:t>42%</w:t>
      </w:r>
      <w:r w:rsidRPr="00CC5A54">
        <w:rPr>
          <w:rFonts w:cs="Times New Roman" w:hint="eastAsia"/>
          <w:szCs w:val="28"/>
        </w:rPr>
        <w:t>為高。</w:t>
      </w:r>
    </w:p>
    <w:p w:rsidR="00DE54D6" w:rsidRDefault="00DE54D6" w:rsidP="00DE54D6">
      <w:pPr>
        <w:snapToGrid w:val="0"/>
        <w:spacing w:line="400" w:lineRule="atLeast"/>
        <w:jc w:val="both"/>
        <w:rPr>
          <w:rFonts w:cs="Times New Roman"/>
          <w:szCs w:val="28"/>
        </w:rPr>
      </w:pPr>
    </w:p>
    <w:p w:rsidR="00DE54D6" w:rsidRDefault="00DE54D6" w:rsidP="00DE54D6">
      <w:pPr>
        <w:widowControl/>
        <w:tabs>
          <w:tab w:val="left" w:pos="1440"/>
        </w:tabs>
        <w:adjustRightInd w:val="0"/>
        <w:snapToGrid w:val="0"/>
        <w:spacing w:line="400" w:lineRule="atLeast"/>
        <w:jc w:val="both"/>
        <w:rPr>
          <w:rFonts w:cs="Times New Roman"/>
          <w:szCs w:val="28"/>
        </w:rPr>
      </w:pPr>
      <w:r>
        <w:rPr>
          <w:rFonts w:cs="Times New Roman"/>
          <w:szCs w:val="28"/>
        </w:rPr>
        <w:t>1</w:t>
      </w:r>
      <w:r>
        <w:rPr>
          <w:rFonts w:cs="Times New Roman" w:hint="eastAsia"/>
          <w:szCs w:val="28"/>
        </w:rPr>
        <w:t>3.</w:t>
      </w:r>
      <w:r>
        <w:rPr>
          <w:rFonts w:cs="Times New Roman"/>
          <w:szCs w:val="28"/>
        </w:rPr>
        <w:tab/>
      </w:r>
      <w:r w:rsidRPr="00CC5A54">
        <w:rPr>
          <w:rFonts w:cs="Times New Roman" w:hint="eastAsia"/>
          <w:szCs w:val="28"/>
        </w:rPr>
        <w:t>現時香港共有</w:t>
      </w:r>
      <w:r w:rsidRPr="00CC5A54">
        <w:rPr>
          <w:rFonts w:cs="Times New Roman"/>
          <w:szCs w:val="28"/>
        </w:rPr>
        <w:t>21</w:t>
      </w:r>
      <w:r w:rsidRPr="00CC5A54">
        <w:rPr>
          <w:rFonts w:cs="Times New Roman" w:hint="eastAsia"/>
          <w:szCs w:val="28"/>
        </w:rPr>
        <w:t>所頒授學位的高等教育院校。九所獲公帑資助（除香港演藝學院由政府資助外，另外八所均由大學教育資助委員會（教資會）資助），其餘</w:t>
      </w:r>
      <w:r w:rsidRPr="00CC5A54">
        <w:rPr>
          <w:rFonts w:cs="Times New Roman"/>
          <w:szCs w:val="28"/>
        </w:rPr>
        <w:t>12</w:t>
      </w:r>
      <w:r w:rsidRPr="00CC5A54">
        <w:rPr>
          <w:rFonts w:cs="Times New Roman" w:hint="eastAsia"/>
          <w:szCs w:val="28"/>
        </w:rPr>
        <w:t>所為自資院校，其中三所擁有大學名銜。</w:t>
      </w:r>
    </w:p>
    <w:p w:rsidR="00DE54D6" w:rsidRDefault="00DE54D6" w:rsidP="00DE54D6">
      <w:pPr>
        <w:snapToGrid w:val="0"/>
        <w:spacing w:line="400" w:lineRule="atLeast"/>
        <w:jc w:val="both"/>
      </w:pPr>
    </w:p>
    <w:p w:rsidR="00DE54D6" w:rsidRDefault="00DE54D6" w:rsidP="00DE54D6">
      <w:pPr>
        <w:widowControl/>
        <w:tabs>
          <w:tab w:val="left" w:pos="1440"/>
        </w:tabs>
        <w:adjustRightInd w:val="0"/>
        <w:snapToGrid w:val="0"/>
        <w:spacing w:line="400" w:lineRule="atLeast"/>
        <w:jc w:val="both"/>
        <w:rPr>
          <w:rFonts w:cs="Times New Roman"/>
          <w:szCs w:val="28"/>
        </w:rPr>
      </w:pPr>
      <w:r>
        <w:rPr>
          <w:rFonts w:cs="Times New Roman"/>
          <w:szCs w:val="28"/>
        </w:rPr>
        <w:t>1</w:t>
      </w:r>
      <w:r>
        <w:rPr>
          <w:rFonts w:cs="Times New Roman" w:hint="eastAsia"/>
          <w:szCs w:val="28"/>
        </w:rPr>
        <w:t>4.</w:t>
      </w:r>
      <w:r>
        <w:rPr>
          <w:rFonts w:cs="Times New Roman"/>
          <w:szCs w:val="28"/>
        </w:rPr>
        <w:tab/>
      </w:r>
      <w:r w:rsidRPr="00CC5A54">
        <w:rPr>
          <w:rFonts w:cs="Times New Roman" w:hint="eastAsia"/>
          <w:szCs w:val="28"/>
        </w:rPr>
        <w:t>收生政策基本上與第二次報告第</w:t>
      </w:r>
      <w:r w:rsidRPr="00CC5A54">
        <w:rPr>
          <w:rFonts w:cs="Times New Roman"/>
          <w:szCs w:val="28"/>
        </w:rPr>
        <w:t>13.34</w:t>
      </w:r>
      <w:r w:rsidRPr="00CC5A54">
        <w:rPr>
          <w:rFonts w:cs="Times New Roman" w:hint="eastAsia"/>
          <w:szCs w:val="28"/>
        </w:rPr>
        <w:t>段所述情況相同。所有符合基本入學要求的學生，獲院校考慮錄取的機會均等。擇優而取的原則同時適用於男女生。</w:t>
      </w:r>
      <w:r w:rsidRPr="00CC5A54">
        <w:rPr>
          <w:rFonts w:cs="Times New Roman"/>
          <w:szCs w:val="28"/>
        </w:rPr>
        <w:t>2017/18</w:t>
      </w:r>
      <w:r w:rsidRPr="00CC5A54">
        <w:rPr>
          <w:rFonts w:cs="Times New Roman" w:hint="eastAsia"/>
          <w:szCs w:val="28"/>
        </w:rPr>
        <w:t>學年，在教資會資助課程中，女生佔總學生人數</w:t>
      </w:r>
      <w:r w:rsidRPr="00CC5A54">
        <w:rPr>
          <w:rFonts w:cs="Times New Roman"/>
          <w:szCs w:val="28"/>
        </w:rPr>
        <w:t>53.4%</w:t>
      </w:r>
      <w:r w:rsidRPr="00CC5A54">
        <w:rPr>
          <w:rFonts w:cs="Times New Roman" w:hint="eastAsia"/>
          <w:szCs w:val="28"/>
        </w:rPr>
        <w:t>。</w:t>
      </w:r>
    </w:p>
    <w:p w:rsidR="00DE54D6" w:rsidRDefault="00DE54D6" w:rsidP="00DE54D6">
      <w:pPr>
        <w:snapToGrid w:val="0"/>
        <w:spacing w:line="400" w:lineRule="atLeast"/>
        <w:jc w:val="both"/>
      </w:pPr>
    </w:p>
    <w:p w:rsidR="00DE54D6" w:rsidRDefault="00DE54D6" w:rsidP="00DE54D6">
      <w:pPr>
        <w:widowControl/>
        <w:tabs>
          <w:tab w:val="left" w:pos="1440"/>
        </w:tabs>
        <w:adjustRightInd w:val="0"/>
        <w:snapToGrid w:val="0"/>
        <w:spacing w:line="400" w:lineRule="atLeast"/>
        <w:jc w:val="both"/>
        <w:rPr>
          <w:rFonts w:cs="Times New Roman"/>
          <w:szCs w:val="28"/>
        </w:rPr>
      </w:pPr>
      <w:r>
        <w:rPr>
          <w:rFonts w:cs="Times New Roman"/>
          <w:szCs w:val="28"/>
        </w:rPr>
        <w:t>1</w:t>
      </w:r>
      <w:r>
        <w:rPr>
          <w:rFonts w:cs="Times New Roman" w:hint="eastAsia"/>
          <w:szCs w:val="28"/>
        </w:rPr>
        <w:t>5.</w:t>
      </w:r>
      <w:r>
        <w:rPr>
          <w:rFonts w:cs="Times New Roman"/>
          <w:szCs w:val="28"/>
        </w:rPr>
        <w:tab/>
      </w:r>
      <w:r w:rsidRPr="00CC5A54">
        <w:rPr>
          <w:rFonts w:cs="Times New Roman" w:hint="eastAsia"/>
          <w:szCs w:val="28"/>
        </w:rPr>
        <w:t>自</w:t>
      </w:r>
      <w:r w:rsidRPr="00CC5A54">
        <w:rPr>
          <w:rFonts w:cs="Times New Roman"/>
          <w:szCs w:val="28"/>
        </w:rPr>
        <w:t>2012/13</w:t>
      </w:r>
      <w:r w:rsidRPr="00CC5A54">
        <w:rPr>
          <w:rFonts w:cs="Times New Roman" w:hint="eastAsia"/>
          <w:szCs w:val="28"/>
        </w:rPr>
        <w:t>學年起，教資會資助第一年學士學位課程學額增至每學年</w:t>
      </w:r>
      <w:r w:rsidRPr="00CC5A54">
        <w:rPr>
          <w:rFonts w:cs="Times New Roman"/>
          <w:szCs w:val="28"/>
        </w:rPr>
        <w:t>15 000</w:t>
      </w:r>
      <w:r w:rsidRPr="00CC5A54">
        <w:rPr>
          <w:rFonts w:cs="Times New Roman" w:hint="eastAsia"/>
          <w:szCs w:val="28"/>
        </w:rPr>
        <w:t>個。自</w:t>
      </w:r>
      <w:r w:rsidRPr="00CC5A54">
        <w:rPr>
          <w:rFonts w:cs="Times New Roman"/>
          <w:szCs w:val="28"/>
        </w:rPr>
        <w:t>2015/16</w:t>
      </w:r>
      <w:r w:rsidRPr="00CC5A54">
        <w:rPr>
          <w:rFonts w:cs="Times New Roman" w:hint="eastAsia"/>
          <w:szCs w:val="28"/>
        </w:rPr>
        <w:t>學年起，教資會資助大學逐步增加</w:t>
      </w:r>
      <w:r w:rsidRPr="00CC5A54">
        <w:rPr>
          <w:rFonts w:cs="Times New Roman"/>
          <w:szCs w:val="28"/>
        </w:rPr>
        <w:t>1 000</w:t>
      </w:r>
      <w:r w:rsidRPr="00CC5A54">
        <w:rPr>
          <w:rFonts w:cs="Times New Roman" w:hint="eastAsia"/>
          <w:szCs w:val="28"/>
        </w:rPr>
        <w:t>個學士學位課程高年級收生學額，目的是由</w:t>
      </w:r>
      <w:r w:rsidRPr="00CC5A54">
        <w:rPr>
          <w:rFonts w:cs="Times New Roman"/>
          <w:szCs w:val="28"/>
        </w:rPr>
        <w:t>2018/19</w:t>
      </w:r>
      <w:r w:rsidRPr="00CC5A54">
        <w:rPr>
          <w:rFonts w:cs="Times New Roman" w:hint="eastAsia"/>
          <w:szCs w:val="28"/>
        </w:rPr>
        <w:t>學年起，</w:t>
      </w:r>
      <w:r w:rsidRPr="00CC5A54">
        <w:rPr>
          <w:rFonts w:cs="Times New Roman" w:hint="eastAsia"/>
          <w:szCs w:val="28"/>
        </w:rPr>
        <w:lastRenderedPageBreak/>
        <w:t>每年讓</w:t>
      </w:r>
      <w:r w:rsidRPr="00CC5A54">
        <w:rPr>
          <w:rFonts w:cs="Times New Roman"/>
          <w:szCs w:val="28"/>
        </w:rPr>
        <w:t>5</w:t>
      </w:r>
      <w:r w:rsidR="00FF6B99">
        <w:rPr>
          <w:rFonts w:cs="Times New Roman"/>
          <w:szCs w:val="28"/>
        </w:rPr>
        <w:t> </w:t>
      </w:r>
      <w:r w:rsidRPr="00CC5A54">
        <w:rPr>
          <w:rFonts w:cs="Times New Roman"/>
          <w:szCs w:val="28"/>
        </w:rPr>
        <w:t>000</w:t>
      </w:r>
      <w:r w:rsidRPr="00CC5A54">
        <w:rPr>
          <w:rFonts w:cs="Times New Roman" w:hint="eastAsia"/>
          <w:szCs w:val="28"/>
        </w:rPr>
        <w:t>名表現優秀的副學位畢業生升讀資助銜接學位課程。</w:t>
      </w:r>
      <w:r w:rsidRPr="00CC5A54">
        <w:rPr>
          <w:rFonts w:cs="Times New Roman"/>
          <w:szCs w:val="28"/>
        </w:rPr>
        <w:t>2017/18</w:t>
      </w:r>
      <w:r w:rsidRPr="00CC5A54">
        <w:rPr>
          <w:rFonts w:cs="Times New Roman" w:hint="eastAsia"/>
          <w:szCs w:val="28"/>
        </w:rPr>
        <w:t>學年，教資會資助大學合共提供約</w:t>
      </w:r>
      <w:r w:rsidRPr="00CC5A54">
        <w:rPr>
          <w:rFonts w:cs="Times New Roman"/>
          <w:szCs w:val="28"/>
        </w:rPr>
        <w:t>73</w:t>
      </w:r>
      <w:r w:rsidR="00FF6B99">
        <w:rPr>
          <w:rFonts w:cs="Times New Roman"/>
          <w:szCs w:val="28"/>
        </w:rPr>
        <w:t> </w:t>
      </w:r>
      <w:r w:rsidRPr="00CC5A54">
        <w:rPr>
          <w:rFonts w:cs="Times New Roman"/>
          <w:szCs w:val="28"/>
        </w:rPr>
        <w:t>200</w:t>
      </w:r>
      <w:r w:rsidRPr="00CC5A54">
        <w:rPr>
          <w:rFonts w:cs="Times New Roman" w:hint="eastAsia"/>
          <w:szCs w:val="28"/>
        </w:rPr>
        <w:t>個學士學位課程學額，</w:t>
      </w:r>
      <w:r w:rsidRPr="00CC5A54">
        <w:rPr>
          <w:rFonts w:cs="Times New Roman"/>
          <w:szCs w:val="28"/>
        </w:rPr>
        <w:t>7</w:t>
      </w:r>
      <w:r w:rsidR="003B302B">
        <w:rPr>
          <w:rFonts w:cs="Times New Roman"/>
          <w:szCs w:val="28"/>
        </w:rPr>
        <w:t> </w:t>
      </w:r>
      <w:r w:rsidRPr="00CC5A54">
        <w:rPr>
          <w:rFonts w:cs="Times New Roman"/>
          <w:szCs w:val="28"/>
        </w:rPr>
        <w:t>400</w:t>
      </w:r>
      <w:r w:rsidRPr="00CC5A54">
        <w:rPr>
          <w:rFonts w:cs="Times New Roman" w:hint="eastAsia"/>
          <w:szCs w:val="28"/>
        </w:rPr>
        <w:t>個研究院學位課程學額，以及</w:t>
      </w:r>
      <w:r w:rsidRPr="00CC5A54">
        <w:rPr>
          <w:rFonts w:cs="Times New Roman"/>
          <w:szCs w:val="28"/>
        </w:rPr>
        <w:t>3</w:t>
      </w:r>
      <w:r w:rsidR="00FF6B99">
        <w:rPr>
          <w:rFonts w:cs="Times New Roman"/>
          <w:szCs w:val="28"/>
        </w:rPr>
        <w:t> </w:t>
      </w:r>
      <w:r w:rsidRPr="00CC5A54">
        <w:rPr>
          <w:rFonts w:cs="Times New Roman"/>
          <w:szCs w:val="28"/>
        </w:rPr>
        <w:t>400</w:t>
      </w:r>
      <w:r w:rsidRPr="00CC5A54">
        <w:rPr>
          <w:rFonts w:cs="Times New Roman" w:hint="eastAsia"/>
          <w:szCs w:val="28"/>
        </w:rPr>
        <w:t>個副學位課程學額（按相當於全日制課程的學額計算）。</w:t>
      </w:r>
    </w:p>
    <w:p w:rsidR="00DE54D6" w:rsidRDefault="00DE54D6" w:rsidP="00DE54D6">
      <w:pPr>
        <w:snapToGrid w:val="0"/>
        <w:spacing w:line="400" w:lineRule="atLeast"/>
        <w:jc w:val="both"/>
        <w:rPr>
          <w:rFonts w:cs="Times New Roman"/>
          <w:szCs w:val="28"/>
        </w:rPr>
      </w:pPr>
    </w:p>
    <w:p w:rsidR="00DE54D6" w:rsidRPr="00CC5A54" w:rsidRDefault="00DE54D6" w:rsidP="00DE54D6">
      <w:pPr>
        <w:widowControl/>
        <w:tabs>
          <w:tab w:val="left" w:pos="1440"/>
        </w:tabs>
        <w:adjustRightInd w:val="0"/>
        <w:snapToGrid w:val="0"/>
        <w:spacing w:line="400" w:lineRule="atLeast"/>
        <w:jc w:val="both"/>
      </w:pPr>
      <w:r>
        <w:rPr>
          <w:rFonts w:cs="Times New Roman"/>
          <w:szCs w:val="28"/>
        </w:rPr>
        <w:t>1</w:t>
      </w:r>
      <w:r>
        <w:rPr>
          <w:rFonts w:cs="Times New Roman" w:hint="eastAsia"/>
          <w:szCs w:val="28"/>
        </w:rPr>
        <w:t>6.</w:t>
      </w:r>
      <w:r>
        <w:rPr>
          <w:rFonts w:cs="Times New Roman"/>
          <w:szCs w:val="28"/>
        </w:rPr>
        <w:tab/>
      </w:r>
      <w:r w:rsidRPr="00CC5A54">
        <w:rPr>
          <w:rFonts w:cs="Times New Roman" w:hint="eastAsia"/>
          <w:szCs w:val="28"/>
        </w:rPr>
        <w:t>自資界別近年來穩步發展，在提供高等教育方面角色越來越重要。現時，自資界別合共提供約</w:t>
      </w:r>
      <w:r w:rsidRPr="00CC5A54">
        <w:rPr>
          <w:rFonts w:cs="Times New Roman"/>
          <w:szCs w:val="28"/>
        </w:rPr>
        <w:t>9</w:t>
      </w:r>
      <w:r>
        <w:rPr>
          <w:rFonts w:cs="Times New Roman"/>
          <w:szCs w:val="28"/>
        </w:rPr>
        <w:t> </w:t>
      </w:r>
      <w:r w:rsidRPr="00CC5A54">
        <w:rPr>
          <w:rFonts w:cs="Times New Roman"/>
          <w:szCs w:val="28"/>
        </w:rPr>
        <w:t>000</w:t>
      </w:r>
      <w:r w:rsidRPr="00CC5A54">
        <w:rPr>
          <w:rFonts w:cs="Times New Roman" w:hint="eastAsia"/>
          <w:szCs w:val="28"/>
        </w:rPr>
        <w:t>個一年級學士學位課程學額及約</w:t>
      </w:r>
      <w:r w:rsidRPr="00CC5A54">
        <w:rPr>
          <w:rFonts w:cs="Times New Roman"/>
          <w:szCs w:val="28"/>
        </w:rPr>
        <w:t>10</w:t>
      </w:r>
      <w:r>
        <w:rPr>
          <w:rFonts w:cs="Times New Roman"/>
          <w:szCs w:val="28"/>
        </w:rPr>
        <w:t> </w:t>
      </w:r>
      <w:r w:rsidRPr="00CC5A54">
        <w:rPr>
          <w:rFonts w:cs="Times New Roman"/>
          <w:szCs w:val="28"/>
        </w:rPr>
        <w:t>000</w:t>
      </w:r>
      <w:r w:rsidRPr="00CC5A54">
        <w:rPr>
          <w:rFonts w:cs="Times New Roman" w:hint="eastAsia"/>
          <w:szCs w:val="28"/>
        </w:rPr>
        <w:t>個銜接課程學額。</w:t>
      </w:r>
    </w:p>
    <w:p w:rsidR="00DE54D6" w:rsidRDefault="00DE54D6" w:rsidP="00DE54D6">
      <w:pPr>
        <w:snapToGrid w:val="0"/>
        <w:spacing w:line="400" w:lineRule="atLeast"/>
        <w:jc w:val="both"/>
      </w:pPr>
    </w:p>
    <w:p w:rsidR="00DE54D6" w:rsidRPr="00792F2B" w:rsidRDefault="00DE54D6" w:rsidP="00DE54D6">
      <w:pPr>
        <w:widowControl/>
        <w:tabs>
          <w:tab w:val="left" w:pos="1440"/>
        </w:tabs>
        <w:adjustRightInd w:val="0"/>
        <w:snapToGrid w:val="0"/>
        <w:spacing w:line="400" w:lineRule="atLeast"/>
        <w:jc w:val="both"/>
        <w:rPr>
          <w:spacing w:val="-2"/>
        </w:rPr>
      </w:pPr>
      <w:r>
        <w:rPr>
          <w:rFonts w:cs="Times New Roman"/>
          <w:szCs w:val="28"/>
        </w:rPr>
        <w:t>1</w:t>
      </w:r>
      <w:r>
        <w:rPr>
          <w:rFonts w:cs="Times New Roman" w:hint="eastAsia"/>
          <w:szCs w:val="28"/>
        </w:rPr>
        <w:t>7.</w:t>
      </w:r>
      <w:r>
        <w:rPr>
          <w:rFonts w:cs="Times New Roman"/>
          <w:szCs w:val="28"/>
        </w:rPr>
        <w:tab/>
      </w:r>
      <w:r w:rsidRPr="00792F2B">
        <w:rPr>
          <w:rFonts w:cs="Times New Roman" w:hint="eastAsia"/>
          <w:spacing w:val="-2"/>
          <w:szCs w:val="28"/>
        </w:rPr>
        <w:t>在</w:t>
      </w:r>
      <w:r w:rsidRPr="00792F2B">
        <w:rPr>
          <w:rFonts w:cs="Times New Roman"/>
          <w:spacing w:val="-2"/>
          <w:szCs w:val="28"/>
        </w:rPr>
        <w:t>18</w:t>
      </w:r>
      <w:r w:rsidRPr="00792F2B">
        <w:rPr>
          <w:rFonts w:cs="Times New Roman" w:hint="eastAsia"/>
          <w:spacing w:val="-2"/>
          <w:szCs w:val="28"/>
        </w:rPr>
        <w:t>至</w:t>
      </w:r>
      <w:r w:rsidRPr="00792F2B">
        <w:rPr>
          <w:rFonts w:cs="Times New Roman"/>
          <w:spacing w:val="-2"/>
          <w:szCs w:val="28"/>
        </w:rPr>
        <w:t>22</w:t>
      </w:r>
      <w:r w:rsidRPr="00792F2B">
        <w:rPr>
          <w:rFonts w:cs="Times New Roman" w:hint="eastAsia"/>
          <w:spacing w:val="-2"/>
          <w:szCs w:val="28"/>
        </w:rPr>
        <w:t>歲年齡組別的學生中，有機會修讀學位課程的百分比從</w:t>
      </w:r>
      <w:r w:rsidRPr="00792F2B">
        <w:rPr>
          <w:rFonts w:cs="Times New Roman"/>
          <w:spacing w:val="-2"/>
          <w:szCs w:val="28"/>
        </w:rPr>
        <w:t>1997/98</w:t>
      </w:r>
      <w:r w:rsidRPr="00792F2B">
        <w:rPr>
          <w:rFonts w:cs="Times New Roman" w:hint="eastAsia"/>
          <w:spacing w:val="-2"/>
          <w:szCs w:val="28"/>
        </w:rPr>
        <w:t>年的約</w:t>
      </w:r>
      <w:r w:rsidRPr="00792F2B">
        <w:rPr>
          <w:rFonts w:cs="Times New Roman"/>
          <w:spacing w:val="-2"/>
          <w:szCs w:val="28"/>
        </w:rPr>
        <w:t>18%</w:t>
      </w:r>
      <w:r w:rsidRPr="00792F2B">
        <w:rPr>
          <w:rFonts w:cs="Times New Roman" w:hint="eastAsia"/>
          <w:spacing w:val="-2"/>
          <w:szCs w:val="28"/>
        </w:rPr>
        <w:t>增加至</w:t>
      </w:r>
      <w:r w:rsidRPr="00792F2B">
        <w:rPr>
          <w:rFonts w:cs="Times New Roman"/>
          <w:spacing w:val="-2"/>
          <w:szCs w:val="28"/>
        </w:rPr>
        <w:t>2017/18</w:t>
      </w:r>
      <w:r w:rsidRPr="00792F2B">
        <w:rPr>
          <w:rFonts w:cs="Times New Roman" w:hint="eastAsia"/>
          <w:spacing w:val="-2"/>
          <w:szCs w:val="28"/>
        </w:rPr>
        <w:t>年約</w:t>
      </w:r>
      <w:r w:rsidRPr="00792F2B">
        <w:rPr>
          <w:rFonts w:cs="Times New Roman"/>
          <w:spacing w:val="-2"/>
          <w:szCs w:val="28"/>
        </w:rPr>
        <w:t>48%</w:t>
      </w:r>
      <w:r w:rsidRPr="00792F2B">
        <w:rPr>
          <w:rFonts w:cs="Times New Roman" w:hint="eastAsia"/>
          <w:spacing w:val="-2"/>
          <w:szCs w:val="28"/>
        </w:rPr>
        <w:t>。</w:t>
      </w:r>
    </w:p>
    <w:p w:rsidR="00DE54D6" w:rsidRDefault="00DE54D6" w:rsidP="00DE54D6">
      <w:pPr>
        <w:snapToGrid w:val="0"/>
        <w:spacing w:line="400" w:lineRule="atLeast"/>
        <w:jc w:val="both"/>
      </w:pPr>
    </w:p>
    <w:p w:rsidR="00DE54D6" w:rsidRPr="00CC5A54" w:rsidRDefault="00DE54D6" w:rsidP="00DE54D6">
      <w:pPr>
        <w:widowControl/>
        <w:tabs>
          <w:tab w:val="left" w:pos="1440"/>
        </w:tabs>
        <w:adjustRightInd w:val="0"/>
        <w:snapToGrid w:val="0"/>
        <w:spacing w:line="400" w:lineRule="atLeast"/>
        <w:jc w:val="both"/>
      </w:pPr>
      <w:r>
        <w:rPr>
          <w:rFonts w:cs="Times New Roman"/>
          <w:szCs w:val="28"/>
        </w:rPr>
        <w:t>1</w:t>
      </w:r>
      <w:r>
        <w:rPr>
          <w:rFonts w:cs="Times New Roman" w:hint="eastAsia"/>
          <w:szCs w:val="28"/>
        </w:rPr>
        <w:t>8.</w:t>
      </w:r>
      <w:r>
        <w:rPr>
          <w:rFonts w:cs="Times New Roman"/>
          <w:szCs w:val="28"/>
        </w:rPr>
        <w:tab/>
      </w:r>
      <w:r w:rsidRPr="00CC5A54">
        <w:rPr>
          <w:rFonts w:cs="Times New Roman" w:hint="eastAsia"/>
          <w:szCs w:val="28"/>
        </w:rPr>
        <w:t>如上一次報告第</w:t>
      </w:r>
      <w:r w:rsidRPr="00CC5A54">
        <w:rPr>
          <w:rFonts w:cs="Times New Roman"/>
          <w:szCs w:val="28"/>
        </w:rPr>
        <w:t>13.32</w:t>
      </w:r>
      <w:r w:rsidRPr="00CC5A54">
        <w:rPr>
          <w:rFonts w:cs="Times New Roman" w:hint="eastAsia"/>
          <w:szCs w:val="28"/>
        </w:rPr>
        <w:t>段指出，政策是確保沒有學生因經濟困難而未能接受教育。在</w:t>
      </w:r>
      <w:r w:rsidRPr="00CC5A54">
        <w:rPr>
          <w:rFonts w:cs="Times New Roman"/>
          <w:szCs w:val="28"/>
        </w:rPr>
        <w:t>2017/18</w:t>
      </w:r>
      <w:r w:rsidRPr="00CC5A54">
        <w:rPr>
          <w:rFonts w:cs="Times New Roman" w:hint="eastAsia"/>
          <w:szCs w:val="28"/>
        </w:rPr>
        <w:t>學年修讀專上和持續進修課程的學生提供了約</w:t>
      </w:r>
      <w:r w:rsidRPr="00CC5A54">
        <w:rPr>
          <w:rFonts w:cs="Times New Roman"/>
          <w:szCs w:val="28"/>
        </w:rPr>
        <w:t>38</w:t>
      </w:r>
      <w:r w:rsidRPr="00CC5A54">
        <w:rPr>
          <w:rFonts w:cs="Times New Roman" w:hint="eastAsia"/>
          <w:szCs w:val="28"/>
        </w:rPr>
        <w:t>億元的資助，約</w:t>
      </w:r>
      <w:r w:rsidRPr="00CC5A54">
        <w:rPr>
          <w:rFonts w:cs="Times New Roman"/>
          <w:szCs w:val="28"/>
        </w:rPr>
        <w:t>68</w:t>
      </w:r>
      <w:r w:rsidR="00792F2B">
        <w:rPr>
          <w:rFonts w:cs="Times New Roman"/>
          <w:szCs w:val="28"/>
        </w:rPr>
        <w:t> </w:t>
      </w:r>
      <w:r w:rsidRPr="00CC5A54">
        <w:rPr>
          <w:rFonts w:cs="Times New Roman"/>
          <w:szCs w:val="28"/>
        </w:rPr>
        <w:t>300</w:t>
      </w:r>
      <w:r w:rsidRPr="00CC5A54">
        <w:rPr>
          <w:rFonts w:cs="Times New Roman" w:hint="eastAsia"/>
          <w:szCs w:val="28"/>
        </w:rPr>
        <w:t>名學</w:t>
      </w:r>
      <w:r w:rsidRPr="00DC7A99">
        <w:rPr>
          <w:rFonts w:cs="Times New Roman" w:hint="eastAsia"/>
          <w:szCs w:val="28"/>
        </w:rPr>
        <w:t>生或</w:t>
      </w:r>
      <w:r w:rsidRPr="00DC7A99">
        <w:rPr>
          <w:rFonts w:cs="Times New Roman"/>
          <w:szCs w:val="28"/>
        </w:rPr>
        <w:t>39%</w:t>
      </w:r>
      <w:r w:rsidRPr="00DC7A99">
        <w:rPr>
          <w:rFonts w:cs="Times New Roman" w:hint="eastAsia"/>
          <w:szCs w:val="28"/>
        </w:rPr>
        <w:t>專上學生接受了資助。我們會繼續推行各項資助計劃，詳情見</w:t>
      </w:r>
      <w:r w:rsidRPr="00E05AD9">
        <w:rPr>
          <w:rFonts w:cs="Times New Roman" w:hint="eastAsia"/>
          <w:b/>
          <w:szCs w:val="28"/>
        </w:rPr>
        <w:t>附</w:t>
      </w:r>
      <w:r w:rsidRPr="00E05AD9">
        <w:rPr>
          <w:rFonts w:cs="Times New Roman" w:hint="eastAsia"/>
          <w:b/>
          <w:szCs w:val="28"/>
          <w:lang w:eastAsia="zh-HK"/>
        </w:rPr>
        <w:t>錄</w:t>
      </w:r>
      <w:r w:rsidRPr="00CC5A54">
        <w:rPr>
          <w:rFonts w:cs="Times New Roman" w:hint="eastAsia"/>
          <w:szCs w:val="28"/>
        </w:rPr>
        <w:t>。</w:t>
      </w:r>
    </w:p>
    <w:p w:rsidR="00DE54D6" w:rsidRDefault="00DE54D6" w:rsidP="00DE54D6">
      <w:pPr>
        <w:snapToGrid w:val="0"/>
        <w:spacing w:line="400" w:lineRule="atLeast"/>
        <w:jc w:val="both"/>
      </w:pPr>
    </w:p>
    <w:p w:rsidR="00DE54D6" w:rsidRDefault="00DE54D6" w:rsidP="00DE54D6">
      <w:pPr>
        <w:widowControl/>
        <w:tabs>
          <w:tab w:val="left" w:pos="1440"/>
        </w:tabs>
        <w:adjustRightInd w:val="0"/>
        <w:snapToGrid w:val="0"/>
        <w:spacing w:line="400" w:lineRule="atLeast"/>
        <w:jc w:val="both"/>
        <w:rPr>
          <w:rFonts w:cs="Times New Roman"/>
          <w:szCs w:val="28"/>
        </w:rPr>
      </w:pPr>
      <w:r>
        <w:rPr>
          <w:rFonts w:cs="Times New Roman"/>
          <w:szCs w:val="28"/>
        </w:rPr>
        <w:t>1</w:t>
      </w:r>
      <w:r>
        <w:rPr>
          <w:rFonts w:cs="Times New Roman" w:hint="eastAsia"/>
          <w:szCs w:val="28"/>
        </w:rPr>
        <w:t>9.</w:t>
      </w:r>
      <w:r>
        <w:rPr>
          <w:rFonts w:cs="Times New Roman"/>
          <w:szCs w:val="28"/>
        </w:rPr>
        <w:tab/>
      </w:r>
      <w:r w:rsidRPr="00CC5A54">
        <w:rPr>
          <w:rFonts w:cs="Times New Roman" w:hint="eastAsia"/>
          <w:szCs w:val="28"/>
        </w:rPr>
        <w:t>自</w:t>
      </w:r>
      <w:r w:rsidRPr="00CC5A54">
        <w:rPr>
          <w:rFonts w:cs="Times New Roman"/>
          <w:szCs w:val="28"/>
        </w:rPr>
        <w:t>1997/98</w:t>
      </w:r>
      <w:r w:rsidRPr="00CC5A54">
        <w:rPr>
          <w:rFonts w:cs="Times New Roman" w:hint="eastAsia"/>
          <w:szCs w:val="28"/>
        </w:rPr>
        <w:t>學年起，教資會資助大學一直凍結學士學位及以上程度課程的學費。因此，學費水平與第一次報告第</w:t>
      </w:r>
      <w:r w:rsidRPr="00CC5A54">
        <w:rPr>
          <w:rFonts w:cs="Times New Roman"/>
          <w:szCs w:val="28"/>
        </w:rPr>
        <w:t>531</w:t>
      </w:r>
      <w:r w:rsidRPr="00CC5A54">
        <w:rPr>
          <w:rFonts w:cs="Times New Roman" w:hint="eastAsia"/>
          <w:szCs w:val="28"/>
        </w:rPr>
        <w:t>段所述相同。</w:t>
      </w:r>
    </w:p>
    <w:p w:rsidR="00DE54D6" w:rsidRDefault="00DE54D6" w:rsidP="00DE54D6">
      <w:pPr>
        <w:snapToGrid w:val="0"/>
        <w:spacing w:line="400" w:lineRule="atLeast"/>
        <w:jc w:val="both"/>
        <w:rPr>
          <w:rFonts w:cs="Times New Roman"/>
          <w:szCs w:val="28"/>
        </w:rPr>
      </w:pPr>
    </w:p>
    <w:p w:rsidR="00DE54D6" w:rsidRPr="00CC5A54" w:rsidRDefault="00DE54D6" w:rsidP="00DE54D6">
      <w:pPr>
        <w:widowControl/>
        <w:tabs>
          <w:tab w:val="left" w:pos="1440"/>
        </w:tabs>
        <w:adjustRightInd w:val="0"/>
        <w:snapToGrid w:val="0"/>
        <w:spacing w:line="400" w:lineRule="atLeast"/>
        <w:jc w:val="both"/>
      </w:pPr>
      <w:r>
        <w:rPr>
          <w:rFonts w:cs="Times New Roman" w:hint="eastAsia"/>
          <w:szCs w:val="28"/>
        </w:rPr>
        <w:t>20.</w:t>
      </w:r>
      <w:r>
        <w:rPr>
          <w:rFonts w:cs="Times New Roman"/>
          <w:szCs w:val="28"/>
        </w:rPr>
        <w:tab/>
      </w:r>
      <w:r w:rsidRPr="00CC5A54">
        <w:rPr>
          <w:rFonts w:cs="Times New Roman" w:hint="eastAsia"/>
          <w:szCs w:val="28"/>
        </w:rPr>
        <w:t>有評論認為政府提供的學生資助不足，申請條件嚴格。在</w:t>
      </w:r>
      <w:r w:rsidRPr="00CC5A54">
        <w:rPr>
          <w:rFonts w:cs="Times New Roman"/>
          <w:szCs w:val="28"/>
        </w:rPr>
        <w:t>2017/18</w:t>
      </w:r>
      <w:r w:rsidRPr="00CC5A54">
        <w:rPr>
          <w:rFonts w:cs="Times New Roman" w:hint="eastAsia"/>
          <w:szCs w:val="28"/>
        </w:rPr>
        <w:t>年，在職家庭及學生資助事務處轄下的學生資助處為學前至專上程度的學生提供了約</w:t>
      </w:r>
      <w:r w:rsidRPr="00CC5A54">
        <w:rPr>
          <w:rFonts w:cs="Times New Roman"/>
          <w:szCs w:val="28"/>
        </w:rPr>
        <w:t>40</w:t>
      </w:r>
      <w:r w:rsidRPr="00CC5A54">
        <w:rPr>
          <w:rFonts w:cs="Times New Roman" w:hint="eastAsia"/>
          <w:szCs w:val="28"/>
        </w:rPr>
        <w:t>億元須經入息審查的資助和為修讀專上和持續進修課程的學生提供了約</w:t>
      </w:r>
      <w:r w:rsidRPr="00CC5A54">
        <w:rPr>
          <w:rFonts w:cs="Times New Roman"/>
          <w:szCs w:val="28"/>
        </w:rPr>
        <w:t>15</w:t>
      </w:r>
      <w:r w:rsidRPr="00CC5A54">
        <w:rPr>
          <w:rFonts w:cs="Times New Roman" w:hint="eastAsia"/>
          <w:szCs w:val="28"/>
        </w:rPr>
        <w:t>億</w:t>
      </w:r>
      <w:r w:rsidRPr="00CC5A54">
        <w:rPr>
          <w:rFonts w:cs="Times New Roman"/>
          <w:szCs w:val="28"/>
        </w:rPr>
        <w:t>6,000</w:t>
      </w:r>
      <w:r w:rsidRPr="00CC5A54">
        <w:rPr>
          <w:rFonts w:cs="Times New Roman" w:hint="eastAsia"/>
          <w:szCs w:val="28"/>
        </w:rPr>
        <w:t>萬元的免入息審查貸款。我們認為入息審查機制大致運作良好，能為有需要的學生提供合適的資助。</w:t>
      </w:r>
    </w:p>
    <w:p w:rsidR="00DE54D6" w:rsidRDefault="00DE54D6" w:rsidP="00DE54D6">
      <w:pPr>
        <w:snapToGrid w:val="0"/>
        <w:spacing w:line="400" w:lineRule="atLeast"/>
        <w:jc w:val="both"/>
      </w:pPr>
    </w:p>
    <w:p w:rsidR="00DE54D6" w:rsidRPr="00E05AD9" w:rsidRDefault="00DE54D6" w:rsidP="00DE54D6">
      <w:pPr>
        <w:snapToGrid w:val="0"/>
        <w:spacing w:line="400" w:lineRule="atLeast"/>
        <w:jc w:val="both"/>
        <w:rPr>
          <w:u w:val="single"/>
        </w:rPr>
      </w:pPr>
      <w:r w:rsidRPr="00E05AD9">
        <w:rPr>
          <w:rFonts w:hint="eastAsia"/>
          <w:szCs w:val="28"/>
          <w:u w:val="single"/>
        </w:rPr>
        <w:t>成人教育</w:t>
      </w:r>
    </w:p>
    <w:p w:rsidR="00DE54D6" w:rsidRDefault="00DE54D6" w:rsidP="00DE54D6">
      <w:pPr>
        <w:snapToGrid w:val="0"/>
        <w:spacing w:line="400" w:lineRule="atLeast"/>
        <w:jc w:val="both"/>
      </w:pPr>
    </w:p>
    <w:p w:rsidR="00DE54D6" w:rsidRPr="00CC5A54" w:rsidRDefault="00DE54D6" w:rsidP="00DE54D6">
      <w:pPr>
        <w:widowControl/>
        <w:tabs>
          <w:tab w:val="left" w:pos="1440"/>
        </w:tabs>
        <w:adjustRightInd w:val="0"/>
        <w:snapToGrid w:val="0"/>
        <w:spacing w:line="400" w:lineRule="atLeast"/>
        <w:jc w:val="both"/>
      </w:pPr>
      <w:r>
        <w:rPr>
          <w:rFonts w:cs="Times New Roman"/>
          <w:szCs w:val="28"/>
        </w:rPr>
        <w:t>2</w:t>
      </w:r>
      <w:r>
        <w:rPr>
          <w:rFonts w:cs="Times New Roman" w:hint="eastAsia"/>
          <w:szCs w:val="28"/>
        </w:rPr>
        <w:t>1.</w:t>
      </w:r>
      <w:r>
        <w:rPr>
          <w:rFonts w:cs="Times New Roman"/>
          <w:szCs w:val="28"/>
        </w:rPr>
        <w:tab/>
      </w:r>
      <w:r w:rsidRPr="00CC5A54">
        <w:rPr>
          <w:rFonts w:cs="Times New Roman" w:hint="eastAsia"/>
          <w:szCs w:val="28"/>
        </w:rPr>
        <w:t>情況與上一次報告第</w:t>
      </w:r>
      <w:r w:rsidRPr="00CC5A54">
        <w:rPr>
          <w:rFonts w:cs="Times New Roman"/>
          <w:szCs w:val="28"/>
        </w:rPr>
        <w:t>13.35</w:t>
      </w:r>
      <w:r w:rsidRPr="00CC5A54">
        <w:rPr>
          <w:rFonts w:cs="Times New Roman" w:hint="eastAsia"/>
          <w:szCs w:val="28"/>
        </w:rPr>
        <w:t>段所述的相同。在</w:t>
      </w:r>
      <w:r w:rsidRPr="00CC5A54">
        <w:rPr>
          <w:rFonts w:cs="Times New Roman"/>
          <w:szCs w:val="28"/>
        </w:rPr>
        <w:t>2017/18</w:t>
      </w:r>
      <w:r w:rsidRPr="00CC5A54">
        <w:rPr>
          <w:rFonts w:cs="Times New Roman" w:hint="eastAsia"/>
          <w:szCs w:val="28"/>
        </w:rPr>
        <w:t>學年，有</w:t>
      </w:r>
      <w:r w:rsidRPr="00CC5A54">
        <w:rPr>
          <w:rFonts w:cs="Times New Roman"/>
          <w:szCs w:val="28"/>
        </w:rPr>
        <w:t>1</w:t>
      </w:r>
      <w:r w:rsidR="00792F2B">
        <w:rPr>
          <w:rFonts w:cs="Times New Roman"/>
          <w:szCs w:val="28"/>
        </w:rPr>
        <w:t> </w:t>
      </w:r>
      <w:r w:rsidRPr="00CC5A54">
        <w:rPr>
          <w:rFonts w:cs="Times New Roman"/>
          <w:szCs w:val="28"/>
        </w:rPr>
        <w:t>178</w:t>
      </w:r>
      <w:r w:rsidRPr="00CC5A54">
        <w:rPr>
          <w:rFonts w:cs="Times New Roman" w:hint="eastAsia"/>
          <w:szCs w:val="28"/>
        </w:rPr>
        <w:t>名成年進修人士修讀計劃下的夜間中學課程。</w:t>
      </w:r>
    </w:p>
    <w:p w:rsidR="00DE54D6" w:rsidRDefault="00DE54D6" w:rsidP="00DE54D6">
      <w:pPr>
        <w:snapToGrid w:val="0"/>
        <w:spacing w:line="400" w:lineRule="atLeast"/>
        <w:jc w:val="both"/>
      </w:pPr>
    </w:p>
    <w:p w:rsidR="00DE54D6" w:rsidRPr="00CC5A54" w:rsidRDefault="00DE54D6" w:rsidP="00DE54D6">
      <w:pPr>
        <w:widowControl/>
        <w:tabs>
          <w:tab w:val="left" w:pos="1440"/>
        </w:tabs>
        <w:adjustRightInd w:val="0"/>
        <w:snapToGrid w:val="0"/>
        <w:spacing w:line="400" w:lineRule="atLeast"/>
        <w:jc w:val="both"/>
      </w:pPr>
      <w:r>
        <w:rPr>
          <w:rFonts w:cs="Times New Roman"/>
          <w:szCs w:val="28"/>
        </w:rPr>
        <w:lastRenderedPageBreak/>
        <w:t>2</w:t>
      </w:r>
      <w:r>
        <w:rPr>
          <w:rFonts w:cs="Times New Roman" w:hint="eastAsia"/>
          <w:szCs w:val="28"/>
        </w:rPr>
        <w:t>2.</w:t>
      </w:r>
      <w:r>
        <w:rPr>
          <w:rFonts w:cs="Times New Roman"/>
          <w:szCs w:val="28"/>
        </w:rPr>
        <w:tab/>
      </w:r>
      <w:r w:rsidRPr="00CC5A54">
        <w:rPr>
          <w:rFonts w:cs="Times New Roman" w:hint="eastAsia"/>
          <w:szCs w:val="28"/>
        </w:rPr>
        <w:t>情況與上一次報告第</w:t>
      </w:r>
      <w:r w:rsidRPr="00CC5A54">
        <w:rPr>
          <w:rFonts w:cs="Times New Roman"/>
          <w:szCs w:val="28"/>
        </w:rPr>
        <w:t>13.36</w:t>
      </w:r>
      <w:r w:rsidRPr="00CC5A54">
        <w:rPr>
          <w:rFonts w:cs="Times New Roman" w:hint="eastAsia"/>
          <w:szCs w:val="28"/>
        </w:rPr>
        <w:t>段所述的相同。在</w:t>
      </w:r>
      <w:r w:rsidRPr="00CC5A54">
        <w:rPr>
          <w:rFonts w:cs="Times New Roman"/>
          <w:szCs w:val="28"/>
        </w:rPr>
        <w:t>2018/19</w:t>
      </w:r>
      <w:r w:rsidRPr="00CC5A54">
        <w:rPr>
          <w:rFonts w:cs="Times New Roman" w:hint="eastAsia"/>
          <w:szCs w:val="28"/>
        </w:rPr>
        <w:t>學年，公開大學提供超過</w:t>
      </w:r>
      <w:r w:rsidRPr="00CC5A54">
        <w:rPr>
          <w:rFonts w:cs="Times New Roman"/>
          <w:szCs w:val="28"/>
        </w:rPr>
        <w:t>160</w:t>
      </w:r>
      <w:r w:rsidRPr="00CC5A54">
        <w:rPr>
          <w:rFonts w:cs="Times New Roman" w:hint="eastAsia"/>
          <w:szCs w:val="28"/>
        </w:rPr>
        <w:t>個不同程度的遙距課程予約</w:t>
      </w:r>
      <w:r w:rsidRPr="00CC5A54">
        <w:rPr>
          <w:rFonts w:cs="Times New Roman"/>
          <w:szCs w:val="28"/>
        </w:rPr>
        <w:t>9</w:t>
      </w:r>
      <w:r w:rsidR="00611795">
        <w:rPr>
          <w:rFonts w:cs="Times New Roman"/>
          <w:szCs w:val="28"/>
        </w:rPr>
        <w:t> </w:t>
      </w:r>
      <w:r w:rsidRPr="00CC5A54">
        <w:rPr>
          <w:rFonts w:cs="Times New Roman"/>
          <w:szCs w:val="28"/>
        </w:rPr>
        <w:t>000</w:t>
      </w:r>
      <w:r w:rsidRPr="00CC5A54">
        <w:rPr>
          <w:rFonts w:cs="Times New Roman" w:hint="eastAsia"/>
          <w:szCs w:val="28"/>
        </w:rPr>
        <w:t>名學生，及大約</w:t>
      </w:r>
      <w:r w:rsidRPr="00CC5A54">
        <w:rPr>
          <w:rFonts w:cs="Times New Roman"/>
          <w:szCs w:val="28"/>
        </w:rPr>
        <w:t>80</w:t>
      </w:r>
      <w:r w:rsidRPr="00CC5A54">
        <w:rPr>
          <w:rFonts w:cs="Times New Roman" w:hint="eastAsia"/>
          <w:szCs w:val="28"/>
        </w:rPr>
        <w:t>個副學位至研究生課程予超過</w:t>
      </w:r>
      <w:r w:rsidRPr="00CC5A54">
        <w:rPr>
          <w:rFonts w:cs="Times New Roman"/>
          <w:szCs w:val="28"/>
        </w:rPr>
        <w:t>10</w:t>
      </w:r>
      <w:r w:rsidR="00611795">
        <w:rPr>
          <w:rFonts w:cs="Times New Roman"/>
          <w:szCs w:val="28"/>
        </w:rPr>
        <w:t> </w:t>
      </w:r>
      <w:r w:rsidRPr="00CC5A54">
        <w:rPr>
          <w:rFonts w:cs="Times New Roman"/>
          <w:szCs w:val="28"/>
        </w:rPr>
        <w:t>000</w:t>
      </w:r>
      <w:r w:rsidRPr="00CC5A54">
        <w:rPr>
          <w:rFonts w:cs="Times New Roman" w:hint="eastAsia"/>
          <w:szCs w:val="28"/>
        </w:rPr>
        <w:t>名全日制學生。公開大學李嘉誠專業進修學院在同一學年亦開辦了</w:t>
      </w:r>
      <w:r w:rsidRPr="00CC5A54">
        <w:rPr>
          <w:rFonts w:cs="Times New Roman"/>
          <w:szCs w:val="28"/>
        </w:rPr>
        <w:t>165</w:t>
      </w:r>
      <w:r w:rsidRPr="00CC5A54">
        <w:rPr>
          <w:rFonts w:cs="Times New Roman" w:hint="eastAsia"/>
          <w:szCs w:val="28"/>
        </w:rPr>
        <w:t>個短期及專業課程，收生人數超過</w:t>
      </w:r>
      <w:r w:rsidRPr="00CC5A54">
        <w:rPr>
          <w:rFonts w:cs="Times New Roman"/>
          <w:szCs w:val="28"/>
        </w:rPr>
        <w:t>3</w:t>
      </w:r>
      <w:r w:rsidR="00611795">
        <w:rPr>
          <w:rFonts w:cs="Times New Roman"/>
          <w:szCs w:val="28"/>
        </w:rPr>
        <w:t> </w:t>
      </w:r>
      <w:r w:rsidRPr="00CC5A54">
        <w:rPr>
          <w:rFonts w:cs="Times New Roman"/>
          <w:szCs w:val="28"/>
        </w:rPr>
        <w:t>200</w:t>
      </w:r>
      <w:r w:rsidRPr="00CC5A54">
        <w:rPr>
          <w:rFonts w:cs="Times New Roman" w:hint="eastAsia"/>
          <w:szCs w:val="28"/>
        </w:rPr>
        <w:t>人。</w:t>
      </w:r>
    </w:p>
    <w:p w:rsidR="00DE54D6" w:rsidRDefault="00DE54D6" w:rsidP="00DE54D6">
      <w:pPr>
        <w:snapToGrid w:val="0"/>
        <w:spacing w:line="400" w:lineRule="atLeast"/>
        <w:jc w:val="both"/>
      </w:pPr>
    </w:p>
    <w:p w:rsidR="00DE54D6" w:rsidRPr="00CC5A54" w:rsidRDefault="00DE54D6" w:rsidP="00DE54D6">
      <w:pPr>
        <w:widowControl/>
        <w:tabs>
          <w:tab w:val="left" w:pos="1440"/>
        </w:tabs>
        <w:adjustRightInd w:val="0"/>
        <w:snapToGrid w:val="0"/>
        <w:spacing w:line="400" w:lineRule="atLeast"/>
        <w:jc w:val="both"/>
      </w:pPr>
      <w:r>
        <w:rPr>
          <w:rFonts w:cs="Times New Roman"/>
          <w:szCs w:val="28"/>
        </w:rPr>
        <w:t>2</w:t>
      </w:r>
      <w:r>
        <w:rPr>
          <w:rFonts w:cs="Times New Roman" w:hint="eastAsia"/>
          <w:szCs w:val="28"/>
        </w:rPr>
        <w:t>3.</w:t>
      </w:r>
      <w:r>
        <w:rPr>
          <w:rFonts w:cs="Times New Roman"/>
          <w:szCs w:val="28"/>
        </w:rPr>
        <w:tab/>
      </w:r>
      <w:r w:rsidRPr="00CC5A54">
        <w:rPr>
          <w:rFonts w:cs="Times New Roman" w:hint="eastAsia"/>
          <w:szCs w:val="28"/>
        </w:rPr>
        <w:t>政府透過「成人教育資助計劃」資助合資格非政府機構，為</w:t>
      </w:r>
      <w:r w:rsidRPr="00CC5A54">
        <w:rPr>
          <w:rFonts w:cs="Times New Roman" w:hint="eastAsia"/>
          <w:szCs w:val="28"/>
        </w:rPr>
        <w:t>15</w:t>
      </w:r>
      <w:r w:rsidRPr="00CC5A54">
        <w:rPr>
          <w:rFonts w:cs="Times New Roman" w:hint="eastAsia"/>
          <w:szCs w:val="28"/>
        </w:rPr>
        <w:t>歲或以上沒有機會接受正規教育的成年人開辦基本的非正式教育課程，共有</w:t>
      </w:r>
      <w:r w:rsidRPr="00CC5A54">
        <w:rPr>
          <w:rFonts w:cs="Times New Roman" w:hint="eastAsia"/>
          <w:szCs w:val="28"/>
        </w:rPr>
        <w:t>21 575</w:t>
      </w:r>
      <w:r w:rsidRPr="00CC5A54">
        <w:rPr>
          <w:rFonts w:cs="Times New Roman" w:hint="eastAsia"/>
          <w:szCs w:val="28"/>
        </w:rPr>
        <w:t>名人士在</w:t>
      </w:r>
      <w:r w:rsidRPr="00CC5A54">
        <w:rPr>
          <w:rFonts w:cs="Times New Roman" w:hint="eastAsia"/>
          <w:szCs w:val="28"/>
        </w:rPr>
        <w:t>2017/18</w:t>
      </w:r>
      <w:r w:rsidRPr="00CC5A54">
        <w:rPr>
          <w:rFonts w:cs="Times New Roman" w:hint="eastAsia"/>
          <w:szCs w:val="28"/>
        </w:rPr>
        <w:t>學年參加該計劃資助的課程。</w:t>
      </w:r>
    </w:p>
    <w:p w:rsidR="00DE54D6" w:rsidRDefault="00DE54D6" w:rsidP="00DE54D6">
      <w:pPr>
        <w:snapToGrid w:val="0"/>
        <w:spacing w:line="400" w:lineRule="atLeast"/>
        <w:jc w:val="both"/>
      </w:pPr>
    </w:p>
    <w:p w:rsidR="00DE54D6" w:rsidRPr="00E05AD9" w:rsidRDefault="00DE54D6" w:rsidP="00DE54D6">
      <w:pPr>
        <w:widowControl/>
        <w:tabs>
          <w:tab w:val="left" w:pos="1440"/>
        </w:tabs>
        <w:adjustRightInd w:val="0"/>
        <w:snapToGrid w:val="0"/>
        <w:spacing w:line="400" w:lineRule="atLeast"/>
        <w:jc w:val="both"/>
        <w:rPr>
          <w:szCs w:val="28"/>
          <w:u w:val="single"/>
        </w:rPr>
      </w:pPr>
      <w:r w:rsidRPr="00E05AD9">
        <w:rPr>
          <w:rFonts w:hint="eastAsia"/>
          <w:szCs w:val="28"/>
          <w:u w:val="single"/>
        </w:rPr>
        <w:t>優質教育基金</w:t>
      </w:r>
    </w:p>
    <w:p w:rsidR="00DE54D6" w:rsidRDefault="00DE54D6" w:rsidP="00DE54D6">
      <w:pPr>
        <w:widowControl/>
        <w:tabs>
          <w:tab w:val="left" w:pos="1440"/>
        </w:tabs>
        <w:adjustRightInd w:val="0"/>
        <w:snapToGrid w:val="0"/>
        <w:spacing w:line="400" w:lineRule="atLeast"/>
        <w:jc w:val="both"/>
        <w:rPr>
          <w:szCs w:val="28"/>
        </w:rPr>
      </w:pPr>
    </w:p>
    <w:p w:rsidR="00DE54D6" w:rsidRPr="006A3C4D" w:rsidRDefault="00DE54D6" w:rsidP="00DE54D6">
      <w:pPr>
        <w:widowControl/>
        <w:tabs>
          <w:tab w:val="left" w:pos="1440"/>
        </w:tabs>
        <w:adjustRightInd w:val="0"/>
        <w:snapToGrid w:val="0"/>
        <w:spacing w:line="400" w:lineRule="atLeast"/>
        <w:jc w:val="both"/>
        <w:rPr>
          <w:szCs w:val="28"/>
        </w:rPr>
      </w:pPr>
      <w:r>
        <w:rPr>
          <w:rFonts w:hint="eastAsia"/>
          <w:szCs w:val="28"/>
        </w:rPr>
        <w:t>24.</w:t>
      </w:r>
      <w:r>
        <w:rPr>
          <w:szCs w:val="28"/>
        </w:rPr>
        <w:tab/>
      </w:r>
      <w:r w:rsidRPr="001F3B0D">
        <w:rPr>
          <w:spacing w:val="-2"/>
          <w:szCs w:val="28"/>
        </w:rPr>
        <w:t>情況與</w:t>
      </w:r>
      <w:r w:rsidRPr="001F3B0D">
        <w:rPr>
          <w:rFonts w:hint="eastAsia"/>
          <w:spacing w:val="-2"/>
          <w:szCs w:val="28"/>
        </w:rPr>
        <w:t>上次報告第</w:t>
      </w:r>
      <w:r w:rsidRPr="001F3B0D">
        <w:rPr>
          <w:spacing w:val="-2"/>
          <w:szCs w:val="28"/>
        </w:rPr>
        <w:t>13.</w:t>
      </w:r>
      <w:r w:rsidRPr="001F3B0D">
        <w:rPr>
          <w:rFonts w:hint="eastAsia"/>
          <w:spacing w:val="-2"/>
          <w:szCs w:val="28"/>
        </w:rPr>
        <w:t>37</w:t>
      </w:r>
      <w:r w:rsidRPr="001F3B0D">
        <w:rPr>
          <w:rFonts w:hint="eastAsia"/>
          <w:spacing w:val="-2"/>
          <w:szCs w:val="28"/>
        </w:rPr>
        <w:t>段所述的相同。基金</w:t>
      </w:r>
      <w:r w:rsidRPr="001F3B0D">
        <w:rPr>
          <w:rFonts w:hint="eastAsia"/>
          <w:spacing w:val="-2"/>
          <w:szCs w:val="28"/>
          <w:lang w:eastAsia="zh-HK"/>
        </w:rPr>
        <w:t>自</w:t>
      </w:r>
      <w:r w:rsidRPr="001F3B0D">
        <w:rPr>
          <w:spacing w:val="-2"/>
          <w:szCs w:val="28"/>
        </w:rPr>
        <w:t>1998</w:t>
      </w:r>
      <w:r w:rsidRPr="001F3B0D">
        <w:rPr>
          <w:rFonts w:hint="eastAsia"/>
          <w:spacing w:val="-2"/>
          <w:szCs w:val="28"/>
        </w:rPr>
        <w:t>年</w:t>
      </w:r>
      <w:r w:rsidRPr="006A3C4D">
        <w:rPr>
          <w:szCs w:val="28"/>
        </w:rPr>
        <w:t>1</w:t>
      </w:r>
      <w:r w:rsidRPr="006A3C4D">
        <w:rPr>
          <w:rFonts w:hint="eastAsia"/>
          <w:szCs w:val="28"/>
        </w:rPr>
        <w:t>月設立至</w:t>
      </w:r>
      <w:r w:rsidRPr="006A3C4D">
        <w:rPr>
          <w:szCs w:val="28"/>
        </w:rPr>
        <w:t>2018</w:t>
      </w:r>
      <w:r w:rsidRPr="006A3C4D">
        <w:rPr>
          <w:rFonts w:hint="eastAsia"/>
          <w:szCs w:val="28"/>
        </w:rPr>
        <w:t>年底合共批准撥款逾</w:t>
      </w:r>
      <w:r w:rsidRPr="006A3C4D">
        <w:rPr>
          <w:szCs w:val="28"/>
        </w:rPr>
        <w:t>46</w:t>
      </w:r>
      <w:r w:rsidRPr="006A3C4D">
        <w:rPr>
          <w:rFonts w:hint="eastAsia"/>
          <w:szCs w:val="28"/>
        </w:rPr>
        <w:t>億元，資助超過</w:t>
      </w:r>
      <w:r w:rsidRPr="006A3C4D">
        <w:rPr>
          <w:szCs w:val="28"/>
        </w:rPr>
        <w:t>10</w:t>
      </w:r>
      <w:r>
        <w:rPr>
          <w:szCs w:val="28"/>
        </w:rPr>
        <w:t> </w:t>
      </w:r>
      <w:r w:rsidRPr="006A3C4D">
        <w:rPr>
          <w:szCs w:val="28"/>
        </w:rPr>
        <w:t>000</w:t>
      </w:r>
      <w:r w:rsidRPr="006A3C4D">
        <w:rPr>
          <w:rFonts w:hint="eastAsia"/>
          <w:szCs w:val="28"/>
        </w:rPr>
        <w:t>項計劃。</w:t>
      </w:r>
    </w:p>
    <w:p w:rsidR="00DE54D6" w:rsidRPr="006A3C4D" w:rsidRDefault="00DE54D6" w:rsidP="00DE54D6">
      <w:pPr>
        <w:widowControl/>
        <w:tabs>
          <w:tab w:val="left" w:pos="1440"/>
        </w:tabs>
        <w:adjustRightInd w:val="0"/>
        <w:snapToGrid w:val="0"/>
        <w:spacing w:line="400" w:lineRule="atLeast"/>
        <w:jc w:val="both"/>
        <w:rPr>
          <w:szCs w:val="28"/>
        </w:rPr>
      </w:pPr>
    </w:p>
    <w:p w:rsidR="00DE54D6" w:rsidRPr="00E05AD9" w:rsidRDefault="00DE54D6" w:rsidP="00DE54D6">
      <w:pPr>
        <w:keepNext/>
        <w:widowControl/>
        <w:tabs>
          <w:tab w:val="left" w:pos="1440"/>
        </w:tabs>
        <w:adjustRightInd w:val="0"/>
        <w:snapToGrid w:val="0"/>
        <w:spacing w:line="400" w:lineRule="atLeast"/>
        <w:jc w:val="both"/>
        <w:rPr>
          <w:szCs w:val="28"/>
          <w:u w:val="single"/>
        </w:rPr>
      </w:pPr>
      <w:r w:rsidRPr="00E05AD9">
        <w:rPr>
          <w:rFonts w:hint="eastAsia"/>
          <w:szCs w:val="28"/>
          <w:u w:val="single"/>
        </w:rPr>
        <w:t>資歷架構</w:t>
      </w:r>
    </w:p>
    <w:p w:rsidR="00DE54D6" w:rsidRDefault="00DE54D6" w:rsidP="00DE54D6">
      <w:pPr>
        <w:widowControl/>
        <w:tabs>
          <w:tab w:val="left" w:pos="1440"/>
        </w:tabs>
        <w:adjustRightInd w:val="0"/>
        <w:snapToGrid w:val="0"/>
        <w:spacing w:line="400" w:lineRule="atLeast"/>
        <w:jc w:val="both"/>
        <w:rPr>
          <w:szCs w:val="28"/>
        </w:rPr>
      </w:pPr>
    </w:p>
    <w:p w:rsidR="00DE54D6" w:rsidRPr="006A3C4D" w:rsidRDefault="00DE54D6" w:rsidP="00DE54D6">
      <w:pPr>
        <w:widowControl/>
        <w:tabs>
          <w:tab w:val="left" w:pos="1440"/>
        </w:tabs>
        <w:adjustRightInd w:val="0"/>
        <w:snapToGrid w:val="0"/>
        <w:spacing w:line="400" w:lineRule="atLeast"/>
        <w:jc w:val="both"/>
        <w:rPr>
          <w:szCs w:val="28"/>
        </w:rPr>
      </w:pPr>
      <w:r>
        <w:rPr>
          <w:rFonts w:hint="eastAsia"/>
          <w:szCs w:val="28"/>
        </w:rPr>
        <w:t>25.</w:t>
      </w:r>
      <w:r>
        <w:rPr>
          <w:szCs w:val="28"/>
        </w:rPr>
        <w:tab/>
      </w:r>
      <w:r w:rsidRPr="001E2FBA">
        <w:rPr>
          <w:szCs w:val="28"/>
        </w:rPr>
        <w:t>情況與</w:t>
      </w:r>
      <w:r w:rsidRPr="001E2FBA">
        <w:rPr>
          <w:rFonts w:hint="eastAsia"/>
          <w:szCs w:val="28"/>
        </w:rPr>
        <w:t>上次報告第</w:t>
      </w:r>
      <w:r>
        <w:rPr>
          <w:rFonts w:hint="eastAsia"/>
          <w:szCs w:val="28"/>
        </w:rPr>
        <w:t>13.38</w:t>
      </w:r>
      <w:r>
        <w:rPr>
          <w:rFonts w:hint="eastAsia"/>
          <w:szCs w:val="28"/>
          <w:lang w:eastAsia="zh-HK"/>
        </w:rPr>
        <w:t>至</w:t>
      </w:r>
      <w:r w:rsidRPr="001E2FBA">
        <w:rPr>
          <w:szCs w:val="28"/>
        </w:rPr>
        <w:t>13.</w:t>
      </w:r>
      <w:r>
        <w:rPr>
          <w:rFonts w:hint="eastAsia"/>
          <w:szCs w:val="28"/>
        </w:rPr>
        <w:t>39</w:t>
      </w:r>
      <w:r w:rsidRPr="001E2FBA">
        <w:rPr>
          <w:rFonts w:hint="eastAsia"/>
          <w:szCs w:val="28"/>
        </w:rPr>
        <w:t>段所述的相同。</w:t>
      </w:r>
      <w:r w:rsidRPr="006A3C4D">
        <w:rPr>
          <w:rFonts w:hint="eastAsia"/>
          <w:szCs w:val="28"/>
        </w:rPr>
        <w:t>政府一直協助不同行業成立行業培訓諮詢委員會，至今已成立了</w:t>
      </w:r>
      <w:r w:rsidRPr="006A3C4D">
        <w:rPr>
          <w:szCs w:val="28"/>
        </w:rPr>
        <w:t>22</w:t>
      </w:r>
      <w:r w:rsidRPr="006A3C4D">
        <w:rPr>
          <w:rFonts w:hint="eastAsia"/>
          <w:szCs w:val="28"/>
        </w:rPr>
        <w:t>個</w:t>
      </w:r>
      <w:r>
        <w:rPr>
          <w:rFonts w:hint="eastAsia"/>
          <w:szCs w:val="28"/>
          <w:lang w:eastAsia="zh-HK"/>
        </w:rPr>
        <w:t>此類</w:t>
      </w:r>
      <w:r w:rsidRPr="006A3C4D">
        <w:rPr>
          <w:rFonts w:hint="eastAsia"/>
          <w:szCs w:val="28"/>
        </w:rPr>
        <w:t>委員會，涉及的行業涵蓋本港超過一半的勞動人口。鑑於資歷架構對維持勞動人口質素實為重要，政府在</w:t>
      </w:r>
      <w:r w:rsidRPr="006A3C4D">
        <w:rPr>
          <w:rFonts w:hint="eastAsia"/>
          <w:szCs w:val="28"/>
        </w:rPr>
        <w:t>2014</w:t>
      </w:r>
      <w:r w:rsidRPr="006A3C4D">
        <w:rPr>
          <w:rFonts w:hint="eastAsia"/>
          <w:szCs w:val="28"/>
        </w:rPr>
        <w:t>年設立資歷架構基金，至今共撥款</w:t>
      </w:r>
      <w:r w:rsidRPr="006A3C4D">
        <w:rPr>
          <w:rFonts w:hint="eastAsia"/>
          <w:szCs w:val="28"/>
        </w:rPr>
        <w:t>22</w:t>
      </w:r>
      <w:r w:rsidRPr="006A3C4D">
        <w:rPr>
          <w:rFonts w:hint="eastAsia"/>
          <w:szCs w:val="28"/>
        </w:rPr>
        <w:t>億元，為持續發展和推行資歷架構提供穩定收入。</w:t>
      </w:r>
    </w:p>
    <w:p w:rsidR="00DE54D6" w:rsidRPr="0097734E" w:rsidRDefault="00DE54D6" w:rsidP="00DE54D6">
      <w:pPr>
        <w:snapToGrid w:val="0"/>
        <w:spacing w:line="400" w:lineRule="atLeast"/>
        <w:jc w:val="both"/>
      </w:pPr>
    </w:p>
    <w:p w:rsidR="00DE54D6" w:rsidRDefault="00DE54D6" w:rsidP="00DE54D6">
      <w:pPr>
        <w:widowControl/>
      </w:pPr>
      <w:r>
        <w:br w:type="page"/>
      </w:r>
    </w:p>
    <w:p w:rsidR="00D91B85" w:rsidRDefault="00D91B85" w:rsidP="00DE54D6">
      <w:pPr>
        <w:widowControl/>
        <w:jc w:val="right"/>
        <w:rPr>
          <w:b/>
          <w:szCs w:val="28"/>
          <w:u w:val="single"/>
          <w:lang w:eastAsia="zh-HK"/>
        </w:rPr>
      </w:pPr>
    </w:p>
    <w:p w:rsidR="00DE54D6" w:rsidRPr="003B5BBE" w:rsidRDefault="00DE54D6" w:rsidP="00DE54D6">
      <w:pPr>
        <w:widowControl/>
        <w:jc w:val="right"/>
        <w:rPr>
          <w:b/>
          <w:szCs w:val="28"/>
          <w:u w:val="single"/>
          <w:lang w:eastAsia="zh-HK"/>
        </w:rPr>
      </w:pPr>
      <w:r w:rsidRPr="00E05AD9">
        <w:rPr>
          <w:rFonts w:hint="eastAsia"/>
          <w:b/>
          <w:szCs w:val="28"/>
          <w:u w:val="single"/>
          <w:lang w:eastAsia="zh-HK"/>
        </w:rPr>
        <w:t>附錄</w:t>
      </w:r>
    </w:p>
    <w:p w:rsidR="00DE54D6" w:rsidRDefault="00DE54D6" w:rsidP="00DE54D6">
      <w:pPr>
        <w:pStyle w:val="2"/>
        <w:tabs>
          <w:tab w:val="left" w:pos="1440"/>
        </w:tabs>
        <w:adjustRightInd w:val="0"/>
        <w:snapToGrid w:val="0"/>
        <w:spacing w:after="0" w:line="400" w:lineRule="atLeast"/>
        <w:jc w:val="center"/>
        <w:rPr>
          <w:rFonts w:eastAsia="標楷體"/>
          <w:b/>
          <w:sz w:val="28"/>
          <w:szCs w:val="28"/>
          <w:lang w:eastAsia="zh-HK"/>
        </w:rPr>
      </w:pPr>
    </w:p>
    <w:p w:rsidR="00DE54D6" w:rsidRDefault="00DE54D6" w:rsidP="00DE54D6">
      <w:pPr>
        <w:snapToGrid w:val="0"/>
        <w:spacing w:line="400" w:lineRule="atLeast"/>
        <w:jc w:val="center"/>
        <w:rPr>
          <w:b/>
          <w:szCs w:val="28"/>
        </w:rPr>
      </w:pPr>
      <w:r w:rsidRPr="00CC5A54">
        <w:rPr>
          <w:rFonts w:hint="eastAsia"/>
          <w:b/>
          <w:szCs w:val="28"/>
        </w:rPr>
        <w:t>為高等院校學生而設的資助計劃</w:t>
      </w:r>
    </w:p>
    <w:p w:rsidR="00DE54D6" w:rsidRDefault="00DE54D6" w:rsidP="00DE54D6">
      <w:pPr>
        <w:snapToGrid w:val="0"/>
        <w:spacing w:line="400" w:lineRule="atLeast"/>
        <w:jc w:val="center"/>
        <w:rPr>
          <w:b/>
          <w:szCs w:val="28"/>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w:t>
      </w:r>
      <w:r w:rsidRPr="00EA0E72">
        <w:rPr>
          <w:rFonts w:cs="Times New Roman"/>
          <w:szCs w:val="28"/>
          <w:lang w:val="en-GB"/>
        </w:rPr>
        <w:tab/>
      </w:r>
      <w:r w:rsidRPr="00EA0E72">
        <w:rPr>
          <w:rFonts w:cs="Times New Roman"/>
          <w:szCs w:val="28"/>
          <w:lang w:val="en-GB"/>
        </w:rPr>
        <w:t>資助專上課程學生資助計劃（前稱本地專上學生資助計劃）</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資助專上課程學生資助計劃」是一項須經入息及資產審查的資助計劃，旨在為於政府資助的高等教育院校中修讀全日制資助課程的學生，提供助學金及／或低息貸款。計劃提供助學金協助有需要的學生支付學費、學習支出及必須的學生會會費，及貸款協助他們應付生活開支。在</w:t>
      </w:r>
      <w:r w:rsidRPr="00EA0E72">
        <w:rPr>
          <w:rFonts w:cs="Times New Roman"/>
          <w:szCs w:val="28"/>
          <w:lang w:val="en-GB"/>
        </w:rPr>
        <w:t>2017/18</w:t>
      </w:r>
      <w:r w:rsidRPr="00EA0E72">
        <w:rPr>
          <w:rFonts w:cs="Times New Roman"/>
          <w:szCs w:val="28"/>
          <w:lang w:val="en-GB"/>
        </w:rPr>
        <w:t>學年，超過</w:t>
      </w:r>
      <w:r w:rsidRPr="00EA0E72">
        <w:rPr>
          <w:rFonts w:cs="Times New Roman"/>
          <w:szCs w:val="28"/>
          <w:lang w:val="en-GB"/>
        </w:rPr>
        <w:t>21 700</w:t>
      </w:r>
      <w:r w:rsidRPr="00EA0E72">
        <w:rPr>
          <w:rFonts w:cs="Times New Roman"/>
          <w:szCs w:val="28"/>
          <w:lang w:val="en-GB"/>
        </w:rPr>
        <w:t>名有需要的學生（佔有關學生總人數約</w:t>
      </w:r>
      <w:r w:rsidRPr="00EA0E72">
        <w:rPr>
          <w:rFonts w:cs="Times New Roman"/>
          <w:szCs w:val="28"/>
          <w:lang w:val="en-GB"/>
        </w:rPr>
        <w:t>21%</w:t>
      </w:r>
      <w:r w:rsidRPr="00EA0E72">
        <w:rPr>
          <w:rFonts w:cs="Times New Roman"/>
          <w:szCs w:val="28"/>
          <w:lang w:val="en-GB"/>
        </w:rPr>
        <w:t>）獲得共約</w:t>
      </w:r>
      <w:r w:rsidRPr="00EA0E72">
        <w:rPr>
          <w:rFonts w:cs="Times New Roman"/>
          <w:szCs w:val="28"/>
          <w:lang w:val="en-GB"/>
        </w:rPr>
        <w:t>8</w:t>
      </w:r>
      <w:r w:rsidRPr="00EA0E72">
        <w:rPr>
          <w:rFonts w:cs="Times New Roman"/>
          <w:szCs w:val="28"/>
          <w:lang w:val="en-GB"/>
        </w:rPr>
        <w:t>億</w:t>
      </w:r>
      <w:r w:rsidRPr="00EA0E72">
        <w:rPr>
          <w:rFonts w:cs="Times New Roman"/>
          <w:szCs w:val="28"/>
          <w:lang w:val="en-GB"/>
        </w:rPr>
        <w:t>8,500</w:t>
      </w:r>
      <w:r w:rsidRPr="00EA0E72">
        <w:rPr>
          <w:rFonts w:cs="Times New Roman"/>
          <w:szCs w:val="28"/>
          <w:lang w:val="en-GB"/>
        </w:rPr>
        <w:t>萬元的助學金及約</w:t>
      </w:r>
      <w:r w:rsidRPr="00EA0E72">
        <w:rPr>
          <w:rFonts w:cs="Times New Roman"/>
          <w:szCs w:val="28"/>
          <w:lang w:val="en-GB"/>
        </w:rPr>
        <w:t>1</w:t>
      </w:r>
      <w:r w:rsidRPr="00EA0E72">
        <w:rPr>
          <w:rFonts w:cs="Times New Roman"/>
          <w:szCs w:val="28"/>
          <w:lang w:val="en-GB"/>
        </w:rPr>
        <w:t>億</w:t>
      </w:r>
      <w:r w:rsidRPr="00EA0E72">
        <w:rPr>
          <w:rFonts w:cs="Times New Roman"/>
          <w:szCs w:val="28"/>
          <w:lang w:val="en-GB"/>
        </w:rPr>
        <w:t>9,200</w:t>
      </w:r>
      <w:r w:rsidRPr="00EA0E72">
        <w:rPr>
          <w:rFonts w:cs="Times New Roman"/>
          <w:szCs w:val="28"/>
          <w:lang w:val="en-GB"/>
        </w:rPr>
        <w:t>萬元的低息貸款。</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(b)</w:t>
      </w:r>
      <w:r w:rsidRPr="00EA0E72">
        <w:rPr>
          <w:rFonts w:cs="Times New Roman"/>
          <w:szCs w:val="28"/>
          <w:lang w:val="en-GB"/>
        </w:rPr>
        <w:tab/>
      </w:r>
      <w:r w:rsidRPr="00EA0E72">
        <w:rPr>
          <w:rFonts w:cs="Times New Roman"/>
          <w:szCs w:val="28"/>
          <w:lang w:val="en-GB"/>
        </w:rPr>
        <w:t>專上學生資助計劃</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「專上學生資助計劃」向修讀經本地評審全日制自資專上課程的學生提供須經入息及資產審查的助學金及／或低息貸款。助學金用以協助有需要的學生支付學費及學習支出，貸款則用以應付生活開支。在</w:t>
      </w:r>
      <w:r w:rsidRPr="00EA0E72">
        <w:rPr>
          <w:rFonts w:cs="Times New Roman"/>
          <w:szCs w:val="28"/>
          <w:lang w:val="en-GB"/>
        </w:rPr>
        <w:t>2017/18</w:t>
      </w:r>
      <w:r w:rsidRPr="00EA0E72">
        <w:rPr>
          <w:rFonts w:cs="Times New Roman"/>
          <w:szCs w:val="28"/>
          <w:lang w:val="en-GB"/>
        </w:rPr>
        <w:t>學年，約</w:t>
      </w:r>
      <w:r w:rsidRPr="00EA0E72">
        <w:rPr>
          <w:rFonts w:cs="Times New Roman"/>
          <w:szCs w:val="28"/>
          <w:lang w:val="en-GB"/>
        </w:rPr>
        <w:t>18 000</w:t>
      </w:r>
      <w:r w:rsidRPr="00EA0E72">
        <w:rPr>
          <w:rFonts w:cs="Times New Roman"/>
          <w:szCs w:val="28"/>
          <w:lang w:val="en-GB"/>
        </w:rPr>
        <w:t>名有需要的學生（佔有關學生總人數約</w:t>
      </w:r>
      <w:r w:rsidRPr="00EA0E72">
        <w:rPr>
          <w:rFonts w:cs="Times New Roman"/>
          <w:szCs w:val="28"/>
          <w:lang w:val="en-GB"/>
        </w:rPr>
        <w:t>25%</w:t>
      </w:r>
      <w:r w:rsidRPr="00EA0E72">
        <w:rPr>
          <w:rFonts w:cs="Times New Roman"/>
          <w:szCs w:val="28"/>
          <w:lang w:val="en-GB"/>
        </w:rPr>
        <w:t>）獲發放約</w:t>
      </w:r>
      <w:r w:rsidRPr="00EA0E72">
        <w:rPr>
          <w:rFonts w:cs="Times New Roman"/>
          <w:szCs w:val="28"/>
          <w:lang w:val="en-GB"/>
        </w:rPr>
        <w:t>8</w:t>
      </w:r>
      <w:r w:rsidRPr="00EA0E72">
        <w:rPr>
          <w:rFonts w:cs="Times New Roman"/>
          <w:szCs w:val="28"/>
          <w:lang w:val="en-GB"/>
        </w:rPr>
        <w:t>億</w:t>
      </w:r>
      <w:r w:rsidRPr="00EA0E72">
        <w:rPr>
          <w:rFonts w:cs="Times New Roman"/>
          <w:szCs w:val="28"/>
          <w:lang w:val="en-GB"/>
        </w:rPr>
        <w:t>7,700</w:t>
      </w:r>
      <w:r w:rsidRPr="00EA0E72">
        <w:rPr>
          <w:rFonts w:cs="Times New Roman"/>
          <w:szCs w:val="28"/>
          <w:lang w:val="en-GB"/>
        </w:rPr>
        <w:t>萬元的助學金及約</w:t>
      </w:r>
      <w:r w:rsidRPr="00EA0E72">
        <w:rPr>
          <w:rFonts w:cs="Times New Roman"/>
          <w:szCs w:val="28"/>
          <w:lang w:val="en-GB"/>
        </w:rPr>
        <w:t>1</w:t>
      </w:r>
      <w:r w:rsidRPr="00EA0E72">
        <w:rPr>
          <w:rFonts w:cs="Times New Roman"/>
          <w:szCs w:val="28"/>
          <w:lang w:val="en-GB"/>
        </w:rPr>
        <w:t>億</w:t>
      </w:r>
      <w:r w:rsidRPr="00EA0E72">
        <w:rPr>
          <w:rFonts w:cs="Times New Roman"/>
          <w:szCs w:val="28"/>
          <w:lang w:val="en-GB"/>
        </w:rPr>
        <w:t>6,800</w:t>
      </w:r>
      <w:r w:rsidRPr="00EA0E72">
        <w:rPr>
          <w:rFonts w:cs="Times New Roman"/>
          <w:szCs w:val="28"/>
          <w:lang w:val="en-GB"/>
        </w:rPr>
        <w:t>萬元的低息貸款。</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(c)</w:t>
      </w:r>
      <w:r w:rsidRPr="00EA0E72">
        <w:rPr>
          <w:rFonts w:cs="Times New Roman"/>
          <w:szCs w:val="28"/>
          <w:lang w:val="en-GB"/>
        </w:rPr>
        <w:tab/>
      </w:r>
      <w:r w:rsidRPr="00EA0E72">
        <w:rPr>
          <w:rFonts w:cs="Times New Roman"/>
          <w:szCs w:val="28"/>
          <w:lang w:val="en-GB"/>
        </w:rPr>
        <w:t>免入息審查貸款計劃</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免入息審查貸款計劃在</w:t>
      </w:r>
      <w:r w:rsidRPr="00EA0E72">
        <w:rPr>
          <w:rFonts w:cs="Times New Roman"/>
          <w:szCs w:val="28"/>
          <w:lang w:val="en-GB"/>
        </w:rPr>
        <w:t>1998/99</w:t>
      </w:r>
      <w:r w:rsidRPr="00EA0E72">
        <w:rPr>
          <w:rFonts w:cs="Times New Roman"/>
          <w:szCs w:val="28"/>
          <w:lang w:val="en-GB"/>
        </w:rPr>
        <w:t>學年設立，主要為修讀政府資助課程的全日制大專學生（「本地專上學生資助計劃」（即現在「資助專上課程學生資助計劃」）所涵蓋的學生），提供另一個資助途徑。這計劃以無所損益及收回全部成本的基楚運作，為學生提供貸款，以應付學費。其後，該計劃的範圍不斷擴大，現時亦涵蓋修讀自資經本地評審專上課程的全日制學生（即「專上學生資助計劃」涵蓋的學生），及在本港註冊學校、註冊及獲豁免非本地課程主辦者和認可培訓機構修讀持續進修和專業教育課程的人士。在</w:t>
      </w:r>
      <w:r w:rsidRPr="00EA0E72">
        <w:rPr>
          <w:rFonts w:cs="Times New Roman"/>
          <w:szCs w:val="28"/>
          <w:lang w:val="en-GB"/>
        </w:rPr>
        <w:t>2017/18</w:t>
      </w:r>
      <w:r w:rsidRPr="00EA0E72">
        <w:rPr>
          <w:rFonts w:cs="Times New Roman"/>
          <w:szCs w:val="28"/>
          <w:lang w:val="en-GB"/>
        </w:rPr>
        <w:t>學年，約有</w:t>
      </w:r>
      <w:r w:rsidRPr="00EA0E72">
        <w:rPr>
          <w:rFonts w:cs="Times New Roman"/>
          <w:szCs w:val="28"/>
          <w:lang w:val="en-GB"/>
        </w:rPr>
        <w:t>31</w:t>
      </w:r>
      <w:r w:rsidRPr="00EA0E72">
        <w:rPr>
          <w:rFonts w:cs="Times New Roman"/>
          <w:szCs w:val="28"/>
        </w:rPr>
        <w:t> </w:t>
      </w:r>
      <w:r w:rsidRPr="00EA0E72">
        <w:rPr>
          <w:rFonts w:cs="Times New Roman"/>
          <w:szCs w:val="28"/>
          <w:lang w:val="en-GB"/>
        </w:rPr>
        <w:t>000</w:t>
      </w:r>
      <w:r w:rsidRPr="00EA0E72">
        <w:rPr>
          <w:rFonts w:cs="Times New Roman"/>
          <w:szCs w:val="28"/>
          <w:lang w:val="en-GB"/>
        </w:rPr>
        <w:t>名學生獲發放免入息審查貸款約</w:t>
      </w:r>
      <w:r w:rsidRPr="00EA0E72">
        <w:rPr>
          <w:rFonts w:cs="Times New Roman"/>
          <w:szCs w:val="28"/>
          <w:lang w:val="en-GB"/>
        </w:rPr>
        <w:t>15</w:t>
      </w:r>
      <w:r w:rsidRPr="00EA0E72">
        <w:rPr>
          <w:rFonts w:cs="Times New Roman"/>
          <w:szCs w:val="28"/>
          <w:lang w:val="en-GB"/>
        </w:rPr>
        <w:t>億</w:t>
      </w:r>
      <w:r w:rsidRPr="00EA0E72">
        <w:rPr>
          <w:rFonts w:cs="Times New Roman"/>
          <w:szCs w:val="28"/>
          <w:lang w:val="en-GB"/>
        </w:rPr>
        <w:t>6,000</w:t>
      </w:r>
      <w:r w:rsidRPr="00EA0E72">
        <w:rPr>
          <w:rFonts w:cs="Times New Roman"/>
          <w:szCs w:val="28"/>
          <w:lang w:val="en-GB"/>
        </w:rPr>
        <w:t>萬元，其中包括約</w:t>
      </w:r>
      <w:r w:rsidRPr="00EA0E72">
        <w:rPr>
          <w:rFonts w:cs="Times New Roman"/>
          <w:szCs w:val="28"/>
          <w:lang w:val="en-GB"/>
        </w:rPr>
        <w:t>12</w:t>
      </w:r>
      <w:r w:rsidRPr="00EA0E72">
        <w:rPr>
          <w:rFonts w:cs="Times New Roman"/>
          <w:szCs w:val="28"/>
        </w:rPr>
        <w:t> </w:t>
      </w:r>
      <w:r w:rsidRPr="00EA0E72">
        <w:rPr>
          <w:rFonts w:cs="Times New Roman"/>
          <w:szCs w:val="28"/>
          <w:lang w:val="en-GB"/>
        </w:rPr>
        <w:t>000</w:t>
      </w:r>
      <w:r w:rsidRPr="00EA0E72">
        <w:rPr>
          <w:rFonts w:cs="Times New Roman"/>
          <w:szCs w:val="28"/>
          <w:lang w:val="en-GB"/>
        </w:rPr>
        <w:t>名「資助專上課程學生資助計劃」的全日制學生、約</w:t>
      </w:r>
      <w:r w:rsidRPr="00EA0E72">
        <w:rPr>
          <w:rFonts w:cs="Times New Roman"/>
          <w:szCs w:val="28"/>
          <w:lang w:val="en-GB"/>
        </w:rPr>
        <w:t>13</w:t>
      </w:r>
      <w:r w:rsidRPr="00EA0E72">
        <w:rPr>
          <w:rFonts w:cs="Times New Roman"/>
          <w:szCs w:val="28"/>
        </w:rPr>
        <w:t> </w:t>
      </w:r>
      <w:r w:rsidRPr="00EA0E72">
        <w:rPr>
          <w:rFonts w:cs="Times New Roman"/>
          <w:szCs w:val="28"/>
          <w:lang w:val="en-GB"/>
        </w:rPr>
        <w:t>000</w:t>
      </w:r>
      <w:r w:rsidRPr="00EA0E72">
        <w:rPr>
          <w:rFonts w:cs="Times New Roman"/>
          <w:szCs w:val="28"/>
          <w:lang w:val="en-GB"/>
        </w:rPr>
        <w:t>名「專上學</w:t>
      </w:r>
      <w:r w:rsidRPr="00EA0E72">
        <w:rPr>
          <w:rFonts w:cs="Times New Roman"/>
          <w:szCs w:val="28"/>
          <w:lang w:val="en-GB"/>
        </w:rPr>
        <w:lastRenderedPageBreak/>
        <w:t>生資助計劃」的全日制學生及約</w:t>
      </w:r>
      <w:r w:rsidRPr="00EA0E72">
        <w:rPr>
          <w:rFonts w:cs="Times New Roman"/>
          <w:szCs w:val="28"/>
          <w:lang w:val="en-GB"/>
        </w:rPr>
        <w:t>6</w:t>
      </w:r>
      <w:r w:rsidRPr="00EA0E72">
        <w:rPr>
          <w:rFonts w:cs="Times New Roman"/>
          <w:szCs w:val="28"/>
        </w:rPr>
        <w:t> </w:t>
      </w:r>
      <w:r w:rsidRPr="00EA0E72">
        <w:rPr>
          <w:rFonts w:cs="Times New Roman"/>
          <w:szCs w:val="28"/>
          <w:lang w:val="en-GB"/>
        </w:rPr>
        <w:t>000</w:t>
      </w:r>
      <w:r w:rsidRPr="00EA0E72">
        <w:rPr>
          <w:rFonts w:cs="Times New Roman"/>
          <w:szCs w:val="28"/>
          <w:lang w:val="en-GB"/>
        </w:rPr>
        <w:t>名修讀持續進修和專業教育課程的兼讀制學生。</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(d)</w:t>
      </w:r>
      <w:r w:rsidRPr="00EA0E72">
        <w:rPr>
          <w:rFonts w:cs="Times New Roman"/>
          <w:szCs w:val="28"/>
          <w:lang w:val="en-GB"/>
        </w:rPr>
        <w:tab/>
      </w:r>
      <w:r w:rsidRPr="00EA0E72">
        <w:rPr>
          <w:rFonts w:cs="Times New Roman"/>
          <w:szCs w:val="28"/>
          <w:lang w:val="en-GB"/>
        </w:rPr>
        <w:t>學生車船津貼計劃</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經濟有需要的學生在修讀全日制至首個學士學位程度課程時，可透過「學生車船津貼計劃」申請資助，以支付他們與學習有關的交通費。視乎學生的入息審查結果，合資格的學生可獲全額或半額的車船津貼。在</w:t>
      </w:r>
      <w:r w:rsidRPr="00EA0E72">
        <w:rPr>
          <w:rFonts w:cs="Times New Roman"/>
          <w:szCs w:val="28"/>
          <w:lang w:val="en-GB"/>
        </w:rPr>
        <w:t>2017/18</w:t>
      </w:r>
      <w:r w:rsidRPr="00EA0E72">
        <w:rPr>
          <w:rFonts w:cs="Times New Roman"/>
          <w:szCs w:val="28"/>
          <w:lang w:val="en-GB"/>
        </w:rPr>
        <w:t>學年，逾</w:t>
      </w:r>
      <w:r w:rsidRPr="00EA0E72">
        <w:rPr>
          <w:rFonts w:cs="Times New Roman"/>
          <w:szCs w:val="28"/>
          <w:lang w:val="en-GB"/>
        </w:rPr>
        <w:t>17</w:t>
      </w:r>
      <w:r w:rsidRPr="00EA0E72">
        <w:rPr>
          <w:rFonts w:cs="Times New Roman"/>
          <w:szCs w:val="28"/>
          <w:lang w:val="en-GB"/>
        </w:rPr>
        <w:t>萬</w:t>
      </w:r>
      <w:r w:rsidRPr="00EA0E72">
        <w:rPr>
          <w:rFonts w:cs="Times New Roman"/>
          <w:szCs w:val="28"/>
          <w:lang w:val="en-GB"/>
        </w:rPr>
        <w:t>6</w:t>
      </w:r>
      <w:r w:rsidRPr="00EA0E72">
        <w:rPr>
          <w:rFonts w:cs="Times New Roman"/>
          <w:szCs w:val="28"/>
          <w:lang w:val="en-GB"/>
        </w:rPr>
        <w:t>千名學生獲發車船津貼，總支出約</w:t>
      </w:r>
      <w:r w:rsidRPr="00EA0E72">
        <w:rPr>
          <w:rFonts w:cs="Times New Roman"/>
          <w:szCs w:val="28"/>
          <w:lang w:val="en-GB"/>
        </w:rPr>
        <w:t>4</w:t>
      </w:r>
      <w:r w:rsidRPr="00EA0E72">
        <w:rPr>
          <w:rFonts w:cs="Times New Roman"/>
          <w:szCs w:val="28"/>
          <w:lang w:val="en-GB"/>
        </w:rPr>
        <w:t>億</w:t>
      </w:r>
      <w:r w:rsidRPr="00EA0E72">
        <w:rPr>
          <w:rFonts w:cs="Times New Roman"/>
          <w:szCs w:val="28"/>
          <w:lang w:val="en-GB"/>
        </w:rPr>
        <w:t>7,070</w:t>
      </w:r>
      <w:r w:rsidRPr="00EA0E72">
        <w:rPr>
          <w:rFonts w:cs="Times New Roman"/>
          <w:szCs w:val="28"/>
          <w:lang w:val="en-GB"/>
        </w:rPr>
        <w:t>萬元，受惠學生當中包括約</w:t>
      </w:r>
      <w:r w:rsidRPr="00EA0E72">
        <w:rPr>
          <w:rFonts w:cs="Times New Roman"/>
          <w:szCs w:val="28"/>
          <w:lang w:val="en-GB"/>
        </w:rPr>
        <w:t>33 600</w:t>
      </w:r>
      <w:r w:rsidRPr="00EA0E72">
        <w:rPr>
          <w:rFonts w:cs="Times New Roman"/>
          <w:szCs w:val="28"/>
          <w:lang w:val="en-GB"/>
        </w:rPr>
        <w:t>名專上學生。</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(e)</w:t>
      </w:r>
      <w:r w:rsidRPr="00EA0E72">
        <w:rPr>
          <w:rFonts w:cs="Times New Roman"/>
          <w:szCs w:val="28"/>
          <w:lang w:val="en-GB"/>
        </w:rPr>
        <w:tab/>
      </w:r>
      <w:r w:rsidRPr="00EA0E72">
        <w:rPr>
          <w:rFonts w:cs="Times New Roman"/>
          <w:szCs w:val="28"/>
          <w:lang w:val="en-GB"/>
        </w:rPr>
        <w:t>獎學金計劃</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為進一步把香港發展成區域教育樞紐，政府於</w:t>
      </w:r>
      <w:r w:rsidRPr="00EA0E72">
        <w:rPr>
          <w:rFonts w:cs="Times New Roman"/>
          <w:szCs w:val="28"/>
          <w:lang w:val="en-GB"/>
        </w:rPr>
        <w:t>2008</w:t>
      </w:r>
      <w:r w:rsidRPr="00EA0E72">
        <w:rPr>
          <w:rFonts w:cs="Times New Roman"/>
          <w:szCs w:val="28"/>
          <w:lang w:val="en-GB"/>
        </w:rPr>
        <w:t>年</w:t>
      </w:r>
      <w:r w:rsidRPr="00EA0E72">
        <w:rPr>
          <w:rFonts w:cs="Times New Roman"/>
          <w:szCs w:val="28"/>
          <w:lang w:val="en-GB"/>
        </w:rPr>
        <w:t>3</w:t>
      </w:r>
      <w:r w:rsidRPr="00EA0E72">
        <w:rPr>
          <w:rFonts w:cs="Times New Roman"/>
          <w:szCs w:val="28"/>
          <w:lang w:val="en-GB"/>
        </w:rPr>
        <w:t>月設立</w:t>
      </w:r>
      <w:r w:rsidRPr="00EA0E72">
        <w:rPr>
          <w:rFonts w:cs="Times New Roman"/>
          <w:szCs w:val="28"/>
          <w:lang w:val="en-GB"/>
        </w:rPr>
        <w:t>10</w:t>
      </w:r>
      <w:r w:rsidRPr="00EA0E72">
        <w:rPr>
          <w:rFonts w:cs="Times New Roman"/>
          <w:szCs w:val="28"/>
          <w:lang w:val="en-GB"/>
        </w:rPr>
        <w:t>億元的香港特別行政區政府獎學基金，藉此向本地和非本地傑出學生頒發政府獎學金。政府其後多次注資基金，增設更多獎學金和獎項，以鼓勵學生在學術及非學術領域追求卓越，並表揚有特殊教育需要的傑出學生。在</w:t>
      </w:r>
      <w:r w:rsidRPr="00EA0E72">
        <w:rPr>
          <w:rFonts w:cs="Times New Roman"/>
          <w:szCs w:val="28"/>
          <w:lang w:val="en-GB"/>
        </w:rPr>
        <w:t>2017/18</w:t>
      </w:r>
      <w:r w:rsidRPr="00EA0E72">
        <w:rPr>
          <w:rFonts w:cs="Times New Roman"/>
          <w:szCs w:val="28"/>
          <w:lang w:val="en-GB"/>
        </w:rPr>
        <w:t>學年，香港特別行政區政府獎學基金向</w:t>
      </w:r>
      <w:r w:rsidRPr="00EA0E72">
        <w:rPr>
          <w:rFonts w:cs="Times New Roman"/>
          <w:szCs w:val="28"/>
          <w:lang w:val="en-GB"/>
        </w:rPr>
        <w:t>4 500</w:t>
      </w:r>
      <w:r w:rsidRPr="00EA0E72">
        <w:rPr>
          <w:rFonts w:cs="Times New Roman"/>
          <w:szCs w:val="28"/>
          <w:lang w:val="en-GB"/>
        </w:rPr>
        <w:t>多名副學位或以上程度學生合共發放</w:t>
      </w:r>
      <w:r w:rsidRPr="00EA0E72">
        <w:rPr>
          <w:rFonts w:cs="Times New Roman"/>
          <w:szCs w:val="28"/>
          <w:lang w:val="en-GB"/>
        </w:rPr>
        <w:t>9,000</w:t>
      </w:r>
      <w:r w:rsidRPr="00EA0E72">
        <w:rPr>
          <w:rFonts w:cs="Times New Roman"/>
          <w:szCs w:val="28"/>
          <w:lang w:val="en-GB"/>
        </w:rPr>
        <w:t>萬元獎學金。</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此外，</w:t>
      </w:r>
      <w:r w:rsidRPr="00EA0E72">
        <w:rPr>
          <w:rFonts w:cs="Times New Roman"/>
          <w:szCs w:val="28"/>
          <w:lang w:val="en-GB"/>
        </w:rPr>
        <w:t>2014</w:t>
      </w:r>
      <w:r w:rsidRPr="00EA0E72">
        <w:rPr>
          <w:rFonts w:cs="Times New Roman"/>
          <w:szCs w:val="28"/>
          <w:lang w:val="en-GB"/>
        </w:rPr>
        <w:t>年推出的香港卓越獎學金計劃資助本地傑出學生升讀香港境外的世界知名大學，每學年提供多達</w:t>
      </w:r>
      <w:r w:rsidRPr="00EA0E72">
        <w:rPr>
          <w:rFonts w:cs="Times New Roman"/>
          <w:szCs w:val="28"/>
          <w:lang w:val="en-GB"/>
        </w:rPr>
        <w:t>100</w:t>
      </w:r>
      <w:r w:rsidRPr="00EA0E72">
        <w:rPr>
          <w:rFonts w:cs="Times New Roman"/>
          <w:szCs w:val="28"/>
          <w:lang w:val="en-GB"/>
        </w:rPr>
        <w:t>個獎學金名額。</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在自資界別，自資專上教育基金下設立的自資專上獎學金計劃，於</w:t>
      </w:r>
      <w:r w:rsidRPr="00EA0E72">
        <w:rPr>
          <w:rFonts w:cs="Times New Roman"/>
          <w:szCs w:val="28"/>
          <w:lang w:val="en-GB"/>
        </w:rPr>
        <w:t>2011/12</w:t>
      </w:r>
      <w:r w:rsidRPr="00EA0E72">
        <w:rPr>
          <w:rFonts w:cs="Times New Roman"/>
          <w:szCs w:val="28"/>
          <w:lang w:val="en-GB"/>
        </w:rPr>
        <w:t>學年起向修讀全日制經本地評審自資副學位或學士學位（包括銜接學位）課程的傑出學生，頒發獎學金／獎項。在</w:t>
      </w:r>
      <w:r w:rsidRPr="00EA0E72">
        <w:rPr>
          <w:rFonts w:cs="Times New Roman"/>
          <w:szCs w:val="28"/>
          <w:lang w:val="en-GB"/>
        </w:rPr>
        <w:t>2017/18</w:t>
      </w:r>
      <w:r w:rsidRPr="00EA0E72">
        <w:rPr>
          <w:rFonts w:cs="Times New Roman"/>
          <w:szCs w:val="28"/>
          <w:lang w:val="en-GB"/>
        </w:rPr>
        <w:t>學年，自資專上獎學金計劃共發放約</w:t>
      </w:r>
      <w:r w:rsidRPr="00EA0E72">
        <w:rPr>
          <w:rFonts w:cs="Times New Roman"/>
          <w:szCs w:val="28"/>
          <w:lang w:val="en-GB"/>
        </w:rPr>
        <w:t>8,300</w:t>
      </w:r>
      <w:r w:rsidRPr="00EA0E72">
        <w:rPr>
          <w:rFonts w:cs="Times New Roman"/>
          <w:szCs w:val="28"/>
          <w:lang w:val="en-GB"/>
        </w:rPr>
        <w:t>萬元予超過</w:t>
      </w:r>
      <w:r w:rsidRPr="00EA0E72">
        <w:rPr>
          <w:rFonts w:cs="Times New Roman"/>
          <w:szCs w:val="28"/>
          <w:lang w:val="en-GB"/>
        </w:rPr>
        <w:t>5 100</w:t>
      </w:r>
      <w:r w:rsidRPr="00EA0E72">
        <w:rPr>
          <w:rFonts w:cs="Times New Roman"/>
          <w:szCs w:val="28"/>
          <w:lang w:val="en-GB"/>
        </w:rPr>
        <w:t>名得獎學生。</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 xml:space="preserve">(f) </w:t>
      </w:r>
      <w:r w:rsidRPr="00EA0E72">
        <w:rPr>
          <w:rFonts w:cs="Times New Roman"/>
          <w:szCs w:val="28"/>
          <w:lang w:val="en-GB"/>
        </w:rPr>
        <w:tab/>
      </w:r>
      <w:r w:rsidRPr="00EA0E72">
        <w:rPr>
          <w:rFonts w:cs="Times New Roman"/>
          <w:szCs w:val="28"/>
          <w:lang w:val="en-GB"/>
        </w:rPr>
        <w:t>其他資助計劃</w:t>
      </w: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p>
    <w:p w:rsidR="00DE54D6" w:rsidRPr="00EA0E72" w:rsidRDefault="00DE54D6" w:rsidP="00DE54D6">
      <w:pPr>
        <w:tabs>
          <w:tab w:val="left" w:pos="720"/>
          <w:tab w:val="left" w:pos="1440"/>
        </w:tabs>
        <w:snapToGrid w:val="0"/>
        <w:spacing w:line="360" w:lineRule="atLeast"/>
        <w:ind w:left="720" w:hanging="720"/>
        <w:jc w:val="both"/>
        <w:outlineLvl w:val="0"/>
        <w:rPr>
          <w:rFonts w:cs="Times New Roman"/>
          <w:szCs w:val="28"/>
          <w:lang w:val="en-GB"/>
        </w:rPr>
      </w:pPr>
      <w:r w:rsidRPr="00EA0E72">
        <w:rPr>
          <w:rFonts w:cs="Times New Roman"/>
          <w:szCs w:val="28"/>
          <w:lang w:val="en-GB"/>
        </w:rPr>
        <w:tab/>
      </w:r>
      <w:r w:rsidRPr="00EA0E72">
        <w:rPr>
          <w:rFonts w:cs="Times New Roman"/>
          <w:szCs w:val="28"/>
          <w:lang w:val="en-GB"/>
        </w:rPr>
        <w:t>政府並為修讀自資專上課程的學生提供不同的資助。為培育切合本港社會及經濟需要的人才，政府由</w:t>
      </w:r>
      <w:r w:rsidRPr="00EA0E72">
        <w:rPr>
          <w:rFonts w:cs="Times New Roman"/>
          <w:szCs w:val="28"/>
          <w:lang w:val="en-GB"/>
        </w:rPr>
        <w:t>2015/16</w:t>
      </w:r>
      <w:r w:rsidRPr="00EA0E72">
        <w:rPr>
          <w:rFonts w:cs="Times New Roman"/>
          <w:szCs w:val="28"/>
          <w:lang w:val="en-GB"/>
        </w:rPr>
        <w:t>學年起以試行形式推行指定專業</w:t>
      </w:r>
      <w:r w:rsidRPr="00EA0E72">
        <w:rPr>
          <w:rFonts w:ascii="新細明體" w:eastAsia="新細明體" w:hAnsi="新細明體" w:cs="新細明體" w:hint="eastAsia"/>
          <w:szCs w:val="28"/>
          <w:lang w:val="en-GB"/>
        </w:rPr>
        <w:t>╱</w:t>
      </w:r>
      <w:r w:rsidRPr="00EA0E72">
        <w:rPr>
          <w:rFonts w:cs="Times New Roman"/>
          <w:szCs w:val="28"/>
          <w:lang w:val="en-GB"/>
        </w:rPr>
        <w:t>界別課程資助計劃，資助每屆約</w:t>
      </w:r>
      <w:r w:rsidRPr="00EA0E72">
        <w:rPr>
          <w:rFonts w:cs="Times New Roman"/>
          <w:szCs w:val="28"/>
          <w:lang w:val="en-GB"/>
        </w:rPr>
        <w:t>1 000</w:t>
      </w:r>
      <w:r w:rsidRPr="00EA0E72">
        <w:rPr>
          <w:rFonts w:cs="Times New Roman"/>
          <w:szCs w:val="28"/>
          <w:lang w:val="en-GB"/>
        </w:rPr>
        <w:t>名學生修讀選定範疇的指定全日制經本地評審自資學士學位課程。</w:t>
      </w:r>
      <w:r w:rsidRPr="00EA0E72">
        <w:rPr>
          <w:rFonts w:cs="Times New Roman"/>
          <w:szCs w:val="28"/>
          <w:lang w:val="en-GB"/>
        </w:rPr>
        <w:lastRenderedPageBreak/>
        <w:t>資助計劃已由</w:t>
      </w:r>
      <w:r w:rsidRPr="00EA0E72">
        <w:rPr>
          <w:rFonts w:cs="Times New Roman"/>
          <w:szCs w:val="28"/>
          <w:lang w:val="en-GB"/>
        </w:rPr>
        <w:t>2018/19</w:t>
      </w:r>
      <w:r w:rsidRPr="00EA0E72">
        <w:rPr>
          <w:rFonts w:cs="Times New Roman"/>
          <w:szCs w:val="28"/>
          <w:lang w:val="en-GB"/>
        </w:rPr>
        <w:t>學年開始恆常化，資助學額亦已由每屆約</w:t>
      </w:r>
      <w:r w:rsidRPr="00EA0E72">
        <w:rPr>
          <w:rFonts w:cs="Times New Roman"/>
          <w:szCs w:val="28"/>
          <w:lang w:val="en-GB"/>
        </w:rPr>
        <w:t>1 000</w:t>
      </w:r>
      <w:r w:rsidRPr="00EA0E72">
        <w:rPr>
          <w:rFonts w:cs="Times New Roman"/>
          <w:szCs w:val="28"/>
          <w:lang w:val="en-GB"/>
        </w:rPr>
        <w:t>個增加至約</w:t>
      </w:r>
      <w:r w:rsidRPr="00EA0E72">
        <w:rPr>
          <w:rFonts w:cs="Times New Roman"/>
          <w:szCs w:val="28"/>
          <w:lang w:val="en-GB"/>
        </w:rPr>
        <w:t>3 000</w:t>
      </w:r>
      <w:r w:rsidRPr="00EA0E72">
        <w:rPr>
          <w:rFonts w:cs="Times New Roman"/>
          <w:szCs w:val="28"/>
          <w:lang w:val="en-GB"/>
        </w:rPr>
        <w:t>個。資助計劃的資助範圍將由</w:t>
      </w:r>
      <w:r w:rsidRPr="00EA0E72">
        <w:rPr>
          <w:rFonts w:cs="Times New Roman"/>
          <w:szCs w:val="28"/>
          <w:lang w:val="en-GB"/>
        </w:rPr>
        <w:t>2019/20</w:t>
      </w:r>
      <w:r w:rsidRPr="00EA0E72">
        <w:rPr>
          <w:rFonts w:cs="Times New Roman"/>
          <w:szCs w:val="28"/>
          <w:lang w:val="en-GB"/>
        </w:rPr>
        <w:t>學年起擴大至資助每屆約</w:t>
      </w:r>
      <w:r w:rsidRPr="00EA0E72">
        <w:rPr>
          <w:rFonts w:cs="Times New Roman"/>
          <w:szCs w:val="28"/>
          <w:lang w:val="en-GB"/>
        </w:rPr>
        <w:t>2 000</w:t>
      </w:r>
      <w:r w:rsidRPr="00EA0E72">
        <w:rPr>
          <w:rFonts w:cs="Times New Roman"/>
          <w:szCs w:val="28"/>
          <w:lang w:val="en-GB"/>
        </w:rPr>
        <w:t>名學生修讀選定範疇的指定全日制經本地評審自資副學位課程。此外，</w:t>
      </w:r>
      <w:r w:rsidRPr="00EA0E72">
        <w:rPr>
          <w:rFonts w:cs="Times New Roman"/>
          <w:szCs w:val="28"/>
          <w:lang w:val="en-GB"/>
        </w:rPr>
        <w:t xml:space="preserve"> </w:t>
      </w:r>
      <w:r w:rsidRPr="00EA0E72">
        <w:rPr>
          <w:rFonts w:cs="Times New Roman"/>
          <w:szCs w:val="28"/>
          <w:lang w:val="en-GB"/>
        </w:rPr>
        <w:t>自</w:t>
      </w:r>
      <w:r w:rsidRPr="00EA0E72">
        <w:rPr>
          <w:rFonts w:cs="Times New Roman"/>
          <w:szCs w:val="28"/>
          <w:lang w:val="en-GB"/>
        </w:rPr>
        <w:t>2017/18</w:t>
      </w:r>
      <w:r w:rsidRPr="00EA0E72">
        <w:rPr>
          <w:rFonts w:cs="Times New Roman"/>
          <w:szCs w:val="28"/>
          <w:lang w:val="en-GB"/>
        </w:rPr>
        <w:t>學年起，政府推行為修讀自資學士學位課程學生提供的免入息審查資助計劃，向在香港修讀合資格院校開辦的全日制經本地評審本地及非本地自資學士學位（包括銜接學位）課程的合資格學生（不包括已受惠於指定專業</w:t>
      </w:r>
      <w:r w:rsidRPr="00EA0E72">
        <w:rPr>
          <w:rFonts w:ascii="新細明體" w:eastAsia="新細明體" w:hAnsi="新細明體" w:cs="新細明體" w:hint="eastAsia"/>
          <w:szCs w:val="28"/>
          <w:lang w:val="en-GB"/>
        </w:rPr>
        <w:t>╱</w:t>
      </w:r>
      <w:r w:rsidRPr="00EA0E72">
        <w:rPr>
          <w:rFonts w:cs="Times New Roman"/>
          <w:szCs w:val="28"/>
          <w:lang w:val="en-GB"/>
        </w:rPr>
        <w:t>界別課程資助計劃的學生），提供每年免入息審查資助。</w:t>
      </w:r>
    </w:p>
    <w:p w:rsidR="00D91B85" w:rsidRDefault="00D91B85" w:rsidP="00DE54D6">
      <w:pPr>
        <w:pStyle w:val="2"/>
        <w:tabs>
          <w:tab w:val="left" w:pos="1440"/>
        </w:tabs>
        <w:adjustRightInd w:val="0"/>
        <w:snapToGrid w:val="0"/>
        <w:spacing w:after="0" w:line="400" w:lineRule="atLeast"/>
        <w:jc w:val="both"/>
        <w:rPr>
          <w:lang w:val="en-GB"/>
        </w:rPr>
        <w:sectPr w:rsidR="00D91B85" w:rsidSect="00DE54D6">
          <w:footerReference w:type="default" r:id="rId75"/>
          <w:pgSz w:w="11906" w:h="16838"/>
          <w:pgMar w:top="1440" w:right="1800" w:bottom="1440" w:left="1800" w:header="720" w:footer="720" w:gutter="0"/>
          <w:pgNumType w:start="1"/>
          <w:cols w:space="425"/>
          <w:docGrid w:type="lines" w:linePitch="381"/>
        </w:sectPr>
      </w:pPr>
    </w:p>
    <w:p w:rsidR="00407946" w:rsidRDefault="00407946" w:rsidP="00407946">
      <w:pPr>
        <w:snapToGrid w:val="0"/>
        <w:spacing w:line="400" w:lineRule="atLeast"/>
        <w:jc w:val="right"/>
        <w:rPr>
          <w:b/>
          <w:szCs w:val="28"/>
          <w:lang w:eastAsia="zh-HK"/>
        </w:rPr>
      </w:pPr>
      <w:r w:rsidRPr="00E4267C">
        <w:rPr>
          <w:rFonts w:hint="eastAsia"/>
          <w:b/>
          <w:szCs w:val="28"/>
          <w:lang w:eastAsia="zh-HK"/>
        </w:rPr>
        <w:lastRenderedPageBreak/>
        <w:t>附件</w:t>
      </w:r>
      <w:r w:rsidRPr="00E4267C">
        <w:rPr>
          <w:rFonts w:hint="eastAsia"/>
          <w:b/>
          <w:szCs w:val="28"/>
          <w:lang w:eastAsia="zh-HK"/>
        </w:rPr>
        <w:t>1</w:t>
      </w:r>
      <w:r w:rsidRPr="00E4267C">
        <w:rPr>
          <w:b/>
          <w:szCs w:val="28"/>
          <w:lang w:eastAsia="zh-HK"/>
        </w:rPr>
        <w:t>3</w:t>
      </w:r>
      <w:r>
        <w:rPr>
          <w:b/>
          <w:szCs w:val="28"/>
          <w:lang w:eastAsia="zh-HK"/>
        </w:rPr>
        <w:t>C</w:t>
      </w:r>
    </w:p>
    <w:p w:rsidR="00407946" w:rsidRDefault="00407946" w:rsidP="00407946">
      <w:pPr>
        <w:snapToGrid w:val="0"/>
        <w:spacing w:line="400" w:lineRule="atLeast"/>
        <w:jc w:val="right"/>
        <w:rPr>
          <w:b/>
          <w:szCs w:val="28"/>
          <w:lang w:eastAsia="zh-HK"/>
        </w:rPr>
      </w:pPr>
    </w:p>
    <w:p w:rsidR="00407946" w:rsidRDefault="00407946" w:rsidP="00407946">
      <w:pPr>
        <w:snapToGrid w:val="0"/>
        <w:spacing w:line="400" w:lineRule="atLeast"/>
        <w:jc w:val="center"/>
        <w:rPr>
          <w:b/>
          <w:szCs w:val="28"/>
        </w:rPr>
      </w:pPr>
      <w:r w:rsidRPr="00D8333B">
        <w:rPr>
          <w:b/>
          <w:szCs w:val="28"/>
          <w:lang w:eastAsia="zh-HK"/>
        </w:rPr>
        <w:t>兩文三語</w:t>
      </w:r>
      <w:r w:rsidRPr="00D8333B">
        <w:rPr>
          <w:rFonts w:hint="eastAsia"/>
          <w:b/>
          <w:szCs w:val="28"/>
          <w:lang w:eastAsia="zh-HK"/>
        </w:rPr>
        <w:t>和教學語言</w:t>
      </w:r>
      <w:r>
        <w:rPr>
          <w:rFonts w:hint="eastAsia"/>
          <w:b/>
          <w:szCs w:val="28"/>
          <w:lang w:eastAsia="zh-HK"/>
        </w:rPr>
        <w:t>的相</w:t>
      </w:r>
      <w:r>
        <w:rPr>
          <w:rFonts w:hint="eastAsia"/>
          <w:b/>
          <w:szCs w:val="28"/>
        </w:rPr>
        <w:t>關</w:t>
      </w:r>
      <w:r>
        <w:rPr>
          <w:rFonts w:hint="eastAsia"/>
          <w:b/>
          <w:szCs w:val="28"/>
          <w:lang w:eastAsia="zh-HK"/>
        </w:rPr>
        <w:t>措</w:t>
      </w:r>
      <w:r>
        <w:rPr>
          <w:rFonts w:hint="eastAsia"/>
          <w:b/>
          <w:szCs w:val="28"/>
        </w:rPr>
        <w:t>施</w:t>
      </w:r>
    </w:p>
    <w:p w:rsidR="00407946" w:rsidRDefault="00407946" w:rsidP="00407946">
      <w:pPr>
        <w:snapToGrid w:val="0"/>
        <w:spacing w:line="400" w:lineRule="atLeast"/>
        <w:jc w:val="center"/>
        <w:rPr>
          <w:b/>
          <w:szCs w:val="28"/>
        </w:rPr>
      </w:pPr>
    </w:p>
    <w:p w:rsidR="00407946" w:rsidRPr="00D8333B" w:rsidRDefault="00407946" w:rsidP="00407946">
      <w:pPr>
        <w:tabs>
          <w:tab w:val="left" w:pos="1440"/>
        </w:tabs>
        <w:adjustRightInd w:val="0"/>
        <w:snapToGrid w:val="0"/>
        <w:spacing w:line="400" w:lineRule="atLeast"/>
        <w:jc w:val="both"/>
        <w:rPr>
          <w:rFonts w:cs="Times New Roman"/>
          <w:szCs w:val="28"/>
        </w:rPr>
      </w:pPr>
      <w:r w:rsidRPr="00D8333B">
        <w:rPr>
          <w:rFonts w:eastAsia="DengXian" w:cs="Times New Roman"/>
          <w:szCs w:val="28"/>
        </w:rPr>
        <w:t>1</w:t>
      </w:r>
      <w:r>
        <w:rPr>
          <w:rFonts w:asciiTheme="minorEastAsia" w:hAnsiTheme="minorEastAsia" w:cs="Times New Roman" w:hint="eastAsia"/>
          <w:szCs w:val="28"/>
        </w:rPr>
        <w:t>.</w:t>
      </w:r>
      <w:r w:rsidRPr="00D8333B">
        <w:rPr>
          <w:rFonts w:eastAsia="DengXian" w:cs="Times New Roman"/>
          <w:szCs w:val="28"/>
        </w:rPr>
        <w:tab/>
      </w:r>
      <w:r w:rsidRPr="00D8333B">
        <w:rPr>
          <w:rFonts w:hint="eastAsia"/>
          <w:szCs w:val="28"/>
          <w:lang w:eastAsia="zh-HK"/>
        </w:rPr>
        <w:t>特區政府提升學生</w:t>
      </w:r>
      <w:r>
        <w:rPr>
          <w:rFonts w:hint="eastAsia"/>
          <w:szCs w:val="28"/>
          <w:lang w:eastAsia="zh-HK"/>
        </w:rPr>
        <w:t>「</w:t>
      </w:r>
      <w:r w:rsidRPr="00D8333B">
        <w:rPr>
          <w:szCs w:val="28"/>
          <w:lang w:eastAsia="zh-HK"/>
        </w:rPr>
        <w:t>兩文三語</w:t>
      </w:r>
      <w:r>
        <w:rPr>
          <w:rFonts w:hint="eastAsia"/>
          <w:szCs w:val="28"/>
          <w:lang w:eastAsia="zh-HK"/>
        </w:rPr>
        <w:t>」</w:t>
      </w:r>
      <w:r w:rsidRPr="00D8333B">
        <w:rPr>
          <w:rFonts w:hint="eastAsia"/>
          <w:szCs w:val="28"/>
          <w:lang w:eastAsia="zh-HK"/>
        </w:rPr>
        <w:t>水平的措施</w:t>
      </w:r>
      <w:r w:rsidRPr="00D8333B">
        <w:rPr>
          <w:szCs w:val="28"/>
          <w:lang w:eastAsia="zh-HK"/>
        </w:rPr>
        <w:t>包括</w:t>
      </w:r>
      <w:r w:rsidRPr="00D8333B">
        <w:rPr>
          <w:rFonts w:cs="Times New Roman"/>
          <w:szCs w:val="28"/>
        </w:rPr>
        <w:t>：</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hint="eastAsia"/>
          <w:bCs/>
          <w:szCs w:val="28"/>
        </w:rPr>
        <w:t>(a)</w:t>
      </w:r>
      <w:r w:rsidRPr="00D8333B">
        <w:rPr>
          <w:rFonts w:cs="Times New Roman"/>
          <w:bCs/>
          <w:szCs w:val="28"/>
        </w:rPr>
        <w:tab/>
      </w:r>
      <w:r w:rsidRPr="00D8333B">
        <w:rPr>
          <w:rFonts w:cs="Times New Roman"/>
          <w:szCs w:val="28"/>
        </w:rPr>
        <w:t>持續檢視課程，更新中國語文、英國語文教育學習領域課程指引，為學校提供語文課程發展及規劃的建議；</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(b)</w:t>
      </w:r>
      <w:r w:rsidRPr="00D8333B">
        <w:rPr>
          <w:rFonts w:cs="Times New Roman"/>
          <w:szCs w:val="28"/>
        </w:rPr>
        <w:tab/>
      </w:r>
      <w:r w:rsidRPr="00D8333B">
        <w:rPr>
          <w:rFonts w:cs="Times New Roman"/>
          <w:szCs w:val="28"/>
        </w:rPr>
        <w:t>普通話科課程涵蓋小一至中三，為學生提供更多實踐普通話的機會；</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(c)</w:t>
      </w:r>
      <w:r w:rsidRPr="00D8333B">
        <w:rPr>
          <w:rFonts w:cs="Times New Roman"/>
          <w:szCs w:val="28"/>
        </w:rPr>
        <w:tab/>
      </w:r>
      <w:r w:rsidRPr="00D8333B">
        <w:rPr>
          <w:rFonts w:cs="Times New Roman"/>
          <w:szCs w:val="28"/>
        </w:rPr>
        <w:t>建議學校由「從閱讀中學習」推展至「跨課程閱讀」及「跨課程語文學習」，以連繫不同學科的學習，拓寬學生的知識基礎；</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(d)</w:t>
      </w:r>
      <w:r w:rsidRPr="00D8333B">
        <w:rPr>
          <w:rFonts w:cs="Times New Roman"/>
          <w:szCs w:val="28"/>
        </w:rPr>
        <w:tab/>
      </w:r>
      <w:r w:rsidRPr="00D8333B">
        <w:rPr>
          <w:rFonts w:cs="Times New Roman"/>
          <w:szCs w:val="28"/>
        </w:rPr>
        <w:t>由</w:t>
      </w:r>
      <w:r w:rsidRPr="00D8333B">
        <w:rPr>
          <w:rFonts w:cs="Times New Roman"/>
          <w:szCs w:val="28"/>
        </w:rPr>
        <w:t>2018/19</w:t>
      </w:r>
      <w:r w:rsidRPr="00D8333B">
        <w:rPr>
          <w:rFonts w:cs="Times New Roman"/>
          <w:szCs w:val="28"/>
        </w:rPr>
        <w:t>學年起向學校提供一項全新的「推廣閱讀津貼」，鼓勵學校推廣閱讀；</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(e)</w:t>
      </w:r>
      <w:r w:rsidRPr="00D8333B">
        <w:rPr>
          <w:rFonts w:cs="Times New Roman"/>
          <w:szCs w:val="28"/>
        </w:rPr>
        <w:tab/>
      </w:r>
      <w:r w:rsidRPr="00D8333B">
        <w:rPr>
          <w:rFonts w:cs="Times New Roman"/>
          <w:szCs w:val="28"/>
        </w:rPr>
        <w:t>持續為語文教師舉辦不同的專業發展課程、提供支援學與教的材料、推行校本語文教學支援服務，以幫助提升教師的教學效能；</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(f)</w:t>
      </w:r>
      <w:r w:rsidRPr="00D8333B">
        <w:rPr>
          <w:rFonts w:cs="Times New Roman"/>
          <w:szCs w:val="28"/>
        </w:rPr>
        <w:tab/>
      </w:r>
      <w:r w:rsidRPr="00D8333B">
        <w:rPr>
          <w:rFonts w:cs="Times New Roman"/>
          <w:szCs w:val="28"/>
        </w:rPr>
        <w:t>推行全港性系統評估，以評估學生在三個學習階段（小三、小六及中三），三個核心科目（包括中、英文）的學習表現能否達到基本能力水平，從而為學校提供有用數據，作為擬定學與教計劃的優次及檢視學生學習進度和水平的參考；</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(g)</w:t>
      </w:r>
      <w:r w:rsidRPr="00D8333B">
        <w:rPr>
          <w:rFonts w:cs="Times New Roman"/>
          <w:szCs w:val="28"/>
        </w:rPr>
        <w:tab/>
        <w:t>2012</w:t>
      </w:r>
      <w:r w:rsidRPr="00D8333B">
        <w:rPr>
          <w:rFonts w:cs="Times New Roman"/>
          <w:szCs w:val="28"/>
        </w:rPr>
        <w:t>年起，香港中學文憑考試採用水平參照模式匯報成績，以確保成績匯報的方式符合國際水平，</w:t>
      </w:r>
      <w:r w:rsidRPr="00D8333B">
        <w:rPr>
          <w:rFonts w:cs="Times New Roman" w:hint="eastAsia"/>
          <w:szCs w:val="28"/>
        </w:rPr>
        <w:t>而且透明度高及清晰明確</w:t>
      </w:r>
      <w:r w:rsidRPr="00D8333B">
        <w:rPr>
          <w:rFonts w:cs="Times New Roman"/>
          <w:szCs w:val="28"/>
        </w:rPr>
        <w:t>；</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lastRenderedPageBreak/>
        <w:t>(h)</w:t>
      </w:r>
      <w:r w:rsidRPr="00D8333B">
        <w:rPr>
          <w:rFonts w:cs="Times New Roman"/>
          <w:szCs w:val="28"/>
        </w:rPr>
        <w:tab/>
      </w:r>
      <w:r w:rsidRPr="00D8333B">
        <w:rPr>
          <w:rFonts w:cs="Times New Roman"/>
          <w:szCs w:val="28"/>
        </w:rPr>
        <w:t>語文教育及研究常務委員會（屬政府諮詢組織，負責就語文教育事宜向政府提出建議）將致力開展語文學習和語文教育相關的研究和發展項目，提升語文教師的專業素養，提供語文教育相關的校本支援，及營造有利學生以至整個社會的語言環境；</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adjustRightInd w:val="0"/>
        <w:snapToGrid w:val="0"/>
        <w:spacing w:line="400" w:lineRule="atLeast"/>
        <w:ind w:left="1440" w:hanging="720"/>
        <w:jc w:val="both"/>
        <w:rPr>
          <w:rFonts w:cs="Times New Roman"/>
          <w:szCs w:val="28"/>
        </w:rPr>
      </w:pPr>
      <w:r w:rsidRPr="00D8333B">
        <w:rPr>
          <w:rFonts w:cs="Times New Roman"/>
          <w:szCs w:val="28"/>
        </w:rPr>
        <w:t>(i)</w:t>
      </w:r>
      <w:r w:rsidRPr="00D8333B">
        <w:rPr>
          <w:rFonts w:cs="Times New Roman"/>
          <w:szCs w:val="28"/>
        </w:rPr>
        <w:tab/>
      </w:r>
      <w:r w:rsidRPr="00D8333B">
        <w:rPr>
          <w:rFonts w:cs="Times New Roman"/>
          <w:szCs w:val="28"/>
        </w:rPr>
        <w:t>通過運用語文基金、優質教育基金等，鼓勵教師發展校本課程或運用不同教學策略，以提升學與教包括學生學習語文的成效。</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2.</w:t>
      </w:r>
      <w:r w:rsidRPr="00D8333B">
        <w:rPr>
          <w:rFonts w:cs="Times New Roman"/>
          <w:szCs w:val="28"/>
        </w:rPr>
        <w:tab/>
      </w:r>
      <w:r w:rsidRPr="00D8333B">
        <w:rPr>
          <w:rFonts w:cs="Times New Roman" w:hint="eastAsia"/>
          <w:szCs w:val="28"/>
        </w:rPr>
        <w:t>正如上一次報告第</w:t>
      </w:r>
      <w:r w:rsidRPr="00D8333B">
        <w:rPr>
          <w:rFonts w:cs="Times New Roman"/>
          <w:szCs w:val="28"/>
        </w:rPr>
        <w:t>13.17</w:t>
      </w:r>
      <w:r w:rsidRPr="00D8333B">
        <w:rPr>
          <w:rFonts w:cs="Times New Roman" w:hint="eastAsia"/>
          <w:szCs w:val="28"/>
        </w:rPr>
        <w:t>段所述，我們由</w:t>
      </w:r>
      <w:r w:rsidRPr="00D8333B">
        <w:rPr>
          <w:rFonts w:cs="Times New Roman"/>
          <w:szCs w:val="28"/>
        </w:rPr>
        <w:t>2010/11</w:t>
      </w:r>
      <w:r w:rsidRPr="00D8333B">
        <w:rPr>
          <w:rFonts w:cs="Times New Roman" w:hint="eastAsia"/>
          <w:szCs w:val="28"/>
        </w:rPr>
        <w:t>學年開始在初中階段實施微調教學語言安排，讓學校有更大彈性因應學生以英語學習的能力、教師以英語授課的能力和所作準備，以及學校的支援措施，專業地制訂校本教學語言安排，以增加學生接觸和運用英語的機會，從而提升他們以英語學習的能力，以及為升學及將來工作做準備，迎接香港面對全球經濟一體化的挑戰。</w:t>
      </w:r>
    </w:p>
    <w:p w:rsidR="00407946" w:rsidRPr="00D8333B" w:rsidRDefault="00407946" w:rsidP="00407946">
      <w:pPr>
        <w:widowControl/>
        <w:tabs>
          <w:tab w:val="left" w:pos="1440"/>
        </w:tabs>
        <w:adjustRightInd w:val="0"/>
        <w:snapToGrid w:val="0"/>
        <w:spacing w:line="400" w:lineRule="atLeast"/>
        <w:jc w:val="both"/>
        <w:rPr>
          <w:rFonts w:cs="Times New Roman"/>
          <w:szCs w:val="28"/>
        </w:rPr>
      </w:pPr>
    </w:p>
    <w:p w:rsidR="00407946" w:rsidRPr="00D8333B"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3.</w:t>
      </w:r>
      <w:r w:rsidRPr="00D8333B">
        <w:rPr>
          <w:rFonts w:cs="Times New Roman"/>
          <w:szCs w:val="28"/>
        </w:rPr>
        <w:tab/>
      </w:r>
      <w:r w:rsidRPr="00D8333B">
        <w:rPr>
          <w:rFonts w:cs="Times New Roman" w:hint="eastAsia"/>
          <w:szCs w:val="28"/>
        </w:rPr>
        <w:t>微調教學語言安排以六年為一周期，我們檢視第一周期（即</w:t>
      </w:r>
      <w:r w:rsidRPr="00D8333B">
        <w:rPr>
          <w:rFonts w:cs="Times New Roman" w:hint="eastAsia"/>
          <w:szCs w:val="28"/>
        </w:rPr>
        <w:t>2010/11</w:t>
      </w:r>
      <w:r w:rsidRPr="00D8333B">
        <w:rPr>
          <w:rFonts w:cs="Times New Roman" w:hint="eastAsia"/>
          <w:szCs w:val="28"/>
        </w:rPr>
        <w:t>至</w:t>
      </w:r>
      <w:r w:rsidRPr="00D8333B">
        <w:rPr>
          <w:rFonts w:cs="Times New Roman" w:hint="eastAsia"/>
          <w:szCs w:val="28"/>
        </w:rPr>
        <w:t>2015/16</w:t>
      </w:r>
      <w:r w:rsidRPr="00D8333B">
        <w:rPr>
          <w:rFonts w:cs="Times New Roman" w:hint="eastAsia"/>
          <w:szCs w:val="28"/>
        </w:rPr>
        <w:t>學年）的推行情況後，考慮到學校的教學語言安排開始扎根，學生亦能受惠於教師團隊的教學經驗，以及校本支援措施發揮的效用；而教師亦需在穩定的教學語言環境下發展各非語文科目學與教的策略，我們決定在第二周期（即</w:t>
      </w:r>
      <w:r w:rsidRPr="00D8333B">
        <w:rPr>
          <w:rFonts w:cs="Times New Roman" w:hint="eastAsia"/>
          <w:szCs w:val="28"/>
        </w:rPr>
        <w:t>2016/17</w:t>
      </w:r>
      <w:r w:rsidRPr="00D8333B">
        <w:rPr>
          <w:rFonts w:cs="Times New Roman" w:hint="eastAsia"/>
          <w:szCs w:val="28"/>
        </w:rPr>
        <w:t>至</w:t>
      </w:r>
      <w:r w:rsidRPr="00D8333B">
        <w:rPr>
          <w:rFonts w:cs="Times New Roman" w:hint="eastAsia"/>
          <w:szCs w:val="28"/>
        </w:rPr>
        <w:t>2021/22</w:t>
      </w:r>
      <w:r w:rsidRPr="00D8333B">
        <w:rPr>
          <w:rFonts w:cs="Times New Roman" w:hint="eastAsia"/>
          <w:szCs w:val="28"/>
        </w:rPr>
        <w:t>學年）維持微調教學語言安排的政策目標和整體安排，學校亦可選擇延伸其第一周期的校本教學語言安排。</w:t>
      </w:r>
    </w:p>
    <w:p w:rsidR="00407946" w:rsidRDefault="00407946" w:rsidP="001745ED">
      <w:pPr>
        <w:tabs>
          <w:tab w:val="left" w:pos="1440"/>
          <w:tab w:val="left" w:pos="1680"/>
        </w:tabs>
        <w:adjustRightInd w:val="0"/>
        <w:snapToGrid w:val="0"/>
        <w:spacing w:line="400" w:lineRule="atLeast"/>
        <w:ind w:right="-154"/>
        <w:jc w:val="both"/>
        <w:rPr>
          <w:rFonts w:cs="Times New Roman"/>
          <w:bCs/>
          <w:kern w:val="0"/>
          <w:szCs w:val="28"/>
        </w:rPr>
        <w:sectPr w:rsidR="00407946" w:rsidSect="00DE54D6">
          <w:pgSz w:w="11906" w:h="16838"/>
          <w:pgMar w:top="1440" w:right="1800" w:bottom="1440" w:left="1800" w:header="720" w:footer="720" w:gutter="0"/>
          <w:pgNumType w:start="1"/>
          <w:cols w:space="425"/>
          <w:docGrid w:type="lines" w:linePitch="381"/>
        </w:sectPr>
      </w:pPr>
    </w:p>
    <w:p w:rsidR="00407946" w:rsidRDefault="00407946" w:rsidP="00407946">
      <w:pPr>
        <w:snapToGrid w:val="0"/>
        <w:spacing w:line="400" w:lineRule="atLeast"/>
        <w:jc w:val="right"/>
        <w:rPr>
          <w:b/>
          <w:szCs w:val="28"/>
        </w:rPr>
      </w:pPr>
      <w:r w:rsidRPr="00E4267C">
        <w:rPr>
          <w:rFonts w:hint="eastAsia"/>
          <w:b/>
          <w:szCs w:val="28"/>
          <w:lang w:eastAsia="zh-HK"/>
        </w:rPr>
        <w:lastRenderedPageBreak/>
        <w:t>附件</w:t>
      </w:r>
      <w:r w:rsidRPr="00E4267C">
        <w:rPr>
          <w:rFonts w:hint="eastAsia"/>
          <w:b/>
          <w:szCs w:val="28"/>
        </w:rPr>
        <w:t>13</w:t>
      </w:r>
      <w:r>
        <w:rPr>
          <w:b/>
          <w:szCs w:val="28"/>
        </w:rPr>
        <w:t>D</w:t>
      </w:r>
    </w:p>
    <w:p w:rsidR="00407946" w:rsidRDefault="00407946" w:rsidP="00407946">
      <w:pPr>
        <w:snapToGrid w:val="0"/>
        <w:spacing w:line="400" w:lineRule="atLeast"/>
        <w:jc w:val="right"/>
        <w:rPr>
          <w:b/>
          <w:szCs w:val="28"/>
        </w:rPr>
      </w:pPr>
    </w:p>
    <w:p w:rsidR="00407946" w:rsidRDefault="00407946" w:rsidP="00407946">
      <w:pPr>
        <w:snapToGrid w:val="0"/>
        <w:spacing w:line="400" w:lineRule="atLeast"/>
        <w:jc w:val="center"/>
        <w:rPr>
          <w:b/>
          <w:szCs w:val="28"/>
        </w:rPr>
      </w:pPr>
      <w:r w:rsidRPr="00EE2CA0">
        <w:rPr>
          <w:rFonts w:hint="eastAsia"/>
          <w:b/>
          <w:szCs w:val="28"/>
          <w:lang w:eastAsia="zh-HK"/>
        </w:rPr>
        <w:t>支</w:t>
      </w:r>
      <w:r w:rsidRPr="00EE2CA0">
        <w:rPr>
          <w:rFonts w:hint="eastAsia"/>
          <w:b/>
          <w:szCs w:val="28"/>
        </w:rPr>
        <w:t>援學校和非華語學生學習中文的</w:t>
      </w:r>
      <w:r w:rsidRPr="00EE2CA0">
        <w:rPr>
          <w:rFonts w:hint="eastAsia"/>
          <w:b/>
          <w:szCs w:val="28"/>
          <w:lang w:eastAsia="zh-HK"/>
        </w:rPr>
        <w:t>主要措</w:t>
      </w:r>
      <w:r w:rsidRPr="00EE2CA0">
        <w:rPr>
          <w:rFonts w:hint="eastAsia"/>
          <w:b/>
          <w:szCs w:val="28"/>
        </w:rPr>
        <w:t>施</w:t>
      </w:r>
    </w:p>
    <w:p w:rsidR="00407946" w:rsidRDefault="00407946" w:rsidP="00407946">
      <w:pPr>
        <w:snapToGrid w:val="0"/>
        <w:spacing w:line="400" w:lineRule="atLeast"/>
        <w:jc w:val="center"/>
        <w:rPr>
          <w:b/>
          <w:szCs w:val="28"/>
        </w:rPr>
      </w:pPr>
    </w:p>
    <w:p w:rsidR="00407946" w:rsidRDefault="00407946" w:rsidP="00407946">
      <w:pPr>
        <w:widowControl/>
        <w:tabs>
          <w:tab w:val="left" w:pos="1440"/>
        </w:tabs>
        <w:adjustRightInd w:val="0"/>
        <w:snapToGrid w:val="0"/>
        <w:spacing w:line="400" w:lineRule="atLeast"/>
        <w:jc w:val="both"/>
        <w:rPr>
          <w:rFonts w:cs="Times New Roman"/>
          <w:szCs w:val="28"/>
          <w:u w:val="single"/>
        </w:rPr>
      </w:pPr>
      <w:r>
        <w:rPr>
          <w:rFonts w:cs="Times New Roman" w:hint="eastAsia"/>
          <w:szCs w:val="28"/>
          <w:u w:val="single"/>
          <w:lang w:eastAsia="zh-HK"/>
        </w:rPr>
        <w:t>學</w:t>
      </w:r>
      <w:r>
        <w:rPr>
          <w:rFonts w:cs="Times New Roman" w:hint="eastAsia"/>
          <w:szCs w:val="28"/>
          <w:u w:val="single"/>
        </w:rPr>
        <w:t>習</w:t>
      </w:r>
      <w:r>
        <w:rPr>
          <w:rFonts w:cs="Times New Roman" w:hint="eastAsia"/>
          <w:szCs w:val="28"/>
          <w:u w:val="single"/>
          <w:lang w:eastAsia="zh-HK"/>
        </w:rPr>
        <w:t>中文</w:t>
      </w:r>
    </w:p>
    <w:p w:rsidR="00407946" w:rsidRPr="00EF2551" w:rsidRDefault="00407946" w:rsidP="00407946">
      <w:pPr>
        <w:widowControl/>
        <w:tabs>
          <w:tab w:val="left" w:pos="1440"/>
        </w:tabs>
        <w:adjustRightInd w:val="0"/>
        <w:snapToGrid w:val="0"/>
        <w:spacing w:line="400" w:lineRule="atLeast"/>
        <w:jc w:val="both"/>
        <w:rPr>
          <w:rFonts w:cs="Times New Roman"/>
          <w:szCs w:val="28"/>
          <w:u w:val="single"/>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「中國語文課程第二語言學習架構」</w:t>
      </w:r>
    </w:p>
    <w:p w:rsidR="00407946" w:rsidRPr="00EE2CA0" w:rsidRDefault="00407946" w:rsidP="00407946">
      <w:pPr>
        <w:widowControl/>
        <w:tabs>
          <w:tab w:val="left" w:pos="1440"/>
        </w:tabs>
        <w:adjustRightInd w:val="0"/>
        <w:snapToGrid w:val="0"/>
        <w:spacing w:line="400" w:lineRule="atLeast"/>
        <w:jc w:val="both"/>
        <w:rPr>
          <w:rFonts w:cs="Times New Roman"/>
          <w:szCs w:val="28"/>
          <w:u w:val="single"/>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sidRPr="00EE2CA0">
        <w:rPr>
          <w:rFonts w:cs="Times New Roman" w:hint="eastAsia"/>
          <w:szCs w:val="28"/>
        </w:rPr>
        <w:t>1</w:t>
      </w:r>
      <w:r>
        <w:rPr>
          <w:rFonts w:cs="Times New Roman" w:hint="eastAsia"/>
          <w:szCs w:val="28"/>
        </w:rPr>
        <w:t>.</w:t>
      </w:r>
      <w:r w:rsidRPr="00EE2CA0">
        <w:rPr>
          <w:rFonts w:cs="Times New Roman" w:hint="eastAsia"/>
          <w:szCs w:val="28"/>
        </w:rPr>
        <w:tab/>
      </w:r>
      <w:r w:rsidRPr="00EE2CA0">
        <w:rPr>
          <w:rFonts w:cs="Times New Roman" w:hint="eastAsia"/>
          <w:szCs w:val="28"/>
        </w:rPr>
        <w:t>非華語學生以香港為家，須具備良好的中文能力，才能在升學和就業方面具備競爭力，融入本地社會。因此，我們認為不宜向非華語學生提供內容較淺易的中文課程，長遠局限他們學習中文的機會。為此，教育局根據主流中國語文課程，參考專家學者的意見，從第二語言學習者的角度出發，訂定「中國語文課程第二語言學習架構」（「學習架構」），由</w:t>
      </w:r>
      <w:r w:rsidRPr="00EE2CA0">
        <w:rPr>
          <w:rFonts w:cs="Times New Roman" w:hint="eastAsia"/>
          <w:szCs w:val="28"/>
        </w:rPr>
        <w:t>2014/15</w:t>
      </w:r>
      <w:r w:rsidRPr="00EE2CA0">
        <w:rPr>
          <w:rFonts w:cs="Times New Roman" w:hint="eastAsia"/>
          <w:szCs w:val="28"/>
        </w:rPr>
        <w:t>學年開始在中小學實施。教師可參考「學習架構」為不同的非華語學生在讀、寫、聽、說方面的語文能力訂定循序漸進的學習目標、進程及預期學習成果，幫助他們透過小步子的方式學習，讓有不同學習需要的非華語學生都能逐漸學好中文。</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2.</w:t>
      </w:r>
      <w:r w:rsidRPr="00EE2CA0">
        <w:rPr>
          <w:rFonts w:cs="Times New Roman"/>
          <w:szCs w:val="28"/>
        </w:rPr>
        <w:tab/>
      </w:r>
      <w:r w:rsidRPr="00EE2CA0">
        <w:rPr>
          <w:rFonts w:cs="Times New Roman" w:hint="eastAsia"/>
          <w:szCs w:val="28"/>
        </w:rPr>
        <w:t>「學習架構」的設計是專門供教師使用。教育局一直收集前線教師對「學習架構」的意見，並已根據教師的意見調整「學習架構」，列出更清晰和具體的學習成果。修訂後的「學習架構」已於</w:t>
      </w:r>
      <w:r w:rsidRPr="00EE2CA0">
        <w:rPr>
          <w:rFonts w:cs="Times New Roman" w:hint="eastAsia"/>
          <w:szCs w:val="28"/>
        </w:rPr>
        <w:t>2019</w:t>
      </w:r>
      <w:r w:rsidRPr="00EE2CA0">
        <w:rPr>
          <w:rFonts w:cs="Times New Roman" w:hint="eastAsia"/>
          <w:szCs w:val="28"/>
        </w:rPr>
        <w:t>年</w:t>
      </w:r>
      <w:r w:rsidRPr="00EE2CA0">
        <w:rPr>
          <w:rFonts w:cs="Times New Roman" w:hint="eastAsia"/>
          <w:szCs w:val="28"/>
        </w:rPr>
        <w:t>1</w:t>
      </w:r>
      <w:r w:rsidRPr="00EE2CA0">
        <w:rPr>
          <w:rFonts w:cs="Times New Roman" w:hint="eastAsia"/>
          <w:szCs w:val="28"/>
        </w:rPr>
        <w:t>月上載教育局「中國語文課程第二語言學習架構專頁」，供教師參考及使用，而相關的評估工具及教學資源，亦已同步更新。此外，簡介會及專業發展課程亦於</w:t>
      </w:r>
      <w:r w:rsidRPr="00EE2CA0">
        <w:rPr>
          <w:rFonts w:cs="Times New Roman" w:hint="eastAsia"/>
          <w:szCs w:val="28"/>
        </w:rPr>
        <w:t>2019</w:t>
      </w:r>
      <w:r w:rsidRPr="00EE2CA0">
        <w:rPr>
          <w:rFonts w:cs="Times New Roman" w:hint="eastAsia"/>
          <w:szCs w:val="28"/>
        </w:rPr>
        <w:t>年</w:t>
      </w:r>
      <w:r w:rsidRPr="00EE2CA0">
        <w:rPr>
          <w:rFonts w:cs="Times New Roman" w:hint="eastAsia"/>
          <w:szCs w:val="28"/>
        </w:rPr>
        <w:t>1</w:t>
      </w:r>
      <w:r w:rsidRPr="00EE2CA0">
        <w:rPr>
          <w:rFonts w:cs="Times New Roman" w:hint="eastAsia"/>
          <w:szCs w:val="28"/>
        </w:rPr>
        <w:t>月至</w:t>
      </w:r>
      <w:r w:rsidRPr="00EE2CA0">
        <w:rPr>
          <w:rFonts w:cs="Times New Roman" w:hint="eastAsia"/>
          <w:szCs w:val="28"/>
        </w:rPr>
        <w:t>3</w:t>
      </w:r>
      <w:r w:rsidRPr="00EE2CA0">
        <w:rPr>
          <w:rFonts w:cs="Times New Roman" w:hint="eastAsia"/>
          <w:szCs w:val="28"/>
        </w:rPr>
        <w:t>月舉行，以介紹「學習架構」的檢視結果，以及協助學校運用修訂後的「學習架構」進行課程規劃、學與教及評估。</w:t>
      </w:r>
      <w:r w:rsidRPr="00EE2CA0">
        <w:rPr>
          <w:rFonts w:cs="Times New Roman" w:hint="eastAsia"/>
          <w:szCs w:val="28"/>
        </w:rPr>
        <w:t xml:space="preserve"> </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教學資源</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3.</w:t>
      </w:r>
      <w:r w:rsidRPr="00EE2CA0">
        <w:rPr>
          <w:rFonts w:cs="Times New Roman" w:hint="eastAsia"/>
          <w:szCs w:val="28"/>
        </w:rPr>
        <w:tab/>
      </w:r>
      <w:r w:rsidRPr="00EE2CA0">
        <w:rPr>
          <w:rFonts w:cs="Times New Roman" w:hint="eastAsia"/>
          <w:szCs w:val="28"/>
        </w:rPr>
        <w:t>教育局提供的教學資源，包括中國語文第二語言學習套、《中國語文校內評估工具─非華語學生適用》及教學參考資料等，已上載教育局網頁，並會持續更新。當中，建基自</w:t>
      </w:r>
      <w:r w:rsidRPr="00EE2CA0">
        <w:rPr>
          <w:rFonts w:cs="Times New Roman" w:hint="eastAsia"/>
          <w:szCs w:val="28"/>
        </w:rPr>
        <w:t>2014/15</w:t>
      </w:r>
      <w:r w:rsidRPr="00EE2CA0">
        <w:rPr>
          <w:rFonts w:cs="Times New Roman" w:hint="eastAsia"/>
          <w:szCs w:val="28"/>
        </w:rPr>
        <w:t>學年開始支援學校實施「學習架構」的經驗及相關研究成果，教育局與一所高等院校共同發展一套初小級（即小學一年級至三年級）非華語學生適用</w:t>
      </w:r>
      <w:r w:rsidRPr="00EE2CA0">
        <w:rPr>
          <w:rFonts w:cs="Times New Roman" w:hint="eastAsia"/>
          <w:szCs w:val="28"/>
        </w:rPr>
        <w:lastRenderedPageBreak/>
        <w:t>的教材，包括學生課冊、作業和教學參考資料，供教師參考和使用。有關教材已陸續上載教育局網頁，而小學一年級教材的印刷本亦已派發給學校，預計在</w:t>
      </w:r>
      <w:r w:rsidRPr="00EE2CA0">
        <w:rPr>
          <w:rFonts w:cs="Times New Roman" w:hint="eastAsia"/>
          <w:szCs w:val="28"/>
        </w:rPr>
        <w:t>2019</w:t>
      </w:r>
      <w:r w:rsidRPr="00EE2CA0">
        <w:rPr>
          <w:rFonts w:cs="Times New Roman" w:hint="eastAsia"/>
          <w:szCs w:val="28"/>
        </w:rPr>
        <w:t>年</w:t>
      </w:r>
      <w:r w:rsidRPr="00EE2CA0">
        <w:rPr>
          <w:rFonts w:cs="Times New Roman" w:hint="eastAsia"/>
          <w:szCs w:val="28"/>
        </w:rPr>
        <w:t>8</w:t>
      </w:r>
      <w:r w:rsidRPr="00EE2CA0">
        <w:rPr>
          <w:rFonts w:cs="Times New Roman" w:hint="eastAsia"/>
          <w:szCs w:val="28"/>
        </w:rPr>
        <w:t>月完成整套初小級教材，並將推展到高小級（即小學四年級至六年級）。</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4.</w:t>
      </w:r>
      <w:r w:rsidRPr="00EE2CA0">
        <w:rPr>
          <w:rFonts w:cs="Times New Roman" w:hint="eastAsia"/>
          <w:szCs w:val="28"/>
        </w:rPr>
        <w:tab/>
      </w:r>
      <w:r w:rsidRPr="00EE2CA0">
        <w:rPr>
          <w:rFonts w:cs="Times New Roman" w:hint="eastAsia"/>
          <w:szCs w:val="28"/>
        </w:rPr>
        <w:t>此外，按學校實施「學習架構」的經驗，我們發現能力處於「學習架構」第二階和第三階（即一般就讀小學三年級和四年級）的非華語學生，在學習銜接方面最為關鍵。就此，教育局亦委託高等院校與小學協作，按「學習架構」的第二階和第三階發展相關「課本」。適用於小學三年級和四年級共八冊「課本」已派發給學校和非華語學生，並上載教育局網頁。</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教師專業培訓</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5.</w:t>
      </w:r>
      <w:r w:rsidRPr="00EE2CA0">
        <w:rPr>
          <w:rFonts w:cs="Times New Roman" w:hint="eastAsia"/>
          <w:szCs w:val="28"/>
        </w:rPr>
        <w:tab/>
      </w:r>
      <w:r w:rsidRPr="00EE2CA0">
        <w:rPr>
          <w:rFonts w:cs="Times New Roman" w:hint="eastAsia"/>
          <w:szCs w:val="28"/>
        </w:rPr>
        <w:t>為協助學校實施「學習架構」及提升教師的文化敏感度，教育局持續舉辦有系統及多元化的教師專業發展課程，涵蓋課程規劃、第二語言學與教策略等。教育局透過語文基金推行「『教授中文作為第二語言』專業進修津貼計劃」，鼓勵在職中文科教師持續參與專業發展，以提升他們教授非華語學生中文的專業能力。我們亦委託香港教育大學舉辦五星期全日制「為非華語學生而設的中國語文教學專業進修課程證書」課程，以提升教師教授非華語學生學習中文的專業能力。</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6.</w:t>
      </w:r>
      <w:r w:rsidRPr="00EE2CA0">
        <w:rPr>
          <w:rFonts w:cs="Times New Roman" w:hint="eastAsia"/>
          <w:szCs w:val="28"/>
        </w:rPr>
        <w:tab/>
      </w:r>
      <w:r w:rsidRPr="00EE2CA0">
        <w:rPr>
          <w:rFonts w:cs="Times New Roman" w:hint="eastAsia"/>
          <w:szCs w:val="28"/>
        </w:rPr>
        <w:t>此外，教育局會在</w:t>
      </w:r>
      <w:r w:rsidRPr="00EE2CA0">
        <w:rPr>
          <w:rFonts w:cs="Times New Roman" w:hint="eastAsia"/>
          <w:szCs w:val="28"/>
        </w:rPr>
        <w:t>2019/20</w:t>
      </w:r>
      <w:r w:rsidRPr="00EE2CA0">
        <w:rPr>
          <w:rFonts w:cs="Times New Roman" w:hint="eastAsia"/>
          <w:szCs w:val="28"/>
        </w:rPr>
        <w:t>至</w:t>
      </w:r>
      <w:r w:rsidRPr="00EE2CA0">
        <w:rPr>
          <w:rFonts w:cs="Times New Roman" w:hint="eastAsia"/>
          <w:szCs w:val="28"/>
        </w:rPr>
        <w:t>2021/22</w:t>
      </w:r>
      <w:r w:rsidRPr="00EE2CA0">
        <w:rPr>
          <w:rFonts w:cs="Times New Roman" w:hint="eastAsia"/>
          <w:szCs w:val="28"/>
        </w:rPr>
        <w:t>三個學年繼續委託專上院校為錄取非華語學生的中小學及幼稚園提供專業支援服務，而教育局的專業人員亦會繼續提供到校支援，提升教師教授非華語學生學習中文的專業能力。</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額外撥款</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7.</w:t>
      </w:r>
      <w:r w:rsidRPr="00EE2CA0">
        <w:rPr>
          <w:rFonts w:cs="Times New Roman" w:hint="eastAsia"/>
          <w:szCs w:val="28"/>
        </w:rPr>
        <w:tab/>
      </w:r>
      <w:r w:rsidRPr="00EE2CA0">
        <w:rPr>
          <w:rFonts w:cs="Times New Roman" w:hint="eastAsia"/>
          <w:szCs w:val="28"/>
        </w:rPr>
        <w:t>自</w:t>
      </w:r>
      <w:r w:rsidRPr="00EE2CA0">
        <w:rPr>
          <w:rFonts w:cs="Times New Roman" w:hint="eastAsia"/>
          <w:szCs w:val="28"/>
        </w:rPr>
        <w:t>2013/14</w:t>
      </w:r>
      <w:r w:rsidRPr="00EE2CA0">
        <w:rPr>
          <w:rFonts w:cs="Times New Roman" w:hint="eastAsia"/>
          <w:szCs w:val="28"/>
        </w:rPr>
        <w:t>學年開始，教育局已取消上一次報告第</w:t>
      </w:r>
      <w:r w:rsidRPr="00EE2CA0">
        <w:rPr>
          <w:rFonts w:cs="Times New Roman" w:hint="eastAsia"/>
          <w:szCs w:val="28"/>
        </w:rPr>
        <w:t>13.42</w:t>
      </w:r>
      <w:r w:rsidRPr="00EE2CA0">
        <w:rPr>
          <w:rFonts w:cs="Times New Roman" w:hint="eastAsia"/>
          <w:szCs w:val="28"/>
        </w:rPr>
        <w:t>至</w:t>
      </w:r>
      <w:r w:rsidRPr="00EE2CA0">
        <w:rPr>
          <w:rFonts w:cs="Times New Roman" w:hint="eastAsia"/>
          <w:szCs w:val="28"/>
        </w:rPr>
        <w:t>13.43</w:t>
      </w:r>
      <w:r w:rsidRPr="00EE2CA0">
        <w:rPr>
          <w:rFonts w:cs="Times New Roman" w:hint="eastAsia"/>
          <w:szCs w:val="28"/>
        </w:rPr>
        <w:t>段提及所謂的「指定學校」的支援模式</w:t>
      </w:r>
      <w:r w:rsidRPr="00EE2CA0">
        <w:rPr>
          <w:rFonts w:cs="Times New Roman"/>
          <w:szCs w:val="28"/>
          <w:vertAlign w:val="superscript"/>
        </w:rPr>
        <w:footnoteReference w:id="15"/>
      </w:r>
      <w:r w:rsidRPr="00EE2CA0">
        <w:rPr>
          <w:rFonts w:cs="Times New Roman" w:hint="eastAsia"/>
          <w:szCs w:val="28"/>
        </w:rPr>
        <w:t>，額外撥款不再局限</w:t>
      </w:r>
      <w:r w:rsidRPr="00EE2CA0">
        <w:rPr>
          <w:rFonts w:cs="Times New Roman" w:hint="eastAsia"/>
          <w:szCs w:val="28"/>
        </w:rPr>
        <w:lastRenderedPageBreak/>
        <w:t>於部分錄取非華語學生的學校。所有錄取</w:t>
      </w:r>
      <w:r w:rsidRPr="00EE2CA0">
        <w:rPr>
          <w:rFonts w:cs="Times New Roman" w:hint="eastAsia"/>
          <w:szCs w:val="28"/>
        </w:rPr>
        <w:t>10</w:t>
      </w:r>
      <w:r w:rsidRPr="00EE2CA0">
        <w:rPr>
          <w:rFonts w:cs="Times New Roman" w:hint="eastAsia"/>
          <w:szCs w:val="28"/>
        </w:rPr>
        <w:t>名或以上非華語學生的公營學校及提供本地課程的直接資助計劃學校，按其錄取非華語學生的數目，獲提供每年</w:t>
      </w:r>
      <w:r w:rsidRPr="00EE2CA0">
        <w:rPr>
          <w:rFonts w:cs="Times New Roman" w:hint="eastAsia"/>
          <w:szCs w:val="28"/>
        </w:rPr>
        <w:t>30</w:t>
      </w:r>
      <w:r w:rsidRPr="00EE2CA0">
        <w:rPr>
          <w:rFonts w:cs="Times New Roman" w:hint="eastAsia"/>
          <w:szCs w:val="28"/>
        </w:rPr>
        <w:t>萬至</w:t>
      </w:r>
      <w:r w:rsidRPr="00EE2CA0">
        <w:rPr>
          <w:rFonts w:cs="Times New Roman" w:hint="eastAsia"/>
          <w:szCs w:val="28"/>
        </w:rPr>
        <w:t>60</w:t>
      </w:r>
      <w:r w:rsidRPr="00EE2CA0">
        <w:rPr>
          <w:rFonts w:cs="Times New Roman" w:hint="eastAsia"/>
          <w:szCs w:val="28"/>
        </w:rPr>
        <w:t>萬元不等的額外撥款。為協助學校實施「學習架構」和建構共融校園，教育局於</w:t>
      </w:r>
      <w:r w:rsidRPr="00EE2CA0">
        <w:rPr>
          <w:rFonts w:cs="Times New Roman" w:hint="eastAsia"/>
          <w:szCs w:val="28"/>
        </w:rPr>
        <w:t>2014/15</w:t>
      </w:r>
      <w:r w:rsidRPr="00EE2CA0">
        <w:rPr>
          <w:rFonts w:cs="Times New Roman" w:hint="eastAsia"/>
          <w:szCs w:val="28"/>
        </w:rPr>
        <w:t>學年大幅增加額外撥款至現時每年超過二億元。由</w:t>
      </w:r>
      <w:r w:rsidRPr="00EE2CA0">
        <w:rPr>
          <w:rFonts w:cs="Times New Roman" w:hint="eastAsia"/>
          <w:szCs w:val="28"/>
        </w:rPr>
        <w:t>2014/15</w:t>
      </w:r>
      <w:r w:rsidRPr="00EE2CA0">
        <w:rPr>
          <w:rFonts w:cs="Times New Roman" w:hint="eastAsia"/>
          <w:szCs w:val="28"/>
        </w:rPr>
        <w:t>學年開始，上述學校獲</w:t>
      </w:r>
      <w:r w:rsidRPr="008774C7">
        <w:rPr>
          <w:rFonts w:cs="Times New Roman" w:hint="eastAsia"/>
          <w:spacing w:val="-2"/>
          <w:szCs w:val="28"/>
        </w:rPr>
        <w:t>提供每年</w:t>
      </w:r>
      <w:r w:rsidRPr="008774C7">
        <w:rPr>
          <w:rFonts w:cs="Times New Roman" w:hint="eastAsia"/>
          <w:spacing w:val="-2"/>
          <w:szCs w:val="28"/>
        </w:rPr>
        <w:t>80</w:t>
      </w:r>
      <w:r w:rsidRPr="008774C7">
        <w:rPr>
          <w:rFonts w:cs="Times New Roman" w:hint="eastAsia"/>
          <w:spacing w:val="-2"/>
          <w:szCs w:val="28"/>
        </w:rPr>
        <w:t>萬至</w:t>
      </w:r>
      <w:r w:rsidRPr="008774C7">
        <w:rPr>
          <w:rFonts w:cs="Times New Roman" w:hint="eastAsia"/>
          <w:spacing w:val="-2"/>
          <w:szCs w:val="28"/>
        </w:rPr>
        <w:t>150</w:t>
      </w:r>
      <w:r w:rsidRPr="008774C7">
        <w:rPr>
          <w:rFonts w:cs="Times New Roman" w:hint="eastAsia"/>
          <w:spacing w:val="-2"/>
          <w:szCs w:val="28"/>
        </w:rPr>
        <w:t>萬元不等的額外撥款，以便學校因應其非華語</w:t>
      </w:r>
      <w:r w:rsidRPr="00EE2CA0">
        <w:rPr>
          <w:rFonts w:cs="Times New Roman" w:hint="eastAsia"/>
          <w:szCs w:val="28"/>
        </w:rPr>
        <w:t>學生的學習進度及需要採取多元教學模式，包括抽離學習、分組／小組學習、課後支援等，幫助非華語學生學習中文，以及建構共融校園。上述經修訂的額外撥款安排，旨在為所有學校作好準備以支援非華語學生。</w:t>
      </w:r>
    </w:p>
    <w:p w:rsidR="00407946" w:rsidRPr="00EE2CA0" w:rsidRDefault="00407946" w:rsidP="00407946">
      <w:pPr>
        <w:widowControl/>
        <w:tabs>
          <w:tab w:val="left" w:pos="1440"/>
        </w:tabs>
        <w:adjustRightInd w:val="0"/>
        <w:snapToGrid w:val="0"/>
        <w:spacing w:line="400" w:lineRule="atLeast"/>
        <w:jc w:val="both"/>
        <w:rPr>
          <w:rFonts w:cs="Times New Roman"/>
          <w:szCs w:val="28"/>
        </w:rPr>
      </w:pPr>
    </w:p>
    <w:p w:rsidR="00407946" w:rsidRDefault="00407946" w:rsidP="00407946">
      <w:pPr>
        <w:widowControl/>
        <w:tabs>
          <w:tab w:val="left" w:pos="1440"/>
        </w:tabs>
        <w:adjustRightInd w:val="0"/>
        <w:snapToGrid w:val="0"/>
        <w:spacing w:line="400" w:lineRule="atLeast"/>
        <w:jc w:val="both"/>
        <w:rPr>
          <w:rFonts w:cs="Times New Roman"/>
          <w:szCs w:val="28"/>
        </w:rPr>
      </w:pPr>
      <w:r>
        <w:rPr>
          <w:rFonts w:cs="Times New Roman"/>
          <w:szCs w:val="28"/>
        </w:rPr>
        <w:t>8.</w:t>
      </w:r>
      <w:r w:rsidRPr="00EE2CA0">
        <w:rPr>
          <w:rFonts w:cs="Times New Roman" w:hint="eastAsia"/>
          <w:szCs w:val="28"/>
        </w:rPr>
        <w:tab/>
      </w:r>
      <w:r w:rsidRPr="00EE2CA0">
        <w:rPr>
          <w:rFonts w:cs="Times New Roman" w:hint="eastAsia"/>
          <w:szCs w:val="28"/>
        </w:rPr>
        <w:t>至於錄取較少（即一至九名）非華語學生的學校，其非華語學生可受惠於校內沉浸的中文語言環境和「學習架構」。儘管如此，由</w:t>
      </w:r>
      <w:r w:rsidRPr="00EE2CA0">
        <w:rPr>
          <w:rFonts w:cs="Times New Roman" w:hint="eastAsia"/>
          <w:szCs w:val="28"/>
        </w:rPr>
        <w:t>2014/15</w:t>
      </w:r>
      <w:r w:rsidRPr="00EE2CA0">
        <w:rPr>
          <w:rFonts w:cs="Times New Roman" w:hint="eastAsia"/>
          <w:szCs w:val="28"/>
        </w:rPr>
        <w:t>學年開始，他們亦可按需要申請五萬元的額外撥款提供課後中文學習支援，以鞏固其非華語學生在中文課堂的學習。教育局亦會繼續委託高等院校在不同地區營辦「學習中文支援中心」，為非華語學生（特別是較遲開始學習中文的非華語學生）提供課後輔導課程。</w:t>
      </w:r>
    </w:p>
    <w:p w:rsidR="00407946"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u w:val="single"/>
        </w:rPr>
      </w:pPr>
      <w:r w:rsidRPr="00EF2551">
        <w:rPr>
          <w:rFonts w:cs="Times New Roman" w:hint="eastAsia"/>
          <w:szCs w:val="28"/>
          <w:u w:val="single"/>
        </w:rPr>
        <w:t>擴闊非華語學生家長的學校選擇</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9.</w:t>
      </w:r>
      <w:r w:rsidRPr="00EF2551">
        <w:rPr>
          <w:rFonts w:cs="Times New Roman"/>
          <w:szCs w:val="28"/>
        </w:rPr>
        <w:tab/>
      </w:r>
      <w:r w:rsidRPr="00EF2551">
        <w:rPr>
          <w:rFonts w:cs="Times New Roman" w:hint="eastAsia"/>
          <w:szCs w:val="28"/>
        </w:rPr>
        <w:t>為協助非華語學生的家長選擇公營學校，與入學相關的資料均提供主要少數族裔語言版本。教育局每年為非華語學生的家長舉辦專設的簡介會，會上設有即時傳譯服務。由</w:t>
      </w:r>
      <w:r w:rsidRPr="00EF2551">
        <w:rPr>
          <w:rFonts w:cs="Times New Roman" w:hint="eastAsia"/>
          <w:szCs w:val="28"/>
        </w:rPr>
        <w:t>2015/16</w:t>
      </w:r>
      <w:r w:rsidRPr="00EF2551">
        <w:rPr>
          <w:rFonts w:cs="Times New Roman" w:hint="eastAsia"/>
          <w:szCs w:val="28"/>
        </w:rPr>
        <w:t>學年開始，家庭與學校合作事宜委員會出版的《學校概覽》已增設英文印刷版，經由幼稚園及小學派發給就讀幼稚園高班</w:t>
      </w:r>
      <w:r w:rsidRPr="00EF2551">
        <w:rPr>
          <w:rFonts w:cs="Times New Roman" w:hint="eastAsia"/>
          <w:szCs w:val="28"/>
          <w:lang w:eastAsia="zh-HK"/>
        </w:rPr>
        <w:t>（</w:t>
      </w:r>
      <w:r w:rsidRPr="00EF2551">
        <w:rPr>
          <w:rFonts w:cs="Times New Roman" w:hint="eastAsia"/>
          <w:szCs w:val="28"/>
        </w:rPr>
        <w:t>K3</w:t>
      </w:r>
      <w:r w:rsidRPr="00EF2551">
        <w:rPr>
          <w:rFonts w:cs="Times New Roman" w:hint="eastAsia"/>
          <w:szCs w:val="28"/>
          <w:lang w:eastAsia="zh-HK"/>
        </w:rPr>
        <w:t>）</w:t>
      </w:r>
      <w:r w:rsidRPr="00EF2551">
        <w:rPr>
          <w:rFonts w:cs="Times New Roman" w:hint="eastAsia"/>
          <w:szCs w:val="28"/>
        </w:rPr>
        <w:t>及小學六年級的非華語學生家長，以便他們閱讀概覽的資料。為向家長提供更全面的選校資料，由</w:t>
      </w:r>
      <w:r w:rsidRPr="00EF2551">
        <w:rPr>
          <w:rFonts w:cs="Times New Roman" w:hint="eastAsia"/>
          <w:szCs w:val="28"/>
        </w:rPr>
        <w:t>2018/19</w:t>
      </w:r>
      <w:r w:rsidRPr="00EF2551">
        <w:rPr>
          <w:rFonts w:cs="Times New Roman" w:hint="eastAsia"/>
          <w:szCs w:val="28"/>
        </w:rPr>
        <w:t>學年起，《學校概覽》已新增「非華語學生的教育支援」的欄目。獲額外撥款的公營學校及提供本地課程的直接資助計劃學校均須指出為錄取的非華語學生提供額外支援，幫助他們學習中文。教育局會繼續鼓勵學校就支援非華語學生的校本措施，在《學校概覽》及／或學校網頁提供更多資料，以供非華語學生的家長參考。</w:t>
      </w:r>
    </w:p>
    <w:p w:rsidR="00407946" w:rsidRDefault="00407946" w:rsidP="00407946">
      <w:pPr>
        <w:widowControl/>
        <w:tabs>
          <w:tab w:val="left" w:pos="1440"/>
        </w:tabs>
        <w:adjustRightInd w:val="0"/>
        <w:snapToGrid w:val="0"/>
        <w:spacing w:line="400" w:lineRule="atLeast"/>
        <w:jc w:val="both"/>
        <w:rPr>
          <w:rFonts w:cs="Times New Roman"/>
          <w:szCs w:val="28"/>
        </w:rPr>
      </w:pPr>
    </w:p>
    <w:p w:rsidR="00407946" w:rsidRDefault="00407946" w:rsidP="00407946">
      <w:pPr>
        <w:widowControl/>
        <w:tabs>
          <w:tab w:val="left" w:pos="1440"/>
        </w:tabs>
        <w:adjustRightInd w:val="0"/>
        <w:snapToGrid w:val="0"/>
        <w:spacing w:line="400" w:lineRule="atLeast"/>
        <w:jc w:val="both"/>
        <w:rPr>
          <w:rFonts w:cs="Times New Roman"/>
          <w:szCs w:val="28"/>
        </w:rPr>
      </w:pPr>
    </w:p>
    <w:p w:rsidR="00407946" w:rsidRPr="00EE6223"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u w:val="single"/>
        </w:rPr>
      </w:pPr>
      <w:r w:rsidRPr="00EF2551">
        <w:rPr>
          <w:rFonts w:cs="Times New Roman" w:hint="eastAsia"/>
          <w:szCs w:val="28"/>
          <w:u w:val="single"/>
        </w:rPr>
        <w:lastRenderedPageBreak/>
        <w:t>建構共融校園</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10.</w:t>
      </w:r>
      <w:r w:rsidRPr="00EF2551">
        <w:rPr>
          <w:rFonts w:cs="Times New Roman"/>
          <w:szCs w:val="28"/>
        </w:rPr>
        <w:tab/>
      </w:r>
      <w:r w:rsidRPr="00EF2551">
        <w:rPr>
          <w:rFonts w:cs="Times New Roman" w:hint="eastAsia"/>
          <w:szCs w:val="28"/>
        </w:rPr>
        <w:t>為建構共融校園，教育局一再提醒學校應積極與非華語學生的家長溝通，包括提供英文版學校通告。此外，學校可按需要聘請少數族裔助理或購買翻譯服務，或透過使用民政事務總署資助營辦「融匯─少數族裔人士支援服務中心」的少數族裔語言翻譯服務，以加強與非華語學生家長的溝通，及舉辦多元文化活動。</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11.</w:t>
      </w:r>
      <w:r w:rsidRPr="00EF2551">
        <w:rPr>
          <w:rFonts w:cs="Times New Roman" w:hint="eastAsia"/>
          <w:szCs w:val="28"/>
        </w:rPr>
        <w:tab/>
      </w:r>
      <w:r w:rsidRPr="00EF2551">
        <w:rPr>
          <w:rFonts w:cs="Times New Roman" w:hint="eastAsia"/>
          <w:szCs w:val="28"/>
        </w:rPr>
        <w:t>教育局每年與平機會協作舉辦講座，加強教師在照顧非華語學生時的文化和宗教敏感度。儘管非華語學生和華語學生的文化習俗不盡相同，但透過分享良好做法，教師可掌握解決日常教學和行政上面對的實際困難的方法，並在校內公平地對待非華語學生和華語學生。</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12.</w:t>
      </w:r>
      <w:r w:rsidRPr="00EF2551">
        <w:rPr>
          <w:rFonts w:cs="Times New Roman"/>
          <w:szCs w:val="28"/>
        </w:rPr>
        <w:tab/>
      </w:r>
      <w:r w:rsidRPr="00EF2551">
        <w:rPr>
          <w:rFonts w:cs="Times New Roman" w:hint="eastAsia"/>
          <w:szCs w:val="28"/>
        </w:rPr>
        <w:t>為讓就讀於非華語學生比例較高的學校的非華語學生可與華語學生一起學習成長，教育局積極鼓勵有關學校建立學習圈，以舉辦中文學習活動，及／或申請優質教育基金以舉辦促進多元文化的計劃，透過校外學習活動，增加非華語學生接觸中文和與華語同儕互動的機會。</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u w:val="single"/>
        </w:rPr>
      </w:pPr>
      <w:r w:rsidRPr="00EF2551">
        <w:rPr>
          <w:rFonts w:cs="Times New Roman" w:hint="eastAsia"/>
          <w:szCs w:val="28"/>
          <w:u w:val="single"/>
        </w:rPr>
        <w:t>非華語學生的多元出路</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hint="eastAsia"/>
          <w:szCs w:val="28"/>
        </w:rPr>
        <w:t>13.</w:t>
      </w:r>
      <w:r>
        <w:rPr>
          <w:rFonts w:cs="Times New Roman"/>
          <w:szCs w:val="28"/>
        </w:rPr>
        <w:tab/>
      </w:r>
      <w:r w:rsidRPr="00EF2551">
        <w:rPr>
          <w:rFonts w:cs="Times New Roman" w:hint="eastAsia"/>
          <w:szCs w:val="28"/>
        </w:rPr>
        <w:t>非華語學生可根據其需要和志趣，在高中選擇報考香港中學文憑（中國語文科），或報讀應用學習中文（非華語學生適用）及／或考取國際認可的其他中國語文資歷，以便將來升學和就業。</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應用學習中文（非華語學生適用）</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szCs w:val="28"/>
        </w:rPr>
        <w:t>1</w:t>
      </w:r>
      <w:r>
        <w:rPr>
          <w:rFonts w:cs="Times New Roman" w:hint="eastAsia"/>
          <w:szCs w:val="28"/>
        </w:rPr>
        <w:t>4.</w:t>
      </w:r>
      <w:r w:rsidRPr="00EF2551">
        <w:rPr>
          <w:rFonts w:cs="Times New Roman"/>
          <w:szCs w:val="28"/>
        </w:rPr>
        <w:tab/>
      </w:r>
      <w:r w:rsidRPr="00EF2551">
        <w:rPr>
          <w:rFonts w:cs="Times New Roman" w:hint="eastAsia"/>
          <w:szCs w:val="28"/>
        </w:rPr>
        <w:t>教育局由</w:t>
      </w:r>
      <w:r w:rsidRPr="00EF2551">
        <w:rPr>
          <w:rFonts w:cs="Times New Roman"/>
          <w:szCs w:val="28"/>
        </w:rPr>
        <w:t>2014/15</w:t>
      </w:r>
      <w:r w:rsidRPr="00EF2551">
        <w:rPr>
          <w:rFonts w:cs="Times New Roman" w:hint="eastAsia"/>
          <w:szCs w:val="28"/>
        </w:rPr>
        <w:t>學年開始已在高中提供應用學習中文（非華語學生適用），讓非華語學生以額外途徑獲取另一中國語文資歷，為升學及就業作好準備。除香港中學文憑資歷外，應用學習中文（非華語學生適用）亦與資歷架構第一級至第三級掛鈎。教資會資助大學和絕大部分專上院校的入學申請，以及政府在公務員的聘任方面，均接納應用學習中文（非華語學生適用）的資歷。首兩屆應用學習中</w:t>
      </w:r>
      <w:r w:rsidRPr="00EF2551">
        <w:rPr>
          <w:rFonts w:cs="Times New Roman" w:hint="eastAsia"/>
          <w:szCs w:val="28"/>
        </w:rPr>
        <w:lastRenderedPageBreak/>
        <w:t>文（非華語學生適用）課程已分別於</w:t>
      </w:r>
      <w:r w:rsidRPr="00EF2551">
        <w:rPr>
          <w:rFonts w:cs="Times New Roman"/>
          <w:szCs w:val="28"/>
        </w:rPr>
        <w:t>2017</w:t>
      </w:r>
      <w:r w:rsidRPr="00EF2551">
        <w:rPr>
          <w:rFonts w:cs="Times New Roman" w:hint="eastAsia"/>
          <w:szCs w:val="28"/>
        </w:rPr>
        <w:t>及</w:t>
      </w:r>
      <w:r w:rsidRPr="00EF2551">
        <w:rPr>
          <w:rFonts w:cs="Times New Roman"/>
          <w:szCs w:val="28"/>
        </w:rPr>
        <w:t>2018</w:t>
      </w:r>
      <w:r w:rsidRPr="00EF2551">
        <w:rPr>
          <w:rFonts w:cs="Times New Roman" w:hint="eastAsia"/>
          <w:szCs w:val="28"/>
        </w:rPr>
        <w:t>年完成，學生的整體成績令人滿意。</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國際認可的其他中國語文資歷</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hint="eastAsia"/>
          <w:szCs w:val="28"/>
        </w:rPr>
        <w:t>1</w:t>
      </w:r>
      <w:r>
        <w:rPr>
          <w:rFonts w:cs="Times New Roman" w:hint="eastAsia"/>
          <w:szCs w:val="28"/>
        </w:rPr>
        <w:t>5.</w:t>
      </w:r>
      <w:r w:rsidRPr="00EF2551">
        <w:rPr>
          <w:rFonts w:cs="Times New Roman"/>
          <w:szCs w:val="28"/>
        </w:rPr>
        <w:tab/>
      </w:r>
      <w:r w:rsidRPr="00EF2551">
        <w:rPr>
          <w:rFonts w:cs="Times New Roman" w:hint="eastAsia"/>
          <w:szCs w:val="28"/>
        </w:rPr>
        <w:t>非華語學生亦享有平等機會接受專上教育，「大學聯合招生辦法」接納合資格的非華語學生</w:t>
      </w:r>
      <w:r w:rsidRPr="00EF2551">
        <w:rPr>
          <w:rFonts w:cs="Times New Roman"/>
          <w:szCs w:val="28"/>
          <w:vertAlign w:val="superscript"/>
        </w:rPr>
        <w:footnoteReference w:id="16"/>
      </w:r>
      <w:r w:rsidRPr="00EF2551">
        <w:rPr>
          <w:rFonts w:cs="Times New Roman" w:hint="eastAsia"/>
          <w:szCs w:val="28"/>
        </w:rPr>
        <w:t>以其他中國語文資歷作為符合中國語文科的入學要求。為幫助非華語學生考取其他中國語文資歷，有關非華語學生可獲資助考取國際認可的其他中國語文資歷，包括綜合中等教育證書（</w:t>
      </w:r>
      <w:r w:rsidRPr="00EF2551">
        <w:rPr>
          <w:rFonts w:cs="Times New Roman" w:hint="eastAsia"/>
          <w:szCs w:val="28"/>
        </w:rPr>
        <w:t>GCSE</w:t>
      </w:r>
      <w:r w:rsidRPr="00EF2551">
        <w:rPr>
          <w:rFonts w:cs="Times New Roman" w:hint="eastAsia"/>
          <w:szCs w:val="28"/>
        </w:rPr>
        <w:t>）、國際普通中學教育文憑（</w:t>
      </w:r>
      <w:r w:rsidRPr="00EF2551">
        <w:rPr>
          <w:rFonts w:cs="Times New Roman" w:hint="eastAsia"/>
          <w:szCs w:val="28"/>
        </w:rPr>
        <w:t>IGCSE</w:t>
      </w:r>
      <w:r w:rsidRPr="00EF2551">
        <w:rPr>
          <w:rFonts w:cs="Times New Roman" w:hint="eastAsia"/>
          <w:szCs w:val="28"/>
        </w:rPr>
        <w:t>）及普通教育文憑（</w:t>
      </w:r>
      <w:r w:rsidRPr="00EF2551">
        <w:rPr>
          <w:rFonts w:cs="Times New Roman" w:hint="eastAsia"/>
          <w:szCs w:val="28"/>
        </w:rPr>
        <w:t>GCE</w:t>
      </w:r>
      <w:r w:rsidRPr="00EF2551">
        <w:rPr>
          <w:rFonts w:cs="Times New Roman" w:hint="eastAsia"/>
          <w:szCs w:val="28"/>
        </w:rPr>
        <w:t>）的中文考試，以報讀教資會資助大學和專上院校，有關考試費用會與香港中學文憑（中國語文科）相同。經濟上有需要的非華語學生，亦可獲全額或半額減免「資助考試費」。</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i/>
          <w:szCs w:val="28"/>
        </w:rPr>
      </w:pPr>
      <w:r w:rsidRPr="00EF2551">
        <w:rPr>
          <w:rFonts w:cs="Times New Roman" w:hint="eastAsia"/>
          <w:i/>
          <w:szCs w:val="28"/>
        </w:rPr>
        <w:t>已離校非華語人士職業中文課程</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hint="eastAsia"/>
          <w:szCs w:val="28"/>
        </w:rPr>
        <w:t>1</w:t>
      </w:r>
      <w:r>
        <w:rPr>
          <w:rFonts w:cs="Times New Roman" w:hint="eastAsia"/>
          <w:szCs w:val="28"/>
        </w:rPr>
        <w:t>6.</w:t>
      </w:r>
      <w:r w:rsidRPr="00EF2551">
        <w:rPr>
          <w:rFonts w:cs="Times New Roman" w:hint="eastAsia"/>
          <w:szCs w:val="28"/>
        </w:rPr>
        <w:tab/>
      </w:r>
      <w:r w:rsidRPr="00EF2551">
        <w:rPr>
          <w:rFonts w:cs="Times New Roman" w:hint="eastAsia"/>
          <w:szCs w:val="28"/>
        </w:rPr>
        <w:t>為增強已離校非華語人士就業的競爭力，語文教育及研究常務委員會已於</w:t>
      </w:r>
      <w:r w:rsidRPr="00EF2551">
        <w:rPr>
          <w:rFonts w:cs="Times New Roman" w:hint="eastAsia"/>
          <w:szCs w:val="28"/>
        </w:rPr>
        <w:t>2016</w:t>
      </w:r>
      <w:r w:rsidRPr="00EF2551">
        <w:rPr>
          <w:rFonts w:cs="Times New Roman" w:hint="eastAsia"/>
          <w:szCs w:val="28"/>
        </w:rPr>
        <w:t>年</w:t>
      </w:r>
      <w:r w:rsidRPr="00EF2551">
        <w:rPr>
          <w:rFonts w:cs="Times New Roman" w:hint="eastAsia"/>
          <w:szCs w:val="28"/>
        </w:rPr>
        <w:t>4</w:t>
      </w:r>
      <w:r w:rsidRPr="00EF2551">
        <w:rPr>
          <w:rFonts w:cs="Times New Roman" w:hint="eastAsia"/>
          <w:szCs w:val="28"/>
        </w:rPr>
        <w:t>月推出獲資歷架構認可達第一／二級資歷認證的職業中文課程。</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u w:val="single"/>
        </w:rPr>
      </w:pPr>
      <w:r w:rsidRPr="00EF2551">
        <w:rPr>
          <w:rFonts w:cs="Times New Roman" w:hint="eastAsia"/>
          <w:szCs w:val="28"/>
          <w:u w:val="single"/>
        </w:rPr>
        <w:t>支援就讀幼稚園的非華語學生</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hint="eastAsia"/>
          <w:szCs w:val="28"/>
        </w:rPr>
        <w:t>1</w:t>
      </w:r>
      <w:r>
        <w:rPr>
          <w:rFonts w:cs="Times New Roman" w:hint="eastAsia"/>
          <w:szCs w:val="28"/>
        </w:rPr>
        <w:t>7.</w:t>
      </w:r>
      <w:r w:rsidRPr="00EF2551">
        <w:rPr>
          <w:rFonts w:cs="Times New Roman" w:hint="eastAsia"/>
          <w:szCs w:val="28"/>
        </w:rPr>
        <w:tab/>
      </w:r>
      <w:r w:rsidRPr="00EF2551">
        <w:rPr>
          <w:rFonts w:cs="Times New Roman" w:hint="eastAsia"/>
          <w:szCs w:val="28"/>
        </w:rPr>
        <w:t>由</w:t>
      </w:r>
      <w:r w:rsidRPr="00EF2551">
        <w:rPr>
          <w:rFonts w:cs="Times New Roman" w:hint="eastAsia"/>
          <w:szCs w:val="28"/>
        </w:rPr>
        <w:t>2017/18</w:t>
      </w:r>
      <w:r w:rsidRPr="00EF2551">
        <w:rPr>
          <w:rFonts w:cs="Times New Roman" w:hint="eastAsia"/>
          <w:szCs w:val="28"/>
        </w:rPr>
        <w:t>學年開始，政府實施幼稚園教育計劃（「計劃」）</w:t>
      </w:r>
      <w:r w:rsidR="009E4825">
        <w:rPr>
          <w:rFonts w:cs="Times New Roman"/>
          <w:szCs w:val="28"/>
        </w:rPr>
        <w:t>‌</w:t>
      </w:r>
      <w:r w:rsidRPr="00EF2551">
        <w:rPr>
          <w:rFonts w:cs="Times New Roman" w:hint="eastAsia"/>
          <w:szCs w:val="28"/>
        </w:rPr>
        <w:t>，直接為參加「計劃」的幼稚園提供資助。在「計劃」下，我們從多方面提升幼稚園教育的質素，包括加強對幼稚園非華語學童的支援。在入學方面，我們透過不同途徑（包括通告、指引、簡介會等）提醒幼稚園，必須為所有兒童（不論其種族、性別及能力）提供平等的入讀機會，包括因應非華語兒童的文化習俗與本地並不盡相同而妥善處理他們的入學申請。幼稚園須提供中英文版的入學申請表格及相關資料，以及在網頁設置圖標或簡單的英文提示，讓家長知悉如何獲得英文版的資料。幼稚園在面見非華語兒童時，應按需要為申請人安排傳</w:t>
      </w:r>
      <w:r w:rsidRPr="00EF2551">
        <w:rPr>
          <w:rFonts w:cs="Times New Roman" w:hint="eastAsia"/>
          <w:szCs w:val="28"/>
        </w:rPr>
        <w:lastRenderedPageBreak/>
        <w:t>譯及／或翻譯服務，或接納家長和非華語兒童由懂中文的親友陪同會面，協助溝通。如個別非華語兒童在申請入學時遇到困難，教育局會適當地將他們轉介至參與「計劃」而仍有學位空缺的幼稚園。</w:t>
      </w:r>
      <w:r w:rsidRPr="00EF2551">
        <w:rPr>
          <w:rFonts w:cs="Times New Roman" w:hint="eastAsia"/>
          <w:szCs w:val="28"/>
        </w:rPr>
        <w:t>2017/18</w:t>
      </w:r>
      <w:r w:rsidRPr="00EF2551">
        <w:rPr>
          <w:rFonts w:cs="Times New Roman" w:hint="eastAsia"/>
          <w:szCs w:val="28"/>
        </w:rPr>
        <w:t>學年，在</w:t>
      </w:r>
      <w:r w:rsidRPr="00EF2551">
        <w:rPr>
          <w:rFonts w:cs="Times New Roman" w:hint="eastAsia"/>
          <w:szCs w:val="28"/>
        </w:rPr>
        <w:t>748</w:t>
      </w:r>
      <w:r w:rsidRPr="00EF2551">
        <w:rPr>
          <w:rFonts w:cs="Times New Roman" w:hint="eastAsia"/>
          <w:szCs w:val="28"/>
        </w:rPr>
        <w:t>所參加「計劃」的幼稚園中，約</w:t>
      </w:r>
      <w:r w:rsidRPr="00EF2551">
        <w:rPr>
          <w:rFonts w:cs="Times New Roman" w:hint="eastAsia"/>
          <w:szCs w:val="28"/>
        </w:rPr>
        <w:t>390</w:t>
      </w:r>
      <w:r w:rsidRPr="00EF2551">
        <w:rPr>
          <w:rFonts w:cs="Times New Roman" w:hint="eastAsia"/>
          <w:szCs w:val="28"/>
        </w:rPr>
        <w:t>所有錄取非華語學童。</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hint="eastAsia"/>
          <w:szCs w:val="28"/>
        </w:rPr>
        <w:t>1</w:t>
      </w:r>
      <w:r>
        <w:rPr>
          <w:rFonts w:cs="Times New Roman" w:hint="eastAsia"/>
          <w:szCs w:val="28"/>
        </w:rPr>
        <w:t>8.</w:t>
      </w:r>
      <w:r w:rsidRPr="00EF2551">
        <w:rPr>
          <w:rFonts w:cs="Times New Roman"/>
          <w:szCs w:val="28"/>
        </w:rPr>
        <w:tab/>
      </w:r>
      <w:r w:rsidRPr="00EF2551">
        <w:rPr>
          <w:rFonts w:cs="Times New Roman" w:hint="eastAsia"/>
          <w:szCs w:val="28"/>
        </w:rPr>
        <w:t>為鼓勵非華語兒童的家長安排子女入讀本地幼稚園，盡早學習中文，教育局每年為他們舉辦有關幼兒班（</w:t>
      </w:r>
      <w:r w:rsidRPr="00EF2551">
        <w:rPr>
          <w:rFonts w:cs="Times New Roman"/>
          <w:szCs w:val="28"/>
        </w:rPr>
        <w:t>K1</w:t>
      </w:r>
      <w:r w:rsidRPr="00EF2551">
        <w:rPr>
          <w:rFonts w:cs="Times New Roman" w:hint="eastAsia"/>
          <w:szCs w:val="28"/>
        </w:rPr>
        <w:t>）入學的簡介會（按需要提供傳譯服務），並透過非政府機構向非華語社羣發放有關「計劃」及</w:t>
      </w:r>
      <w:r w:rsidRPr="00EF2551">
        <w:rPr>
          <w:rFonts w:cs="Times New Roman"/>
          <w:szCs w:val="28"/>
        </w:rPr>
        <w:t>K1</w:t>
      </w:r>
      <w:r w:rsidRPr="00EF2551">
        <w:rPr>
          <w:rFonts w:cs="Times New Roman" w:hint="eastAsia"/>
          <w:szCs w:val="28"/>
        </w:rPr>
        <w:t>收生事宜的資訊。我們已把教育局印製的相關資料翻譯成七種主要少數族裔語文版本</w:t>
      </w:r>
      <w:r w:rsidRPr="00EF2551">
        <w:rPr>
          <w:rFonts w:cs="Times New Roman"/>
          <w:szCs w:val="28"/>
          <w:vertAlign w:val="superscript"/>
        </w:rPr>
        <w:footnoteReference w:id="17"/>
      </w:r>
      <w:r w:rsidRPr="00EF2551">
        <w:rPr>
          <w:rFonts w:cs="Times New Roman" w:hint="eastAsia"/>
          <w:szCs w:val="28"/>
        </w:rPr>
        <w:t>；以及提供中英文版的《幼稚園概覽》，列載每所幼稚園資料，作為家長選校的參考。由</w:t>
      </w:r>
      <w:r w:rsidRPr="00EF2551">
        <w:rPr>
          <w:rFonts w:cs="Times New Roman"/>
          <w:szCs w:val="28"/>
        </w:rPr>
        <w:t>2018</w:t>
      </w:r>
      <w:r w:rsidRPr="00EF2551">
        <w:rPr>
          <w:rFonts w:cs="Times New Roman" w:hint="eastAsia"/>
          <w:szCs w:val="28"/>
        </w:rPr>
        <w:t>年開始，我們在概覽新增「對非華語學童的支援」欄目，讓幼稚園簡介其支援非華語學童的概況。由</w:t>
      </w:r>
      <w:r w:rsidRPr="00EF2551">
        <w:rPr>
          <w:rFonts w:cs="Times New Roman"/>
          <w:szCs w:val="28"/>
        </w:rPr>
        <w:t>2018</w:t>
      </w:r>
      <w:r w:rsidRPr="00EF2551">
        <w:rPr>
          <w:rFonts w:cs="Times New Roman" w:hint="eastAsia"/>
          <w:szCs w:val="28"/>
        </w:rPr>
        <w:t>年</w:t>
      </w:r>
      <w:r w:rsidRPr="00EF2551">
        <w:rPr>
          <w:rFonts w:cs="Times New Roman"/>
          <w:szCs w:val="28"/>
        </w:rPr>
        <w:t>9</w:t>
      </w:r>
      <w:r w:rsidRPr="00EF2551">
        <w:rPr>
          <w:rFonts w:cs="Times New Roman" w:hint="eastAsia"/>
          <w:szCs w:val="28"/>
        </w:rPr>
        <w:t>月開始，教育局更設立了非華語兒童家長查詢熱線，方便非華語兒童家長查詢收生及入讀幼稚園的事宜。</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sidRPr="00EF2551">
        <w:rPr>
          <w:rFonts w:cs="Times New Roman" w:hint="eastAsia"/>
          <w:szCs w:val="28"/>
        </w:rPr>
        <w:t>1</w:t>
      </w:r>
      <w:r>
        <w:rPr>
          <w:rFonts w:cs="Times New Roman" w:hint="eastAsia"/>
          <w:szCs w:val="28"/>
        </w:rPr>
        <w:t>9.</w:t>
      </w:r>
      <w:r w:rsidRPr="00EF2551">
        <w:rPr>
          <w:rFonts w:cs="Times New Roman" w:hint="eastAsia"/>
          <w:szCs w:val="28"/>
        </w:rPr>
        <w:tab/>
      </w:r>
      <w:r w:rsidRPr="00EF2551">
        <w:rPr>
          <w:rFonts w:cs="Times New Roman" w:hint="eastAsia"/>
          <w:szCs w:val="28"/>
        </w:rPr>
        <w:t>在課程方面，我們在</w:t>
      </w:r>
      <w:r w:rsidRPr="00EF2551">
        <w:rPr>
          <w:rFonts w:cs="Times New Roman" w:hint="eastAsia"/>
          <w:szCs w:val="28"/>
        </w:rPr>
        <w:t>2017</w:t>
      </w:r>
      <w:r w:rsidRPr="00EF2551">
        <w:rPr>
          <w:rFonts w:cs="Times New Roman" w:hint="eastAsia"/>
          <w:szCs w:val="28"/>
        </w:rPr>
        <w:t>年公布經更新的《幼稚園教育課程指引》，其中載列學校應如何支援非華語幼兒的建議，並特設關於非華語幼兒學習中文的部分。同時，我們加強教師培訓及校本支援，由大專院校提供一系列有關幼稚園非華語學童學習中文的培訓課程。我們亦就相關培訓，訂定具體目標，即在</w:t>
      </w:r>
      <w:r w:rsidRPr="00EF2551">
        <w:rPr>
          <w:rFonts w:cs="Times New Roman" w:hint="eastAsia"/>
          <w:szCs w:val="28"/>
        </w:rPr>
        <w:t>2018/19</w:t>
      </w:r>
      <w:r w:rsidRPr="00EF2551">
        <w:rPr>
          <w:rFonts w:cs="Times New Roman" w:hint="eastAsia"/>
          <w:szCs w:val="28"/>
        </w:rPr>
        <w:t>學年完結前，每所參加計劃並錄取八名或以上非華語學童的幼稚園，應最少有一名教師完成教育局認可的基礎課程；而所有參加計劃並錄取非華語學童（不論人數）的幼稚園，應在</w:t>
      </w:r>
      <w:r w:rsidRPr="00EF2551">
        <w:rPr>
          <w:rFonts w:cs="Times New Roman" w:hint="eastAsia"/>
          <w:szCs w:val="28"/>
        </w:rPr>
        <w:t>2020/21</w:t>
      </w:r>
      <w:r w:rsidRPr="00EF2551">
        <w:rPr>
          <w:rFonts w:cs="Times New Roman" w:hint="eastAsia"/>
          <w:szCs w:val="28"/>
        </w:rPr>
        <w:t>學年完結前，符合這要求。教育局提供相應的培訓課程，並由</w:t>
      </w:r>
      <w:r w:rsidRPr="00EF2551">
        <w:rPr>
          <w:rFonts w:cs="Times New Roman" w:hint="eastAsia"/>
          <w:szCs w:val="28"/>
        </w:rPr>
        <w:t>2018/19</w:t>
      </w:r>
      <w:r w:rsidRPr="00EF2551">
        <w:rPr>
          <w:rFonts w:cs="Times New Roman" w:hint="eastAsia"/>
          <w:szCs w:val="28"/>
        </w:rPr>
        <w:t>學年起為此設立代課教師津貼。</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F2551" w:rsidRDefault="00407946" w:rsidP="00407946">
      <w:pPr>
        <w:widowControl/>
        <w:tabs>
          <w:tab w:val="left" w:pos="1440"/>
        </w:tabs>
        <w:adjustRightInd w:val="0"/>
        <w:snapToGrid w:val="0"/>
        <w:spacing w:line="400" w:lineRule="atLeast"/>
        <w:jc w:val="both"/>
        <w:rPr>
          <w:rFonts w:cs="Times New Roman"/>
          <w:szCs w:val="28"/>
        </w:rPr>
      </w:pPr>
      <w:r>
        <w:rPr>
          <w:rFonts w:cs="Times New Roman" w:hint="eastAsia"/>
          <w:szCs w:val="28"/>
        </w:rPr>
        <w:t>20.</w:t>
      </w:r>
      <w:r w:rsidRPr="00EF2551">
        <w:rPr>
          <w:rFonts w:cs="Times New Roman" w:hint="eastAsia"/>
          <w:szCs w:val="28"/>
        </w:rPr>
        <w:tab/>
      </w:r>
      <w:r w:rsidRPr="00EF2551">
        <w:rPr>
          <w:rFonts w:cs="Times New Roman" w:hint="eastAsia"/>
          <w:szCs w:val="28"/>
        </w:rPr>
        <w:t>此外，在「計劃」下，錄取八名或以上非華語學童的幼稚園可獲額外資助，資助額與一名幼稚園教師的薪酬相若。在</w:t>
      </w:r>
      <w:r w:rsidRPr="00EF2551">
        <w:rPr>
          <w:rFonts w:cs="Times New Roman" w:hint="eastAsia"/>
          <w:szCs w:val="28"/>
        </w:rPr>
        <w:t>2017/18</w:t>
      </w:r>
      <w:r w:rsidRPr="00EF2551">
        <w:rPr>
          <w:rFonts w:cs="Times New Roman" w:hint="eastAsia"/>
          <w:szCs w:val="28"/>
        </w:rPr>
        <w:t>學年，在約</w:t>
      </w:r>
      <w:r w:rsidRPr="00EF2551">
        <w:rPr>
          <w:rFonts w:cs="Times New Roman" w:hint="eastAsia"/>
          <w:szCs w:val="28"/>
        </w:rPr>
        <w:t>390</w:t>
      </w:r>
      <w:r w:rsidRPr="00EF2551">
        <w:rPr>
          <w:rFonts w:cs="Times New Roman" w:hint="eastAsia"/>
          <w:szCs w:val="28"/>
        </w:rPr>
        <w:t>所參加「計劃」並錄取非華語學童的幼稚園中，約</w:t>
      </w:r>
      <w:r w:rsidRPr="00EF2551">
        <w:rPr>
          <w:rFonts w:cs="Times New Roman" w:hint="eastAsia"/>
          <w:szCs w:val="28"/>
        </w:rPr>
        <w:t>150</w:t>
      </w:r>
      <w:r w:rsidRPr="00EF2551">
        <w:rPr>
          <w:rFonts w:cs="Times New Roman" w:hint="eastAsia"/>
          <w:szCs w:val="28"/>
        </w:rPr>
        <w:t>所獲得這項資助。幼稚園可按校本情況，以多元模式協助非華語學童學習中文、建構多元文化和共融的環境、加強與非華語學生家長的溝通等。為進一步加強對非華語學童的支援，由</w:t>
      </w:r>
      <w:r w:rsidRPr="00EF2551">
        <w:rPr>
          <w:rFonts w:cs="Times New Roman" w:hint="eastAsia"/>
          <w:szCs w:val="28"/>
        </w:rPr>
        <w:t>2019/20</w:t>
      </w:r>
      <w:r w:rsidRPr="00EF2551">
        <w:rPr>
          <w:rFonts w:cs="Times New Roman" w:hint="eastAsia"/>
          <w:szCs w:val="28"/>
        </w:rPr>
        <w:t>學年起，我們</w:t>
      </w:r>
      <w:r w:rsidRPr="00EF2551">
        <w:rPr>
          <w:rFonts w:cs="Times New Roman" w:hint="eastAsia"/>
          <w:szCs w:val="28"/>
        </w:rPr>
        <w:lastRenderedPageBreak/>
        <w:t>會按參加「計劃」的幼稚園錄取的非華語學生數目，提供五個層階的資助，即使只有一名非華語學童，亦可獲得若干資助，而最高資助額將為現時的兩倍。在</w:t>
      </w:r>
      <w:r w:rsidRPr="00EF2551">
        <w:rPr>
          <w:rFonts w:cs="Times New Roman" w:hint="eastAsia"/>
          <w:szCs w:val="28"/>
        </w:rPr>
        <w:t>2019/20</w:t>
      </w:r>
      <w:r w:rsidRPr="00EF2551">
        <w:rPr>
          <w:rFonts w:cs="Times New Roman" w:hint="eastAsia"/>
          <w:szCs w:val="28"/>
        </w:rPr>
        <w:t>學年，在優化的撥款方式下，預計符合資助資格的幼稚園會由約</w:t>
      </w:r>
      <w:r w:rsidRPr="00EF2551">
        <w:rPr>
          <w:rFonts w:cs="Times New Roman" w:hint="eastAsia"/>
          <w:szCs w:val="28"/>
        </w:rPr>
        <w:t>150</w:t>
      </w:r>
      <w:r w:rsidRPr="00EF2551">
        <w:rPr>
          <w:rFonts w:cs="Times New Roman" w:hint="eastAsia"/>
          <w:szCs w:val="28"/>
        </w:rPr>
        <w:t>所增加至約</w:t>
      </w:r>
      <w:r w:rsidRPr="00EF2551">
        <w:rPr>
          <w:rFonts w:cs="Times New Roman" w:hint="eastAsia"/>
          <w:szCs w:val="28"/>
        </w:rPr>
        <w:t>400</w:t>
      </w:r>
      <w:r w:rsidRPr="00EF2551">
        <w:rPr>
          <w:rFonts w:cs="Times New Roman" w:hint="eastAsia"/>
          <w:szCs w:val="28"/>
        </w:rPr>
        <w:t>所。</w:t>
      </w:r>
    </w:p>
    <w:p w:rsidR="00407946" w:rsidRPr="00EF2551" w:rsidRDefault="00407946" w:rsidP="00407946">
      <w:pPr>
        <w:widowControl/>
        <w:tabs>
          <w:tab w:val="left" w:pos="1440"/>
        </w:tabs>
        <w:adjustRightInd w:val="0"/>
        <w:snapToGrid w:val="0"/>
        <w:spacing w:line="400" w:lineRule="atLeast"/>
        <w:jc w:val="both"/>
        <w:rPr>
          <w:rFonts w:cs="Times New Roman"/>
          <w:szCs w:val="28"/>
        </w:rPr>
      </w:pPr>
    </w:p>
    <w:p w:rsidR="00407946" w:rsidRPr="00EE2CA0" w:rsidRDefault="00407946" w:rsidP="00407946">
      <w:pPr>
        <w:widowControl/>
        <w:tabs>
          <w:tab w:val="left" w:pos="1440"/>
        </w:tabs>
        <w:adjustRightInd w:val="0"/>
        <w:snapToGrid w:val="0"/>
        <w:spacing w:line="400" w:lineRule="atLeast"/>
        <w:jc w:val="both"/>
        <w:rPr>
          <w:b/>
          <w:lang w:eastAsia="zh-HK"/>
        </w:rPr>
      </w:pPr>
      <w:r>
        <w:rPr>
          <w:rFonts w:cs="Times New Roman" w:hint="eastAsia"/>
          <w:szCs w:val="28"/>
        </w:rPr>
        <w:t>2</w:t>
      </w:r>
      <w:r w:rsidRPr="00EF2551">
        <w:rPr>
          <w:rFonts w:cs="Times New Roman" w:hint="eastAsia"/>
          <w:szCs w:val="28"/>
        </w:rPr>
        <w:t>1</w:t>
      </w:r>
      <w:r>
        <w:rPr>
          <w:rFonts w:cs="Times New Roman" w:hint="eastAsia"/>
          <w:szCs w:val="28"/>
        </w:rPr>
        <w:t>.</w:t>
      </w:r>
      <w:r w:rsidRPr="00EF2551">
        <w:rPr>
          <w:rFonts w:cs="Times New Roman" w:hint="eastAsia"/>
          <w:szCs w:val="28"/>
        </w:rPr>
        <w:tab/>
      </w:r>
      <w:r w:rsidRPr="00EF2551">
        <w:rPr>
          <w:rFonts w:cs="Times New Roman" w:hint="eastAsia"/>
          <w:szCs w:val="28"/>
        </w:rPr>
        <w:t>此外，我們亦幫助幼稚園建構共融的校園環境。為促進與非華語學童家長的溝通，教育局製作了一套八種語言（中文、英文及六種主要少數族裔語言</w:t>
      </w:r>
      <w:r w:rsidRPr="00EF2551">
        <w:rPr>
          <w:rFonts w:cs="Times New Roman"/>
          <w:szCs w:val="28"/>
          <w:vertAlign w:val="superscript"/>
        </w:rPr>
        <w:footnoteReference w:id="18"/>
      </w:r>
      <w:r w:rsidRPr="00EF2551">
        <w:rPr>
          <w:rFonts w:cs="Times New Roman" w:hint="eastAsia"/>
          <w:szCs w:val="28"/>
        </w:rPr>
        <w:t>）的提示卡，並附有語音檔，內容涵蓋問候、表達讚賞和關懷等常用句子，以便教師與非華語學童的家長在日常接觸時，營造關愛的氛圍。這套提示卡已分發給幼稚園並上載教育局網頁。此外，一套常用學校通告的範本已翻譯為主要少數族裔語言，幫助幼稚園加強與非華語學童的家長溝通。</w:t>
      </w:r>
    </w:p>
    <w:p w:rsidR="00063D27" w:rsidRDefault="00063D27" w:rsidP="001745ED">
      <w:pPr>
        <w:tabs>
          <w:tab w:val="left" w:pos="1440"/>
          <w:tab w:val="left" w:pos="1680"/>
        </w:tabs>
        <w:adjustRightInd w:val="0"/>
        <w:snapToGrid w:val="0"/>
        <w:spacing w:line="400" w:lineRule="atLeast"/>
        <w:ind w:right="-154"/>
        <w:jc w:val="both"/>
        <w:rPr>
          <w:rFonts w:cs="Times New Roman"/>
          <w:bCs/>
          <w:kern w:val="0"/>
          <w:szCs w:val="28"/>
        </w:rPr>
        <w:sectPr w:rsidR="00063D27" w:rsidSect="00407946">
          <w:footerReference w:type="default" r:id="rId76"/>
          <w:footnotePr>
            <w:numRestart w:val="eachSect"/>
          </w:footnotePr>
          <w:pgSz w:w="11906" w:h="16838"/>
          <w:pgMar w:top="1440" w:right="1800" w:bottom="1440" w:left="1800" w:header="720" w:footer="720" w:gutter="0"/>
          <w:pgNumType w:start="1"/>
          <w:cols w:space="425"/>
          <w:docGrid w:type="lines" w:linePitch="381"/>
        </w:sectPr>
      </w:pPr>
    </w:p>
    <w:p w:rsidR="004671E8" w:rsidRDefault="004671E8" w:rsidP="004671E8">
      <w:pPr>
        <w:tabs>
          <w:tab w:val="left" w:pos="720"/>
          <w:tab w:val="left" w:pos="1440"/>
        </w:tabs>
        <w:wordWrap w:val="0"/>
        <w:snapToGrid w:val="0"/>
        <w:spacing w:line="360" w:lineRule="atLeast"/>
        <w:jc w:val="right"/>
        <w:outlineLvl w:val="0"/>
        <w:rPr>
          <w:b/>
          <w:szCs w:val="28"/>
          <w:lang w:val="en-GB"/>
        </w:rPr>
      </w:pPr>
      <w:r>
        <w:rPr>
          <w:rFonts w:hint="eastAsia"/>
          <w:b/>
          <w:szCs w:val="28"/>
          <w:lang w:val="en-GB" w:eastAsia="zh-HK"/>
        </w:rPr>
        <w:lastRenderedPageBreak/>
        <w:t>附</w:t>
      </w:r>
      <w:r>
        <w:rPr>
          <w:rFonts w:hint="eastAsia"/>
          <w:b/>
          <w:szCs w:val="28"/>
          <w:lang w:val="en-GB"/>
        </w:rPr>
        <w:t>件</w:t>
      </w:r>
      <w:r>
        <w:rPr>
          <w:rFonts w:hint="eastAsia"/>
          <w:b/>
          <w:szCs w:val="28"/>
          <w:lang w:val="en-GB"/>
        </w:rPr>
        <w:t>13</w:t>
      </w:r>
      <w:r>
        <w:rPr>
          <w:b/>
          <w:szCs w:val="28"/>
          <w:lang w:val="en-GB"/>
        </w:rPr>
        <w:t>E</w:t>
      </w:r>
    </w:p>
    <w:p w:rsidR="004671E8" w:rsidRDefault="004671E8" w:rsidP="004671E8">
      <w:pPr>
        <w:tabs>
          <w:tab w:val="left" w:pos="720"/>
          <w:tab w:val="left" w:pos="1440"/>
        </w:tabs>
        <w:snapToGrid w:val="0"/>
        <w:spacing w:line="360" w:lineRule="atLeast"/>
        <w:jc w:val="center"/>
        <w:outlineLvl w:val="0"/>
        <w:rPr>
          <w:b/>
          <w:szCs w:val="28"/>
          <w:lang w:val="en-GB"/>
        </w:rPr>
      </w:pPr>
    </w:p>
    <w:p w:rsidR="004671E8" w:rsidRPr="001D2713" w:rsidRDefault="004671E8" w:rsidP="004671E8">
      <w:pPr>
        <w:tabs>
          <w:tab w:val="left" w:pos="720"/>
          <w:tab w:val="left" w:pos="1440"/>
        </w:tabs>
        <w:snapToGrid w:val="0"/>
        <w:spacing w:line="360" w:lineRule="atLeast"/>
        <w:jc w:val="center"/>
        <w:rPr>
          <w:b/>
          <w:szCs w:val="28"/>
          <w:lang w:val="en-GB"/>
        </w:rPr>
      </w:pPr>
      <w:r w:rsidRPr="00EB0BD2">
        <w:rPr>
          <w:rFonts w:hint="eastAsia"/>
          <w:b/>
          <w:szCs w:val="28"/>
        </w:rPr>
        <w:t>特殊教育的新近發展及措施</w:t>
      </w:r>
    </w:p>
    <w:p w:rsidR="004671E8" w:rsidRDefault="004671E8" w:rsidP="004671E8">
      <w:pPr>
        <w:tabs>
          <w:tab w:val="left" w:pos="720"/>
          <w:tab w:val="left" w:pos="1440"/>
        </w:tabs>
        <w:snapToGrid w:val="0"/>
        <w:spacing w:line="360" w:lineRule="atLeast"/>
        <w:jc w:val="center"/>
        <w:rPr>
          <w:szCs w:val="28"/>
          <w:lang w:val="en-GB"/>
        </w:rPr>
      </w:pPr>
    </w:p>
    <w:p w:rsidR="004671E8" w:rsidRPr="00EB0BD2" w:rsidRDefault="004671E8" w:rsidP="004671E8">
      <w:pPr>
        <w:tabs>
          <w:tab w:val="left" w:pos="720"/>
          <w:tab w:val="left" w:pos="1440"/>
        </w:tabs>
        <w:snapToGrid w:val="0"/>
        <w:spacing w:line="360" w:lineRule="atLeast"/>
        <w:jc w:val="both"/>
        <w:rPr>
          <w:szCs w:val="28"/>
        </w:rPr>
      </w:pPr>
      <w:r>
        <w:rPr>
          <w:szCs w:val="28"/>
        </w:rPr>
        <w:tab/>
      </w:r>
      <w:r>
        <w:rPr>
          <w:szCs w:val="28"/>
        </w:rPr>
        <w:tab/>
      </w:r>
      <w:r w:rsidRPr="00EB0BD2">
        <w:rPr>
          <w:rFonts w:hint="eastAsia"/>
          <w:szCs w:val="28"/>
        </w:rPr>
        <w:t>本屆政府在</w:t>
      </w:r>
      <w:r w:rsidRPr="00EB0BD2">
        <w:rPr>
          <w:szCs w:val="28"/>
        </w:rPr>
        <w:t>2017</w:t>
      </w:r>
      <w:r w:rsidRPr="00EB0BD2">
        <w:rPr>
          <w:rFonts w:hint="eastAsia"/>
          <w:szCs w:val="28"/>
        </w:rPr>
        <w:t>年</w:t>
      </w:r>
      <w:r w:rsidRPr="00EB0BD2">
        <w:rPr>
          <w:szCs w:val="28"/>
        </w:rPr>
        <w:t>7</w:t>
      </w:r>
      <w:r w:rsidRPr="00EB0BD2">
        <w:rPr>
          <w:rFonts w:hint="eastAsia"/>
          <w:szCs w:val="28"/>
        </w:rPr>
        <w:t>月上任後，即提出一系列優先措施支持優質教育，當中很多皆與特殊學校有關，包括由</w:t>
      </w:r>
      <w:r w:rsidRPr="00EB0BD2">
        <w:rPr>
          <w:szCs w:val="28"/>
        </w:rPr>
        <w:t>2017/18</w:t>
      </w:r>
      <w:r w:rsidRPr="00EB0BD2">
        <w:rPr>
          <w:rFonts w:hint="eastAsia"/>
          <w:szCs w:val="28"/>
        </w:rPr>
        <w:t>學年開始把公營中、小學（包括特殊學校）的教師與班級比例劃一增加</w:t>
      </w:r>
      <w:r w:rsidRPr="00EB0BD2">
        <w:rPr>
          <w:szCs w:val="28"/>
        </w:rPr>
        <w:t>0.1</w:t>
      </w:r>
      <w:r w:rsidRPr="00EB0BD2">
        <w:rPr>
          <w:rFonts w:hint="eastAsia"/>
          <w:szCs w:val="28"/>
        </w:rPr>
        <w:t>，以及提供經常現金津貼加強公營中、小學（包括特殊學校）的資訊科技人手支援；亦由</w:t>
      </w:r>
      <w:r w:rsidRPr="00EB0BD2">
        <w:rPr>
          <w:szCs w:val="28"/>
        </w:rPr>
        <w:t>2018/19</w:t>
      </w:r>
      <w:r w:rsidRPr="00EB0BD2">
        <w:rPr>
          <w:rFonts w:hint="eastAsia"/>
          <w:szCs w:val="28"/>
        </w:rPr>
        <w:t>起，為公營學校（包括特殊學校）提供經常空調設備津貼及按需要分階段於該等設施加裝空調設備，而專為特殊學校推行的措施則包括：</w:t>
      </w:r>
    </w:p>
    <w:p w:rsidR="004671E8" w:rsidRPr="00EB0BD2" w:rsidRDefault="004671E8" w:rsidP="004671E8">
      <w:pPr>
        <w:tabs>
          <w:tab w:val="left" w:pos="720"/>
          <w:tab w:val="left" w:pos="1440"/>
        </w:tabs>
        <w:snapToGrid w:val="0"/>
        <w:spacing w:line="360" w:lineRule="atLeast"/>
        <w:jc w:val="both"/>
        <w:rPr>
          <w:szCs w:val="28"/>
        </w:rPr>
      </w:pPr>
    </w:p>
    <w:p w:rsidR="004671E8" w:rsidRPr="00EB0BD2" w:rsidRDefault="004671E8" w:rsidP="004671E8">
      <w:pPr>
        <w:snapToGrid w:val="0"/>
        <w:spacing w:line="360" w:lineRule="atLeast"/>
        <w:ind w:left="840" w:hangingChars="300" w:hanging="840"/>
        <w:jc w:val="both"/>
        <w:rPr>
          <w:szCs w:val="28"/>
        </w:rPr>
      </w:pPr>
      <w:r w:rsidRPr="00EB0BD2">
        <w:rPr>
          <w:szCs w:val="28"/>
        </w:rPr>
        <w:t>(a)</w:t>
      </w:r>
      <w:r w:rsidRPr="00EB0BD2">
        <w:rPr>
          <w:szCs w:val="28"/>
        </w:rPr>
        <w:tab/>
      </w:r>
      <w:r w:rsidRPr="00EB0BD2">
        <w:rPr>
          <w:rFonts w:hint="eastAsia"/>
          <w:szCs w:val="28"/>
        </w:rPr>
        <w:t>提供助理小學學位教師（課程發展）職位</w:t>
      </w:r>
      <w:r>
        <w:rPr>
          <w:szCs w:val="28"/>
        </w:rPr>
        <w:br/>
      </w:r>
      <w:r>
        <w:rPr>
          <w:szCs w:val="28"/>
        </w:rPr>
        <w:br/>
      </w:r>
      <w:r w:rsidRPr="00EB0BD2">
        <w:rPr>
          <w:rFonts w:hint="eastAsia"/>
          <w:szCs w:val="28"/>
        </w:rPr>
        <w:t>教育局一直為開辦六班或以上小學班的特殊學校提供小學課程統籌主任職位。由</w:t>
      </w:r>
      <w:r w:rsidRPr="00EB0BD2">
        <w:rPr>
          <w:szCs w:val="28"/>
        </w:rPr>
        <w:t>2017/18</w:t>
      </w:r>
      <w:r w:rsidRPr="00EB0BD2">
        <w:rPr>
          <w:rFonts w:hint="eastAsia"/>
          <w:szCs w:val="28"/>
        </w:rPr>
        <w:t>學年起，教育局亦為開辦一至五班小學班的特殊學校提供小學課程統籌主任的職位，取代以往發放津貼的安排，以便有關專責教師全面負責課程規劃、推行和評估，讓中、小學課程得以更暢順銜接和連貫。</w:t>
      </w:r>
    </w:p>
    <w:p w:rsidR="004671E8" w:rsidRPr="00EB0BD2" w:rsidRDefault="004671E8" w:rsidP="004671E8">
      <w:pPr>
        <w:tabs>
          <w:tab w:val="left" w:pos="720"/>
          <w:tab w:val="left" w:pos="1440"/>
        </w:tabs>
        <w:snapToGrid w:val="0"/>
        <w:spacing w:line="360" w:lineRule="atLeast"/>
        <w:jc w:val="both"/>
        <w:rPr>
          <w:szCs w:val="28"/>
        </w:rPr>
      </w:pPr>
    </w:p>
    <w:p w:rsidR="004671E8" w:rsidRPr="00EB0BD2" w:rsidRDefault="004671E8" w:rsidP="004671E8">
      <w:pPr>
        <w:snapToGrid w:val="0"/>
        <w:spacing w:line="360" w:lineRule="atLeast"/>
        <w:ind w:left="840" w:hangingChars="300" w:hanging="840"/>
        <w:jc w:val="both"/>
        <w:rPr>
          <w:szCs w:val="28"/>
        </w:rPr>
      </w:pPr>
      <w:r w:rsidRPr="00EB0BD2">
        <w:rPr>
          <w:szCs w:val="28"/>
        </w:rPr>
        <w:t>(b)</w:t>
      </w:r>
      <w:r w:rsidRPr="00EB0BD2">
        <w:rPr>
          <w:szCs w:val="28"/>
        </w:rPr>
        <w:tab/>
      </w:r>
      <w:r w:rsidRPr="00EB0BD2">
        <w:rPr>
          <w:rFonts w:hint="eastAsia"/>
          <w:szCs w:val="28"/>
        </w:rPr>
        <w:t>提供職業治療師和職業治療助理員</w:t>
      </w:r>
      <w:r>
        <w:rPr>
          <w:szCs w:val="28"/>
        </w:rPr>
        <w:br/>
      </w:r>
      <w:r>
        <w:rPr>
          <w:szCs w:val="28"/>
        </w:rPr>
        <w:br/>
      </w:r>
      <w:r w:rsidRPr="00EB0BD2">
        <w:rPr>
          <w:rFonts w:hint="eastAsia"/>
          <w:szCs w:val="28"/>
        </w:rPr>
        <w:t>肢體傷殘兒童學校及嚴重智障兒童學校一直設有職業治療師及職業治療助理員職位。因應學生的需要，教育局由</w:t>
      </w:r>
      <w:r w:rsidRPr="00EB0BD2">
        <w:rPr>
          <w:szCs w:val="28"/>
        </w:rPr>
        <w:t>2017/18</w:t>
      </w:r>
      <w:r w:rsidRPr="00EB0BD2">
        <w:rPr>
          <w:rFonts w:hint="eastAsia"/>
          <w:szCs w:val="28"/>
        </w:rPr>
        <w:t>學年開始，亦為視障兒童學校、聽障兒童學校、輕度智障兒童</w:t>
      </w:r>
      <w:r w:rsidRPr="004671E8">
        <w:rPr>
          <w:rFonts w:hint="eastAsia"/>
          <w:spacing w:val="4"/>
          <w:szCs w:val="28"/>
        </w:rPr>
        <w:t>學校和中度智障兒童學校提供職業治療師和職業治療助理員，</w:t>
      </w:r>
      <w:r w:rsidRPr="00EB0BD2">
        <w:rPr>
          <w:rFonts w:hint="eastAsia"/>
          <w:szCs w:val="28"/>
        </w:rPr>
        <w:t>以加強照顧多重殘疾學生在成長和發展上的需要。</w:t>
      </w:r>
    </w:p>
    <w:p w:rsidR="004671E8" w:rsidRPr="00EB0BD2" w:rsidRDefault="004671E8" w:rsidP="004671E8">
      <w:pPr>
        <w:tabs>
          <w:tab w:val="left" w:pos="720"/>
          <w:tab w:val="left" w:pos="1440"/>
        </w:tabs>
        <w:snapToGrid w:val="0"/>
        <w:spacing w:line="360" w:lineRule="atLeast"/>
        <w:jc w:val="both"/>
        <w:rPr>
          <w:szCs w:val="28"/>
        </w:rPr>
      </w:pPr>
    </w:p>
    <w:p w:rsidR="004671E8" w:rsidRPr="00EB0BD2" w:rsidRDefault="004671E8" w:rsidP="004671E8">
      <w:pPr>
        <w:snapToGrid w:val="0"/>
        <w:spacing w:line="360" w:lineRule="atLeast"/>
        <w:ind w:left="840" w:hangingChars="300" w:hanging="840"/>
        <w:jc w:val="both"/>
        <w:rPr>
          <w:szCs w:val="28"/>
        </w:rPr>
      </w:pPr>
      <w:r w:rsidRPr="00EB0BD2">
        <w:rPr>
          <w:szCs w:val="28"/>
        </w:rPr>
        <w:t>(c)</w:t>
      </w:r>
      <w:r w:rsidRPr="00EB0BD2">
        <w:rPr>
          <w:szCs w:val="28"/>
        </w:rPr>
        <w:tab/>
      </w:r>
      <w:r w:rsidRPr="00EB0BD2">
        <w:rPr>
          <w:rFonts w:hint="eastAsia"/>
          <w:szCs w:val="28"/>
        </w:rPr>
        <w:t>在視障兒童學校及群育學校增設言語治療師職位</w:t>
      </w:r>
      <w:r>
        <w:rPr>
          <w:szCs w:val="28"/>
        </w:rPr>
        <w:br/>
      </w:r>
      <w:r>
        <w:rPr>
          <w:szCs w:val="28"/>
        </w:rPr>
        <w:br/>
      </w:r>
      <w:r w:rsidRPr="00EB0BD2">
        <w:rPr>
          <w:rFonts w:hint="eastAsia"/>
          <w:szCs w:val="28"/>
        </w:rPr>
        <w:t>在</w:t>
      </w:r>
      <w:r w:rsidRPr="00EB0BD2">
        <w:rPr>
          <w:szCs w:val="28"/>
        </w:rPr>
        <w:t>2017/18</w:t>
      </w:r>
      <w:r w:rsidRPr="00EB0BD2">
        <w:rPr>
          <w:rFonts w:hint="eastAsia"/>
          <w:szCs w:val="28"/>
        </w:rPr>
        <w:t>學年前，大部分特殊學校均設有言語治療師職位。由</w:t>
      </w:r>
      <w:r w:rsidRPr="00EB0BD2">
        <w:rPr>
          <w:szCs w:val="28"/>
        </w:rPr>
        <w:t>2017/18</w:t>
      </w:r>
      <w:r w:rsidRPr="00EB0BD2">
        <w:rPr>
          <w:rFonts w:hint="eastAsia"/>
          <w:szCs w:val="28"/>
        </w:rPr>
        <w:t>學年起，教育局亦為未設有該職位的視障兒童學校及群育學校提供言語治療師職位，以加強支援這些學校內有言語障礙的學生。</w:t>
      </w:r>
    </w:p>
    <w:p w:rsidR="004671E8" w:rsidRPr="00EB0BD2" w:rsidRDefault="004671E8" w:rsidP="004671E8">
      <w:pPr>
        <w:tabs>
          <w:tab w:val="left" w:pos="720"/>
          <w:tab w:val="left" w:pos="1440"/>
        </w:tabs>
        <w:snapToGrid w:val="0"/>
        <w:spacing w:line="360" w:lineRule="atLeast"/>
        <w:jc w:val="both"/>
        <w:rPr>
          <w:szCs w:val="28"/>
        </w:rPr>
      </w:pPr>
    </w:p>
    <w:p w:rsidR="004671E8" w:rsidRPr="00EB0BD2" w:rsidRDefault="004671E8" w:rsidP="004671E8">
      <w:pPr>
        <w:snapToGrid w:val="0"/>
        <w:spacing w:line="360" w:lineRule="atLeast"/>
        <w:ind w:left="840" w:hangingChars="300" w:hanging="840"/>
        <w:jc w:val="both"/>
        <w:rPr>
          <w:szCs w:val="28"/>
        </w:rPr>
      </w:pPr>
      <w:r w:rsidRPr="00EB0BD2">
        <w:rPr>
          <w:szCs w:val="28"/>
        </w:rPr>
        <w:t>(d)</w:t>
      </w:r>
      <w:r w:rsidRPr="00EB0BD2">
        <w:rPr>
          <w:szCs w:val="28"/>
        </w:rPr>
        <w:tab/>
      </w:r>
      <w:r w:rsidRPr="00EB0BD2">
        <w:rPr>
          <w:rFonts w:hint="eastAsia"/>
          <w:szCs w:val="28"/>
        </w:rPr>
        <w:t>擴展為加強支援醫療情況複雜學生的額外支援津貼</w:t>
      </w:r>
      <w:r>
        <w:rPr>
          <w:szCs w:val="28"/>
        </w:rPr>
        <w:br/>
      </w:r>
      <w:r>
        <w:rPr>
          <w:szCs w:val="28"/>
        </w:rPr>
        <w:br/>
      </w:r>
      <w:r w:rsidRPr="00EB0BD2">
        <w:rPr>
          <w:rFonts w:hint="eastAsia"/>
          <w:szCs w:val="28"/>
        </w:rPr>
        <w:t>為支援特殊學校照顧醫療情況複雜的學生，教育局由</w:t>
      </w:r>
      <w:r w:rsidRPr="00EB0BD2">
        <w:rPr>
          <w:szCs w:val="28"/>
        </w:rPr>
        <w:t>2014/15</w:t>
      </w:r>
      <w:r w:rsidRPr="00EB0BD2">
        <w:rPr>
          <w:rFonts w:hint="eastAsia"/>
          <w:szCs w:val="28"/>
        </w:rPr>
        <w:lastRenderedPageBreak/>
        <w:t>學年開始已為特殊學校宿舍部提供額外津貼，照顧有關學生。由</w:t>
      </w:r>
      <w:r w:rsidRPr="00EB0BD2">
        <w:rPr>
          <w:szCs w:val="28"/>
        </w:rPr>
        <w:t>2017/18</w:t>
      </w:r>
      <w:r w:rsidRPr="00EB0BD2">
        <w:rPr>
          <w:rFonts w:hint="eastAsia"/>
          <w:szCs w:val="28"/>
        </w:rPr>
        <w:t>學年開始，教育局擴展該津貼，以便取錄有醫療情況複雜走讀生的特殊學校可以有更多資源照顧他們的需要。</w:t>
      </w:r>
    </w:p>
    <w:p w:rsidR="004671E8" w:rsidRPr="00EB0BD2" w:rsidRDefault="004671E8" w:rsidP="004671E8">
      <w:pPr>
        <w:tabs>
          <w:tab w:val="left" w:pos="720"/>
          <w:tab w:val="left" w:pos="1440"/>
        </w:tabs>
        <w:snapToGrid w:val="0"/>
        <w:spacing w:line="360" w:lineRule="atLeast"/>
        <w:jc w:val="both"/>
        <w:rPr>
          <w:szCs w:val="28"/>
        </w:rPr>
      </w:pPr>
    </w:p>
    <w:p w:rsidR="004671E8" w:rsidRPr="00EB0BD2" w:rsidRDefault="004671E8" w:rsidP="004671E8">
      <w:pPr>
        <w:snapToGrid w:val="0"/>
        <w:spacing w:line="360" w:lineRule="atLeast"/>
        <w:ind w:left="840" w:hangingChars="300" w:hanging="840"/>
        <w:jc w:val="both"/>
        <w:rPr>
          <w:szCs w:val="28"/>
        </w:rPr>
      </w:pPr>
      <w:r w:rsidRPr="00EB0BD2">
        <w:rPr>
          <w:szCs w:val="28"/>
        </w:rPr>
        <w:t>(e)</w:t>
      </w:r>
      <w:r w:rsidRPr="00EB0BD2">
        <w:rPr>
          <w:szCs w:val="28"/>
        </w:rPr>
        <w:tab/>
      </w:r>
      <w:r w:rsidRPr="00EB0BD2">
        <w:rPr>
          <w:rFonts w:hint="eastAsia"/>
          <w:szCs w:val="28"/>
        </w:rPr>
        <w:t>改善學校護士人手</w:t>
      </w:r>
      <w:r>
        <w:rPr>
          <w:szCs w:val="28"/>
        </w:rPr>
        <w:br/>
      </w:r>
      <w:r>
        <w:rPr>
          <w:szCs w:val="28"/>
        </w:rPr>
        <w:br/>
      </w:r>
      <w:r w:rsidRPr="00EB0BD2">
        <w:rPr>
          <w:rFonts w:hint="eastAsia"/>
          <w:szCs w:val="28"/>
        </w:rPr>
        <w:t>特殊學校近年取錄了不少健康情況較差的學生。由</w:t>
      </w:r>
      <w:r w:rsidRPr="00EB0BD2">
        <w:rPr>
          <w:szCs w:val="28"/>
        </w:rPr>
        <w:t>2018/19</w:t>
      </w:r>
      <w:r w:rsidRPr="00EB0BD2">
        <w:rPr>
          <w:rFonts w:hint="eastAsia"/>
          <w:szCs w:val="28"/>
        </w:rPr>
        <w:t>學年起，教育局為智障兒童學校、肢體傷殘兒童學校及視障兼智障兒童學校提供額外學校護士人手，並將學校護士編制擴展至視障兒童學校及聽障兒童學校，以便學校護士為有關學生提供所需的護理照顧。</w:t>
      </w:r>
    </w:p>
    <w:p w:rsidR="004671E8" w:rsidRPr="00EB0BD2" w:rsidRDefault="004671E8" w:rsidP="004671E8">
      <w:pPr>
        <w:tabs>
          <w:tab w:val="left" w:pos="720"/>
          <w:tab w:val="left" w:pos="1440"/>
        </w:tabs>
        <w:snapToGrid w:val="0"/>
        <w:spacing w:line="360" w:lineRule="atLeast"/>
        <w:jc w:val="both"/>
        <w:rPr>
          <w:szCs w:val="28"/>
        </w:rPr>
      </w:pPr>
    </w:p>
    <w:p w:rsidR="004671E8" w:rsidRDefault="004671E8" w:rsidP="004671E8">
      <w:pPr>
        <w:snapToGrid w:val="0"/>
        <w:spacing w:line="360" w:lineRule="atLeast"/>
        <w:ind w:left="840" w:hangingChars="300" w:hanging="840"/>
        <w:jc w:val="both"/>
        <w:rPr>
          <w:szCs w:val="28"/>
        </w:rPr>
      </w:pPr>
      <w:r w:rsidRPr="00EB0BD2">
        <w:rPr>
          <w:szCs w:val="28"/>
        </w:rPr>
        <w:t>(f)</w:t>
      </w:r>
      <w:r w:rsidRPr="00EB0BD2">
        <w:rPr>
          <w:szCs w:val="28"/>
        </w:rPr>
        <w:tab/>
      </w:r>
      <w:r w:rsidRPr="00EB0BD2">
        <w:rPr>
          <w:rFonts w:hint="eastAsia"/>
          <w:szCs w:val="28"/>
        </w:rPr>
        <w:t>改善學校社工人手</w:t>
      </w:r>
      <w:r>
        <w:rPr>
          <w:szCs w:val="28"/>
        </w:rPr>
        <w:br/>
      </w:r>
      <w:r>
        <w:rPr>
          <w:szCs w:val="28"/>
        </w:rPr>
        <w:br/>
      </w:r>
      <w:r w:rsidRPr="00EB0BD2">
        <w:rPr>
          <w:rFonts w:hint="eastAsia"/>
          <w:szCs w:val="28"/>
        </w:rPr>
        <w:t>政府一直為特殊學校提供社工人手。由</w:t>
      </w:r>
      <w:r w:rsidRPr="00EB0BD2">
        <w:rPr>
          <w:szCs w:val="28"/>
        </w:rPr>
        <w:t>2018/19</w:t>
      </w:r>
      <w:r w:rsidRPr="00EB0BD2">
        <w:rPr>
          <w:rFonts w:hint="eastAsia"/>
          <w:szCs w:val="28"/>
        </w:rPr>
        <w:t>學年開始，教育局改善特殊學校的社工人手編制，以便特殊學校聘請更充足的社工為學生提供輔導和相關服務。</w:t>
      </w:r>
    </w:p>
    <w:p w:rsidR="00DB339E" w:rsidRDefault="00DB339E" w:rsidP="001745ED">
      <w:pPr>
        <w:tabs>
          <w:tab w:val="left" w:pos="1440"/>
          <w:tab w:val="left" w:pos="1680"/>
        </w:tabs>
        <w:adjustRightInd w:val="0"/>
        <w:snapToGrid w:val="0"/>
        <w:spacing w:line="400" w:lineRule="atLeast"/>
        <w:ind w:right="-154"/>
        <w:jc w:val="both"/>
        <w:rPr>
          <w:rFonts w:cs="Times New Roman"/>
          <w:bCs/>
          <w:kern w:val="0"/>
          <w:szCs w:val="28"/>
        </w:rPr>
        <w:sectPr w:rsidR="00DB339E" w:rsidSect="004671E8">
          <w:footerReference w:type="default" r:id="rId77"/>
          <w:headerReference w:type="first" r:id="rId78"/>
          <w:footerReference w:type="first" r:id="rId79"/>
          <w:pgSz w:w="11906" w:h="16838"/>
          <w:pgMar w:top="1440" w:right="1800" w:bottom="1440" w:left="1800" w:header="720" w:footer="720" w:gutter="0"/>
          <w:pgNumType w:start="1"/>
          <w:cols w:space="425"/>
          <w:titlePg/>
          <w:docGrid w:type="lines" w:linePitch="381"/>
        </w:sectPr>
      </w:pPr>
    </w:p>
    <w:p w:rsidR="00DB339E" w:rsidRDefault="00DB339E" w:rsidP="00DB339E">
      <w:pPr>
        <w:tabs>
          <w:tab w:val="left" w:pos="720"/>
          <w:tab w:val="left" w:pos="1440"/>
        </w:tabs>
        <w:wordWrap w:val="0"/>
        <w:snapToGrid w:val="0"/>
        <w:spacing w:line="360" w:lineRule="atLeast"/>
        <w:jc w:val="right"/>
        <w:outlineLvl w:val="0"/>
        <w:rPr>
          <w:b/>
          <w:szCs w:val="28"/>
          <w:lang w:val="en-GB" w:eastAsia="zh-HK"/>
        </w:rPr>
      </w:pPr>
      <w:r w:rsidRPr="00635A92">
        <w:rPr>
          <w:rFonts w:hint="eastAsia"/>
          <w:b/>
          <w:szCs w:val="28"/>
          <w:lang w:val="en-GB" w:eastAsia="zh-HK"/>
        </w:rPr>
        <w:lastRenderedPageBreak/>
        <w:t>附件</w:t>
      </w:r>
      <w:r w:rsidRPr="00635A92">
        <w:rPr>
          <w:rFonts w:hint="eastAsia"/>
          <w:b/>
          <w:szCs w:val="28"/>
          <w:lang w:val="en-GB" w:eastAsia="zh-HK"/>
        </w:rPr>
        <w:t>13</w:t>
      </w:r>
      <w:r>
        <w:rPr>
          <w:b/>
          <w:szCs w:val="28"/>
          <w:lang w:val="en-GB"/>
        </w:rPr>
        <w:t>F</w:t>
      </w:r>
    </w:p>
    <w:p w:rsidR="00DB339E" w:rsidRDefault="00DB339E" w:rsidP="00DB339E">
      <w:pPr>
        <w:tabs>
          <w:tab w:val="left" w:pos="720"/>
          <w:tab w:val="left" w:pos="1440"/>
        </w:tabs>
        <w:snapToGrid w:val="0"/>
        <w:spacing w:line="360" w:lineRule="atLeast"/>
        <w:jc w:val="right"/>
        <w:outlineLvl w:val="0"/>
        <w:rPr>
          <w:b/>
          <w:szCs w:val="28"/>
          <w:lang w:val="en-GB" w:eastAsia="zh-HK"/>
        </w:rPr>
      </w:pPr>
    </w:p>
    <w:p w:rsidR="00DB339E" w:rsidRDefault="00DB339E" w:rsidP="00DB339E">
      <w:pPr>
        <w:tabs>
          <w:tab w:val="left" w:pos="720"/>
          <w:tab w:val="left" w:pos="1440"/>
        </w:tabs>
        <w:snapToGrid w:val="0"/>
        <w:spacing w:line="360" w:lineRule="atLeast"/>
        <w:jc w:val="center"/>
        <w:outlineLvl w:val="0"/>
        <w:rPr>
          <w:b/>
          <w:szCs w:val="28"/>
          <w:lang w:eastAsia="zh-HK"/>
        </w:rPr>
      </w:pPr>
      <w:r w:rsidRPr="00635A92">
        <w:rPr>
          <w:rFonts w:hint="eastAsia"/>
          <w:b/>
          <w:szCs w:val="28"/>
        </w:rPr>
        <w:t>協助學校支援有特殊教育需要的學生</w:t>
      </w:r>
      <w:r>
        <w:rPr>
          <w:rFonts w:hint="eastAsia"/>
          <w:b/>
          <w:szCs w:val="28"/>
          <w:lang w:eastAsia="zh-HK"/>
        </w:rPr>
        <w:t>的措施</w:t>
      </w:r>
    </w:p>
    <w:p w:rsidR="00DB339E" w:rsidRDefault="00DB339E" w:rsidP="00DB339E">
      <w:pPr>
        <w:tabs>
          <w:tab w:val="left" w:pos="720"/>
          <w:tab w:val="left" w:pos="1440"/>
        </w:tabs>
        <w:snapToGrid w:val="0"/>
        <w:spacing w:line="360" w:lineRule="atLeast"/>
        <w:jc w:val="center"/>
        <w:outlineLvl w:val="0"/>
        <w:rPr>
          <w:b/>
          <w:szCs w:val="28"/>
          <w:lang w:eastAsia="zh-HK"/>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t>額外資源</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sidRPr="00635A92">
        <w:rPr>
          <w:bCs/>
          <w:szCs w:val="28"/>
        </w:rPr>
        <w:t>1</w:t>
      </w:r>
      <w:r>
        <w:rPr>
          <w:rFonts w:hint="eastAsia"/>
          <w:bCs/>
          <w:szCs w:val="28"/>
        </w:rPr>
        <w:t>.</w:t>
      </w:r>
      <w:r w:rsidRPr="00635A92">
        <w:rPr>
          <w:rFonts w:hint="eastAsia"/>
          <w:bCs/>
          <w:szCs w:val="28"/>
        </w:rPr>
        <w:tab/>
      </w:r>
      <w:r w:rsidRPr="00635A92">
        <w:rPr>
          <w:rFonts w:hint="eastAsia"/>
          <w:bCs/>
          <w:szCs w:val="28"/>
        </w:rPr>
        <w:t>教育局為公營普通學校提供不同的額外資源和專業支援（詳情見</w:t>
      </w:r>
      <w:r w:rsidRPr="00635A92">
        <w:rPr>
          <w:rFonts w:hint="eastAsia"/>
          <w:b/>
          <w:bCs/>
          <w:szCs w:val="28"/>
        </w:rPr>
        <w:t>附</w:t>
      </w:r>
      <w:r>
        <w:rPr>
          <w:rFonts w:hint="eastAsia"/>
          <w:b/>
          <w:bCs/>
          <w:szCs w:val="28"/>
          <w:lang w:eastAsia="zh-HK"/>
        </w:rPr>
        <w:t>錄</w:t>
      </w:r>
      <w:r w:rsidRPr="00635A92">
        <w:rPr>
          <w:rFonts w:hint="eastAsia"/>
          <w:bCs/>
          <w:szCs w:val="28"/>
        </w:rPr>
        <w:t>）。額外資源以學習支援津貼為主。學校所得的學習支援津貼是按照校內有特殊教育需要學生的人數和所需的支援程度而計算津貼額，津貼額和津貼上限會按綜合消費物價指數的變化而逐年調整。學校會按照有特殊教育需要學生的需要，整體和靈活地結合和運用這項津貼及其他津貼，為他們提供適當的支援，包括聘請教師及／或教學助理，以及／或購買各種專業服務。由</w:t>
      </w:r>
      <w:r w:rsidRPr="00635A92">
        <w:rPr>
          <w:rFonts w:hint="eastAsia"/>
          <w:bCs/>
          <w:szCs w:val="28"/>
        </w:rPr>
        <w:t>2019/20</w:t>
      </w:r>
      <w:r w:rsidRPr="00635A92">
        <w:rPr>
          <w:rFonts w:hint="eastAsia"/>
          <w:bCs/>
          <w:szCs w:val="28"/>
        </w:rPr>
        <w:t>學年起，教育局將會增加學習支援津貼的第三層支援津貼額，以及讓學校利用部分學習支援津貼轉換常額教師職位，以便學校有穩定教師團隊和可靈活運用的資源，加強支援有特殊教育需要的學生。此外，對於有特殊教育需要的非華語學生，教育局會按取錄人數，分三個級別提供額外資源予公營普通學校，以協助學校幫助有關學生適應不同學習階段及融入校園生活。</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t>專業支援</w:t>
      </w:r>
      <w:r w:rsidRPr="00635A92">
        <w:rPr>
          <w:rFonts w:hint="eastAsia"/>
          <w:bCs/>
          <w:szCs w:val="28"/>
          <w:u w:val="single"/>
        </w:rPr>
        <w:t xml:space="preserve"> </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2.</w:t>
      </w:r>
      <w:r w:rsidRPr="00635A92">
        <w:rPr>
          <w:rFonts w:hint="eastAsia"/>
          <w:bCs/>
          <w:szCs w:val="28"/>
        </w:rPr>
        <w:tab/>
      </w:r>
      <w:r w:rsidRPr="00635A92">
        <w:rPr>
          <w:rFonts w:hint="eastAsia"/>
          <w:bCs/>
          <w:szCs w:val="28"/>
        </w:rPr>
        <w:t>公營普通學校的學生支援組會協助校長和副校長推行融合教育的工作。教育局人員會定期訪校，了解學校為有特殊教育需要的學生提供的支援，並向學校提供專業意見，確保學校善用資源，為學生提供合適的教學支援。主要的專業支援包括：</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ind w:left="1440" w:hanging="720"/>
        <w:jc w:val="both"/>
        <w:rPr>
          <w:bCs/>
          <w:szCs w:val="28"/>
        </w:rPr>
      </w:pPr>
      <w:r w:rsidRPr="00635A92">
        <w:rPr>
          <w:rFonts w:hint="eastAsia"/>
          <w:bCs/>
          <w:szCs w:val="28"/>
        </w:rPr>
        <w:t>(a)</w:t>
      </w:r>
      <w:r w:rsidRPr="00635A92">
        <w:rPr>
          <w:bCs/>
          <w:szCs w:val="28"/>
        </w:rPr>
        <w:tab/>
      </w:r>
      <w:r w:rsidRPr="00635A92">
        <w:rPr>
          <w:rFonts w:hint="eastAsia"/>
          <w:b/>
          <w:bCs/>
          <w:szCs w:val="28"/>
        </w:rPr>
        <w:t>特殊教育需要統籌主任</w:t>
      </w:r>
      <w:r w:rsidRPr="00635A92">
        <w:rPr>
          <w:rFonts w:hint="eastAsia"/>
          <w:bCs/>
          <w:szCs w:val="28"/>
        </w:rPr>
        <w:t xml:space="preserve"> </w:t>
      </w:r>
      <w:r w:rsidRPr="00635A92">
        <w:rPr>
          <w:bCs/>
          <w:szCs w:val="28"/>
        </w:rPr>
        <w:t xml:space="preserve">- </w:t>
      </w:r>
      <w:r w:rsidRPr="00635A92">
        <w:rPr>
          <w:rFonts w:hint="eastAsia"/>
          <w:bCs/>
          <w:szCs w:val="28"/>
        </w:rPr>
        <w:t>由</w:t>
      </w:r>
      <w:r w:rsidRPr="00635A92">
        <w:rPr>
          <w:rFonts w:hint="eastAsia"/>
          <w:bCs/>
          <w:szCs w:val="28"/>
        </w:rPr>
        <w:t xml:space="preserve">2017/18 </w:t>
      </w:r>
      <w:r w:rsidRPr="00635A92">
        <w:rPr>
          <w:rFonts w:hint="eastAsia"/>
          <w:bCs/>
          <w:szCs w:val="28"/>
        </w:rPr>
        <w:t>學年起，政府在三年內分階段於每一所公營普通中、小學增設一個編制內的學位教席，以便學校安排一名專責教師擔任特殊教育需要</w:t>
      </w:r>
      <w:r w:rsidRPr="008E0660">
        <w:rPr>
          <w:rFonts w:hint="eastAsia"/>
          <w:bCs/>
          <w:spacing w:val="2"/>
          <w:szCs w:val="28"/>
        </w:rPr>
        <w:t>統籌主任，加強支援融合教育。統籌主任的職責包括帶領、</w:t>
      </w:r>
      <w:r w:rsidRPr="00635A92">
        <w:rPr>
          <w:rFonts w:hint="eastAsia"/>
          <w:bCs/>
          <w:szCs w:val="28"/>
        </w:rPr>
        <w:t>管理、統籌、推廣及發展與支援有特殊教育需要學生有關的工作。在</w:t>
      </w:r>
      <w:r w:rsidRPr="00635A92">
        <w:rPr>
          <w:rFonts w:hint="eastAsia"/>
          <w:bCs/>
          <w:szCs w:val="28"/>
        </w:rPr>
        <w:t>2018/19</w:t>
      </w:r>
      <w:r w:rsidRPr="00635A92">
        <w:rPr>
          <w:rFonts w:hint="eastAsia"/>
          <w:bCs/>
          <w:szCs w:val="28"/>
        </w:rPr>
        <w:t>學年，約</w:t>
      </w:r>
      <w:r w:rsidRPr="00635A92">
        <w:rPr>
          <w:rFonts w:hint="eastAsia"/>
          <w:bCs/>
          <w:szCs w:val="28"/>
        </w:rPr>
        <w:t>65%</w:t>
      </w:r>
      <w:r w:rsidRPr="00635A92">
        <w:rPr>
          <w:rFonts w:hint="eastAsia"/>
          <w:bCs/>
          <w:szCs w:val="28"/>
        </w:rPr>
        <w:t>公營普通中、小學已獲增設統籌主任，其餘公營普通學校將於</w:t>
      </w:r>
      <w:r w:rsidRPr="00635A92">
        <w:rPr>
          <w:rFonts w:hint="eastAsia"/>
          <w:bCs/>
          <w:szCs w:val="28"/>
        </w:rPr>
        <w:t>2019/20</w:t>
      </w:r>
      <w:r w:rsidRPr="00635A92">
        <w:rPr>
          <w:rFonts w:hint="eastAsia"/>
          <w:bCs/>
          <w:szCs w:val="28"/>
        </w:rPr>
        <w:t>學年開設統籌主任職位。由</w:t>
      </w:r>
      <w:r w:rsidRPr="00635A92">
        <w:rPr>
          <w:rFonts w:hint="eastAsia"/>
          <w:bCs/>
          <w:szCs w:val="28"/>
        </w:rPr>
        <w:t>2019/20</w:t>
      </w:r>
      <w:r w:rsidRPr="00635A92">
        <w:rPr>
          <w:rFonts w:hint="eastAsia"/>
          <w:bCs/>
          <w:szCs w:val="28"/>
        </w:rPr>
        <w:t>學年起，取錄較多有特殊</w:t>
      </w:r>
      <w:r w:rsidRPr="00635A92">
        <w:rPr>
          <w:rFonts w:hint="eastAsia"/>
          <w:bCs/>
          <w:szCs w:val="28"/>
        </w:rPr>
        <w:lastRenderedPageBreak/>
        <w:t>教育需要學生的學校，統籌主任的職級亦將會提升至晉升職級；</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ind w:left="1440" w:hanging="720"/>
        <w:jc w:val="both"/>
        <w:rPr>
          <w:bCs/>
          <w:szCs w:val="28"/>
        </w:rPr>
      </w:pPr>
      <w:r w:rsidRPr="00635A92">
        <w:rPr>
          <w:bCs/>
          <w:szCs w:val="28"/>
        </w:rPr>
        <w:t>(b</w:t>
      </w:r>
      <w:r w:rsidRPr="00635A92">
        <w:rPr>
          <w:rFonts w:hint="eastAsia"/>
          <w:bCs/>
          <w:szCs w:val="28"/>
        </w:rPr>
        <w:t>)</w:t>
      </w:r>
      <w:r w:rsidRPr="00635A92">
        <w:rPr>
          <w:bCs/>
          <w:szCs w:val="28"/>
        </w:rPr>
        <w:tab/>
      </w:r>
      <w:r w:rsidRPr="00635A92">
        <w:rPr>
          <w:rFonts w:hint="eastAsia"/>
          <w:b/>
          <w:bCs/>
          <w:szCs w:val="28"/>
        </w:rPr>
        <w:t>校本教育心理服務</w:t>
      </w:r>
      <w:r w:rsidRPr="00635A92">
        <w:rPr>
          <w:rFonts w:hint="eastAsia"/>
          <w:b/>
          <w:bCs/>
          <w:szCs w:val="28"/>
        </w:rPr>
        <w:t xml:space="preserve"> </w:t>
      </w:r>
      <w:r w:rsidRPr="00635A92">
        <w:rPr>
          <w:b/>
          <w:bCs/>
          <w:szCs w:val="28"/>
        </w:rPr>
        <w:t xml:space="preserve">- </w:t>
      </w:r>
      <w:r w:rsidRPr="00635A92">
        <w:rPr>
          <w:rFonts w:hint="eastAsia"/>
          <w:bCs/>
          <w:szCs w:val="28"/>
        </w:rPr>
        <w:t>由</w:t>
      </w:r>
      <w:r w:rsidRPr="00635A92">
        <w:rPr>
          <w:rFonts w:hint="eastAsia"/>
          <w:bCs/>
          <w:szCs w:val="28"/>
        </w:rPr>
        <w:t>2016/17</w:t>
      </w:r>
      <w:r w:rsidRPr="00635A92">
        <w:rPr>
          <w:rFonts w:hint="eastAsia"/>
          <w:bCs/>
          <w:szCs w:val="28"/>
        </w:rPr>
        <w:t>學年起，「校本教育心理服務」已覆蓋全港所有公營普通中、小學，每名教育心理學家服務六至十所學校（包括中、小學），一般則為七至八所。此外，政府亦在取錄較多有特殊教育需要學生的公營普通中、小學推行優化校本教育心理服務，將教育心理學家與學校的比例提升至</w:t>
      </w:r>
      <w:r w:rsidRPr="00635A92">
        <w:rPr>
          <w:rFonts w:hint="eastAsia"/>
          <w:bCs/>
          <w:szCs w:val="28"/>
        </w:rPr>
        <w:t>1:4</w:t>
      </w:r>
      <w:r w:rsidRPr="00635A92">
        <w:rPr>
          <w:rFonts w:hint="eastAsia"/>
          <w:bCs/>
          <w:szCs w:val="28"/>
        </w:rPr>
        <w:t>。在</w:t>
      </w:r>
      <w:r w:rsidRPr="00635A92">
        <w:rPr>
          <w:rFonts w:hint="eastAsia"/>
          <w:bCs/>
          <w:szCs w:val="28"/>
        </w:rPr>
        <w:t>2018/19</w:t>
      </w:r>
      <w:r w:rsidRPr="00635A92">
        <w:rPr>
          <w:rFonts w:hint="eastAsia"/>
          <w:bCs/>
          <w:szCs w:val="28"/>
        </w:rPr>
        <w:t>學年，接受優化服務的公營中、小學約佔</w:t>
      </w:r>
      <w:r w:rsidRPr="00635A92">
        <w:rPr>
          <w:rFonts w:hint="eastAsia"/>
          <w:bCs/>
          <w:szCs w:val="28"/>
        </w:rPr>
        <w:t>14%</w:t>
      </w:r>
      <w:r w:rsidRPr="00635A92">
        <w:rPr>
          <w:rFonts w:hint="eastAsia"/>
          <w:bCs/>
          <w:szCs w:val="28"/>
        </w:rPr>
        <w:t>。我們預計在</w:t>
      </w:r>
      <w:r w:rsidRPr="00635A92">
        <w:rPr>
          <w:rFonts w:hint="eastAsia"/>
          <w:bCs/>
          <w:szCs w:val="28"/>
        </w:rPr>
        <w:t>2023/24</w:t>
      </w:r>
      <w:r w:rsidRPr="00635A92">
        <w:rPr>
          <w:rFonts w:hint="eastAsia"/>
          <w:bCs/>
          <w:szCs w:val="28"/>
        </w:rPr>
        <w:t>學年約六成的公營學校將會接受</w:t>
      </w:r>
      <w:r w:rsidRPr="00635A92">
        <w:rPr>
          <w:rFonts w:hint="eastAsia"/>
          <w:bCs/>
          <w:szCs w:val="28"/>
          <w:lang w:eastAsia="zh-HK"/>
        </w:rPr>
        <w:t>該</w:t>
      </w:r>
      <w:r w:rsidRPr="00635A92">
        <w:rPr>
          <w:rFonts w:hint="eastAsia"/>
          <w:bCs/>
          <w:szCs w:val="28"/>
        </w:rPr>
        <w:t>優化服務，其餘四成學校的教育心理學家與學校的比例則提升至</w:t>
      </w:r>
      <w:r w:rsidRPr="00635A92">
        <w:rPr>
          <w:rFonts w:hint="eastAsia"/>
          <w:bCs/>
          <w:szCs w:val="28"/>
        </w:rPr>
        <w:t>1:6</w:t>
      </w:r>
      <w:r w:rsidRPr="00635A92">
        <w:rPr>
          <w:rFonts w:hint="eastAsia"/>
          <w:bCs/>
          <w:szCs w:val="28"/>
        </w:rPr>
        <w:t>；</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ind w:left="1440" w:hanging="720"/>
        <w:jc w:val="both"/>
        <w:rPr>
          <w:bCs/>
          <w:szCs w:val="28"/>
        </w:rPr>
      </w:pPr>
      <w:r w:rsidRPr="00635A92">
        <w:rPr>
          <w:rFonts w:hint="eastAsia"/>
          <w:bCs/>
          <w:szCs w:val="28"/>
        </w:rPr>
        <w:t>(</w:t>
      </w:r>
      <w:r w:rsidRPr="00635A92">
        <w:rPr>
          <w:bCs/>
          <w:szCs w:val="28"/>
        </w:rPr>
        <w:t>c)</w:t>
      </w:r>
      <w:r w:rsidRPr="00635A92">
        <w:rPr>
          <w:bCs/>
          <w:szCs w:val="28"/>
        </w:rPr>
        <w:tab/>
      </w:r>
      <w:r w:rsidRPr="00635A92">
        <w:rPr>
          <w:rFonts w:hint="eastAsia"/>
          <w:b/>
          <w:bCs/>
          <w:szCs w:val="28"/>
        </w:rPr>
        <w:t>校本言語治療服務</w:t>
      </w:r>
      <w:r w:rsidRPr="00635A92">
        <w:rPr>
          <w:rFonts w:hint="eastAsia"/>
          <w:bCs/>
          <w:szCs w:val="28"/>
        </w:rPr>
        <w:t xml:space="preserve"> </w:t>
      </w:r>
      <w:r w:rsidRPr="00635A92">
        <w:rPr>
          <w:bCs/>
          <w:szCs w:val="28"/>
        </w:rPr>
        <w:t xml:space="preserve">- </w:t>
      </w:r>
      <w:r w:rsidRPr="00635A92">
        <w:rPr>
          <w:rFonts w:hint="eastAsia"/>
          <w:bCs/>
          <w:szCs w:val="28"/>
        </w:rPr>
        <w:t>教育局一直為公營普通小學提供「加強言語治療津貼」，讓學校為有需要的學生提供校本言語治療服務，公營普通中學亦會運用學習支援津貼，支援有言語障礙的學生。由</w:t>
      </w:r>
      <w:r w:rsidRPr="00635A92">
        <w:rPr>
          <w:rFonts w:hint="eastAsia"/>
          <w:bCs/>
          <w:szCs w:val="28"/>
        </w:rPr>
        <w:t>2019/20</w:t>
      </w:r>
      <w:r w:rsidRPr="00635A92">
        <w:rPr>
          <w:rFonts w:hint="eastAsia"/>
          <w:bCs/>
          <w:szCs w:val="28"/>
        </w:rPr>
        <w:t>學年起，教育局會分三年在全港公營普通中、小學開設校本言語治療師職位，讓學校為有言語障礙的學生提供更全面的校本言語治療服務；</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ind w:left="1440" w:hanging="720"/>
        <w:jc w:val="both"/>
        <w:rPr>
          <w:bCs/>
          <w:szCs w:val="28"/>
        </w:rPr>
      </w:pPr>
      <w:r w:rsidRPr="00635A92">
        <w:rPr>
          <w:bCs/>
          <w:szCs w:val="28"/>
        </w:rPr>
        <w:t>(d</w:t>
      </w:r>
      <w:r w:rsidRPr="00635A92">
        <w:rPr>
          <w:rFonts w:hint="eastAsia"/>
          <w:bCs/>
          <w:szCs w:val="28"/>
        </w:rPr>
        <w:t>)</w:t>
      </w:r>
      <w:r w:rsidRPr="00635A92">
        <w:rPr>
          <w:rFonts w:hint="eastAsia"/>
          <w:bCs/>
          <w:szCs w:val="28"/>
        </w:rPr>
        <w:tab/>
      </w:r>
      <w:r w:rsidRPr="00635A92">
        <w:rPr>
          <w:rFonts w:hint="eastAsia"/>
          <w:b/>
          <w:bCs/>
          <w:szCs w:val="28"/>
        </w:rPr>
        <w:t>家校合作</w:t>
      </w:r>
      <w:r w:rsidRPr="00635A92">
        <w:rPr>
          <w:rFonts w:hint="eastAsia"/>
          <w:bCs/>
          <w:szCs w:val="28"/>
        </w:rPr>
        <w:t xml:space="preserve"> </w:t>
      </w:r>
      <w:r w:rsidRPr="00635A92">
        <w:rPr>
          <w:bCs/>
          <w:szCs w:val="28"/>
        </w:rPr>
        <w:t xml:space="preserve">- </w:t>
      </w:r>
      <w:r w:rsidRPr="00635A92">
        <w:rPr>
          <w:rFonts w:hint="eastAsia"/>
          <w:bCs/>
          <w:szCs w:val="28"/>
        </w:rPr>
        <w:t>家校合作是推動融合教育的成功要素之一。教育局一直要求學校設立有系統的恆常溝通機制，向家長匯報為有特殊教育需要學生提供的支援服務和學生的學習進度，以加強溝通和合作。我們亦要求學校在周年校務報告、學校網頁及學校概覽中，闡述校本融合教育政策、額外資源的運用和向學生提供的支援措施等，以供家長和公眾參閱。教育局同樣鼓勵家長主動與學校聯繫，了解子女的學習情況，就支援學生的措施向學校給予意見，並配合學校的安排，共同教導學生。教育局亦印備各樣單張，例如《全校參與模式融合教育家長篇》、《及早識別和輔導有學習困難的小一學生單張》及一系列有關培育有不同特殊教育需要子女的單張，以提升家長對特殊教育需要的認識，推動家校合作。</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t>教師培訓</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3.</w:t>
      </w:r>
      <w:r w:rsidRPr="00635A92">
        <w:rPr>
          <w:rFonts w:hint="eastAsia"/>
          <w:bCs/>
          <w:szCs w:val="28"/>
        </w:rPr>
        <w:tab/>
      </w:r>
      <w:r w:rsidRPr="00635A92">
        <w:rPr>
          <w:rFonts w:hint="eastAsia"/>
          <w:bCs/>
          <w:szCs w:val="28"/>
        </w:rPr>
        <w:t>教師的專業質素是成功推行融合教育的關鍵因素。教育局由</w:t>
      </w:r>
      <w:r w:rsidRPr="00635A92">
        <w:rPr>
          <w:rFonts w:hint="eastAsia"/>
          <w:bCs/>
          <w:szCs w:val="28"/>
        </w:rPr>
        <w:t>2007/08</w:t>
      </w:r>
      <w:r w:rsidRPr="00635A92">
        <w:rPr>
          <w:rFonts w:hint="eastAsia"/>
          <w:bCs/>
          <w:szCs w:val="28"/>
        </w:rPr>
        <w:t>學年起為在職教師提供以照顧有特殊教育需要學生為主題</w:t>
      </w:r>
      <w:r w:rsidRPr="009D6393">
        <w:rPr>
          <w:rFonts w:hint="eastAsia"/>
          <w:bCs/>
          <w:spacing w:val="4"/>
          <w:szCs w:val="28"/>
        </w:rPr>
        <w:t>的有系統的培訓課程，即基礎、高級及專題課程，並訂定了培訓目標</w:t>
      </w:r>
      <w:r w:rsidR="00293000">
        <w:rPr>
          <w:bCs/>
          <w:szCs w:val="28"/>
        </w:rPr>
        <w:t>‍</w:t>
      </w:r>
      <w:r w:rsidRPr="00635A92">
        <w:rPr>
          <w:bCs/>
          <w:szCs w:val="28"/>
        </w:rPr>
        <w:t>‍</w:t>
      </w:r>
      <w:r w:rsidRPr="00635A92">
        <w:rPr>
          <w:bCs/>
          <w:szCs w:val="28"/>
          <w:vertAlign w:val="superscript"/>
        </w:rPr>
        <w:footnoteReference w:id="19"/>
      </w:r>
      <w:r w:rsidRPr="00635A92">
        <w:rPr>
          <w:rFonts w:hint="eastAsia"/>
          <w:bCs/>
          <w:szCs w:val="28"/>
        </w:rPr>
        <w:t>。我們在</w:t>
      </w:r>
      <w:r w:rsidRPr="00635A92">
        <w:rPr>
          <w:rFonts w:hint="eastAsia"/>
          <w:bCs/>
          <w:szCs w:val="28"/>
        </w:rPr>
        <w:t>2015/16</w:t>
      </w:r>
      <w:r w:rsidRPr="00635A92">
        <w:rPr>
          <w:rFonts w:hint="eastAsia"/>
          <w:bCs/>
          <w:szCs w:val="28"/>
        </w:rPr>
        <w:t>學年修訂了公營學校的培訓目標，以便在</w:t>
      </w:r>
      <w:r w:rsidRPr="00635A92">
        <w:rPr>
          <w:rFonts w:hint="eastAsia"/>
          <w:bCs/>
          <w:szCs w:val="28"/>
        </w:rPr>
        <w:t>2019/20</w:t>
      </w:r>
      <w:r w:rsidRPr="00635A92">
        <w:rPr>
          <w:rFonts w:hint="eastAsia"/>
          <w:bCs/>
          <w:szCs w:val="28"/>
        </w:rPr>
        <w:t>學年，學校有一定數目的教師具備照顧有特殊教育需要學生的專業能力，從而提升學校推行融合教育的成效。教育局亦正檢討教師培訓進展，以訂定由</w:t>
      </w:r>
      <w:r w:rsidRPr="00635A92">
        <w:rPr>
          <w:rFonts w:hint="eastAsia"/>
          <w:bCs/>
          <w:szCs w:val="28"/>
        </w:rPr>
        <w:t>2020/21</w:t>
      </w:r>
      <w:r w:rsidRPr="00635A92">
        <w:rPr>
          <w:rFonts w:hint="eastAsia"/>
          <w:bCs/>
          <w:szCs w:val="28"/>
        </w:rPr>
        <w:t>學年起的特殊教育教師培訓的指標。為了讓家長或其他公眾人士能掌握學校教師的特殊教育培訓資料，教育局要求學校把有關資料上載於家庭與學校合作事宜委員會網頁內的「學校概覽」。</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4.</w:t>
      </w:r>
      <w:r w:rsidRPr="00635A92">
        <w:rPr>
          <w:rFonts w:hint="eastAsia"/>
          <w:bCs/>
          <w:szCs w:val="28"/>
        </w:rPr>
        <w:tab/>
      </w:r>
      <w:r w:rsidRPr="00E94F92">
        <w:rPr>
          <w:rFonts w:hint="eastAsia"/>
          <w:bCs/>
          <w:spacing w:val="2"/>
          <w:szCs w:val="28"/>
        </w:rPr>
        <w:t>為切合特殊學校教師的專業發展需要，由</w:t>
      </w:r>
      <w:r w:rsidRPr="00E94F92">
        <w:rPr>
          <w:rFonts w:hint="eastAsia"/>
          <w:bCs/>
          <w:spacing w:val="2"/>
          <w:szCs w:val="28"/>
        </w:rPr>
        <w:t>2012/13</w:t>
      </w:r>
      <w:r w:rsidRPr="00E94F92">
        <w:rPr>
          <w:rFonts w:hint="eastAsia"/>
          <w:bCs/>
          <w:spacing w:val="2"/>
          <w:szCs w:val="28"/>
        </w:rPr>
        <w:t>學年起，</w:t>
      </w:r>
      <w:r w:rsidRPr="00635A92">
        <w:rPr>
          <w:rFonts w:hint="eastAsia"/>
          <w:bCs/>
          <w:szCs w:val="28"/>
        </w:rPr>
        <w:t>教育局推出以「有嚴重或多重殘疾兒童的教育」為主題的特殊學校教師培訓課程。由</w:t>
      </w:r>
      <w:r w:rsidRPr="00635A92">
        <w:rPr>
          <w:rFonts w:hint="eastAsia"/>
          <w:bCs/>
          <w:szCs w:val="28"/>
        </w:rPr>
        <w:t>2017/18</w:t>
      </w:r>
      <w:r w:rsidRPr="00635A92">
        <w:rPr>
          <w:rFonts w:hint="eastAsia"/>
          <w:bCs/>
          <w:szCs w:val="28"/>
        </w:rPr>
        <w:t>學年起，教育局亦為教師提供「精神健康的專業發展課程」，以提高教師對精神健康的關注，加強識別和支援有精神健康需要的學生。該課程包括為一般教師提供的初級培訓及為專責教師提供的深造培訓，學校須在三個學年內有至少一名教師完成初級培訓及一名專責教師完成深造培訓。</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t>及早識別和支援</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5.</w:t>
      </w:r>
      <w:r w:rsidRPr="00635A92">
        <w:rPr>
          <w:rFonts w:hint="eastAsia"/>
          <w:bCs/>
          <w:szCs w:val="28"/>
        </w:rPr>
        <w:tab/>
      </w:r>
      <w:r w:rsidRPr="00635A92">
        <w:rPr>
          <w:rFonts w:hint="eastAsia"/>
          <w:bCs/>
          <w:szCs w:val="28"/>
        </w:rPr>
        <w:t>教育局致力為幼稚園教師提供在職培訓課程，並制定教師專業發展架構，以強化幼稚園教師及早識別及支援學前兒童特殊需要的專業能力。於</w:t>
      </w:r>
      <w:r w:rsidRPr="00635A92">
        <w:rPr>
          <w:rFonts w:hint="eastAsia"/>
          <w:bCs/>
          <w:szCs w:val="28"/>
        </w:rPr>
        <w:t>2018/19</w:t>
      </w:r>
      <w:r w:rsidRPr="00635A92">
        <w:rPr>
          <w:rFonts w:hint="eastAsia"/>
          <w:bCs/>
          <w:szCs w:val="28"/>
        </w:rPr>
        <w:t>學年，教育局分別為幼稚園教師提供基礎及進階兩個階梯的有系統在職培訓課程。基礎課程的對象為所有幼稚園教師，內容涵蓋營造共融及具支持性的學習環境、及早識別及介入的基本知識及技巧；而進階課程則旨在更深入介紹分層支援模式、反應</w:t>
      </w:r>
      <w:r w:rsidRPr="00635A92">
        <w:rPr>
          <w:rFonts w:hint="eastAsia"/>
          <w:bCs/>
          <w:szCs w:val="28"/>
        </w:rPr>
        <w:lastRenderedPageBreak/>
        <w:t>性介入，及與跨專業協作相關的知識和技巧，以進一步提升幼稚園教師照顧學習差異的能力。</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6.</w:t>
      </w:r>
      <w:r w:rsidRPr="00635A92">
        <w:rPr>
          <w:bCs/>
          <w:szCs w:val="28"/>
        </w:rPr>
        <w:tab/>
      </w:r>
      <w:r w:rsidRPr="00F84D8C">
        <w:rPr>
          <w:rFonts w:hint="eastAsia"/>
          <w:bCs/>
          <w:spacing w:val="2"/>
          <w:szCs w:val="28"/>
        </w:rPr>
        <w:t>為提升幼小銜接的效能，在已有的基礎上，教育局與社署、</w:t>
      </w:r>
      <w:r w:rsidRPr="00635A92">
        <w:rPr>
          <w:rFonts w:hint="eastAsia"/>
          <w:bCs/>
          <w:szCs w:val="28"/>
        </w:rPr>
        <w:t>衞生署及醫管局的兒童體能智力測驗服務由</w:t>
      </w:r>
      <w:r w:rsidRPr="00635A92">
        <w:rPr>
          <w:bCs/>
          <w:szCs w:val="28"/>
        </w:rPr>
        <w:t>2017/18</w:t>
      </w:r>
      <w:r w:rsidRPr="00635A92">
        <w:rPr>
          <w:rFonts w:hint="eastAsia"/>
          <w:bCs/>
          <w:szCs w:val="28"/>
        </w:rPr>
        <w:t>學年起加強部門間的協作，以確保有特殊需要的兒童由學前中心／幼稚園升讀小學時，小學能參考這些兒童的評估資料和進展報告，及早了解這些兒童的情況和提供支援，幫助他們順利融入小學的學習生活。</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F84D8C">
      <w:pPr>
        <w:widowControl/>
        <w:tabs>
          <w:tab w:val="left" w:pos="1440"/>
        </w:tabs>
        <w:overflowPunct w:val="0"/>
        <w:adjustRightInd w:val="0"/>
        <w:snapToGrid w:val="0"/>
        <w:spacing w:line="400" w:lineRule="atLeast"/>
        <w:jc w:val="both"/>
        <w:rPr>
          <w:bCs/>
          <w:szCs w:val="28"/>
        </w:rPr>
      </w:pPr>
      <w:r>
        <w:rPr>
          <w:rFonts w:hint="eastAsia"/>
          <w:bCs/>
          <w:szCs w:val="28"/>
        </w:rPr>
        <w:t>7.</w:t>
      </w:r>
      <w:r w:rsidRPr="00635A92">
        <w:rPr>
          <w:rFonts w:hint="eastAsia"/>
          <w:bCs/>
          <w:szCs w:val="28"/>
        </w:rPr>
        <w:tab/>
      </w:r>
      <w:r w:rsidRPr="00635A92">
        <w:rPr>
          <w:rFonts w:hint="eastAsia"/>
          <w:bCs/>
          <w:szCs w:val="28"/>
        </w:rPr>
        <w:t>此外，教育局一直在全港公營小學推行「及早識別和輔導有學習困難的小一學生計劃」，為學校提供有關的識別工具及輔助教材，以識別及輔導有學習困難的小一學生。學校會盡早為有學習困難的學生提供學習支援並檢視他們的進度。如學生在接受輔導後仍有嚴重或持續的學習困難，學校會按照學生的需要轉介他們接受教育心理學家或其他專業人士的評估。教師如懷疑學生有學習以外的支援需要，亦可諮詢特殊教育需要統籌主任、學生支援組或學生輔導人員，以便為學生安排跟進及支援。</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t>支援有特殊教育需要的非華語學生</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8.</w:t>
      </w:r>
      <w:r w:rsidRPr="00635A92">
        <w:rPr>
          <w:rFonts w:hint="eastAsia"/>
          <w:bCs/>
          <w:szCs w:val="28"/>
        </w:rPr>
        <w:tab/>
      </w:r>
      <w:r w:rsidRPr="00635A92">
        <w:rPr>
          <w:rFonts w:hint="eastAsia"/>
          <w:bCs/>
          <w:szCs w:val="28"/>
        </w:rPr>
        <w:t>教育局致力協助非華語學生儘早適應本地的學校制度和融入社會，並透過不同的支援措施，提升他們的學習成效。有特殊教育需要的非華語學生在學校可獲得為非華語學生提供的支援服務，亦同樣可獲得為有特殊教育需要的學生提供的支援服務。</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9.</w:t>
      </w:r>
      <w:r w:rsidRPr="00635A92">
        <w:rPr>
          <w:bCs/>
          <w:szCs w:val="28"/>
        </w:rPr>
        <w:tab/>
      </w:r>
      <w:r w:rsidRPr="00635A92">
        <w:rPr>
          <w:rFonts w:hint="eastAsia"/>
          <w:bCs/>
          <w:szCs w:val="28"/>
        </w:rPr>
        <w:t>有特殊教育需要的非華語學生面對不同的文化、語言和生活習慣等，加上本身的學習困難，在學校會較其他學生遇到更複雜的問題。為進一步支援有特殊教育需要的非華語學生適應不同學習階段及融入校園生活，教育局將由</w:t>
      </w:r>
      <w:r w:rsidRPr="00635A92">
        <w:rPr>
          <w:rFonts w:hint="eastAsia"/>
          <w:bCs/>
          <w:szCs w:val="28"/>
        </w:rPr>
        <w:t>2019/20</w:t>
      </w:r>
      <w:r w:rsidRPr="00635A92">
        <w:rPr>
          <w:rFonts w:hint="eastAsia"/>
          <w:bCs/>
          <w:szCs w:val="28"/>
        </w:rPr>
        <w:t>學年起向取錄這些學生的公營普通中、小學及直接資助計劃學校提供額外資源，讓學校聘請教學助理協助教師設計活動及教材、外購翻譯服務、或提供社交和情緒管理訓練等，以加強對有關學生在情緒、溝通及社交上的支援。</w:t>
      </w:r>
    </w:p>
    <w:p w:rsidR="00DB339E"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lastRenderedPageBreak/>
        <w:t>手語輔助教學</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10.</w:t>
      </w:r>
      <w:r w:rsidRPr="00635A92">
        <w:rPr>
          <w:rFonts w:hint="eastAsia"/>
          <w:bCs/>
          <w:szCs w:val="28"/>
        </w:rPr>
        <w:tab/>
      </w:r>
      <w:r w:rsidRPr="00635A92">
        <w:rPr>
          <w:rFonts w:hint="eastAsia"/>
          <w:bCs/>
          <w:szCs w:val="28"/>
        </w:rPr>
        <w:t>現時，在家長的同意下，有嚴重或深度聽障或因聽障而未有足夠言語能力建構知識的學生，即可能需要運用手語溝通及學習的學生，會入讀聽障兒童學校。聽障兒童學校採用普通學校的課程，並有豐富的資源和配套支援學生，教師亦會因應學生的需要，適切地運用手語及／或口語教學。教育局會清楚向家長解釋有關政策，讓他們為子女選擇入讀普通學校或聽障兒童學校。</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rPr>
      </w:pPr>
      <w:r>
        <w:rPr>
          <w:rFonts w:hint="eastAsia"/>
          <w:bCs/>
          <w:szCs w:val="28"/>
        </w:rPr>
        <w:t>11.</w:t>
      </w:r>
      <w:r w:rsidRPr="00635A92">
        <w:rPr>
          <w:rFonts w:hint="eastAsia"/>
          <w:bCs/>
          <w:szCs w:val="28"/>
        </w:rPr>
        <w:tab/>
      </w:r>
      <w:r w:rsidRPr="00635A92">
        <w:rPr>
          <w:rFonts w:hint="eastAsia"/>
          <w:bCs/>
          <w:szCs w:val="28"/>
        </w:rPr>
        <w:t>無論是普通學校或特殊學校，教育局一直鼓勵學校及教師因應聽障學生的能力和需要，選用最合適的模式教學和與學生溝通，並訓練學生利用剩餘聽力聆聽，協助聽障學生掌握與其他人士溝通的技巧。教育局亦鼓勵學校按需要為校內師生安排手語訓練課程。聽障兒童學校的「聽障學生增強支援服務」資源教師會在有需要時以手語輔助口語方式幫助有關學生學習，也會與學生的原校教師交流教導聽障學生的心得，分享不同的教學策略，提升聽障學生的學習效能。</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Pr="00635A92" w:rsidRDefault="00DB339E" w:rsidP="00DB339E">
      <w:pPr>
        <w:widowControl/>
        <w:tabs>
          <w:tab w:val="left" w:pos="1440"/>
        </w:tabs>
        <w:adjustRightInd w:val="0"/>
        <w:snapToGrid w:val="0"/>
        <w:spacing w:line="400" w:lineRule="atLeast"/>
        <w:jc w:val="both"/>
        <w:rPr>
          <w:bCs/>
          <w:szCs w:val="28"/>
          <w:u w:val="single"/>
        </w:rPr>
      </w:pPr>
      <w:r w:rsidRPr="00635A92">
        <w:rPr>
          <w:rFonts w:hint="eastAsia"/>
          <w:bCs/>
          <w:szCs w:val="28"/>
          <w:u w:val="single"/>
        </w:rPr>
        <w:t>保障有特殊教育需要學生的權益</w:t>
      </w:r>
    </w:p>
    <w:p w:rsidR="00DB339E" w:rsidRPr="00635A92" w:rsidRDefault="00DB339E" w:rsidP="00DB339E">
      <w:pPr>
        <w:widowControl/>
        <w:tabs>
          <w:tab w:val="left" w:pos="1440"/>
        </w:tabs>
        <w:adjustRightInd w:val="0"/>
        <w:snapToGrid w:val="0"/>
        <w:spacing w:line="400" w:lineRule="atLeast"/>
        <w:jc w:val="both"/>
        <w:rPr>
          <w:bCs/>
          <w:szCs w:val="28"/>
        </w:rPr>
      </w:pPr>
    </w:p>
    <w:p w:rsidR="00DB339E" w:rsidRDefault="00DB339E" w:rsidP="00DB339E">
      <w:pPr>
        <w:widowControl/>
        <w:tabs>
          <w:tab w:val="left" w:pos="1440"/>
        </w:tabs>
        <w:adjustRightInd w:val="0"/>
        <w:snapToGrid w:val="0"/>
        <w:spacing w:line="400" w:lineRule="atLeast"/>
        <w:jc w:val="both"/>
        <w:rPr>
          <w:b/>
          <w:szCs w:val="28"/>
          <w:lang w:eastAsia="zh-HK"/>
        </w:rPr>
      </w:pPr>
      <w:r>
        <w:rPr>
          <w:rFonts w:hint="eastAsia"/>
          <w:bCs/>
          <w:szCs w:val="28"/>
        </w:rPr>
        <w:t>12.</w:t>
      </w:r>
      <w:r w:rsidRPr="00635A92">
        <w:rPr>
          <w:rFonts w:hint="eastAsia"/>
          <w:bCs/>
          <w:szCs w:val="28"/>
        </w:rPr>
        <w:tab/>
      </w:r>
      <w:r w:rsidRPr="00635A92">
        <w:rPr>
          <w:rFonts w:hint="eastAsia"/>
          <w:bCs/>
          <w:szCs w:val="28"/>
        </w:rPr>
        <w:t>隨著《殘疾歧視條例》及</w:t>
      </w:r>
      <w:r w:rsidRPr="00635A92">
        <w:rPr>
          <w:rFonts w:ascii="Calibri" w:hAnsi="Calibri" w:hint="eastAsia"/>
          <w:bCs/>
          <w:szCs w:val="28"/>
        </w:rPr>
        <w:t>於條例下發出的</w:t>
      </w:r>
      <w:r w:rsidRPr="00635A92">
        <w:rPr>
          <w:rFonts w:hint="eastAsia"/>
          <w:bCs/>
          <w:szCs w:val="28"/>
        </w:rPr>
        <w:t>《教育實務守則》的實施，有特殊教育需要學生</w:t>
      </w:r>
      <w:r w:rsidRPr="00635A92">
        <w:rPr>
          <w:rFonts w:ascii="Calibri" w:hAnsi="Calibri" w:hint="eastAsia"/>
          <w:bCs/>
          <w:szCs w:val="28"/>
        </w:rPr>
        <w:t>受到免受殘疾歧視的保障</w:t>
      </w:r>
      <w:r w:rsidRPr="00635A92">
        <w:rPr>
          <w:rFonts w:hint="eastAsia"/>
          <w:bCs/>
          <w:szCs w:val="28"/>
        </w:rPr>
        <w:t>。就立法保障有特殊教育需要學生的建議，不同地區或國家的安排有所不同，而各地的教育制度、背景及文化亦不盡相同，我們認為現階段香港應繼續集中力量協助學校推動「全校參與」模式融合教育，透過文化、政策和措施的配合，提升支援有特殊教育需要學生的成效，這才是迫切的工作。</w:t>
      </w:r>
    </w:p>
    <w:p w:rsidR="007E0698" w:rsidRDefault="007E0698" w:rsidP="007E0698">
      <w:pPr>
        <w:tabs>
          <w:tab w:val="left" w:pos="720"/>
          <w:tab w:val="left" w:pos="1440"/>
        </w:tabs>
        <w:snapToGrid w:val="0"/>
        <w:spacing w:line="360" w:lineRule="atLeast"/>
        <w:outlineLvl w:val="0"/>
        <w:rPr>
          <w:b/>
          <w:bCs/>
          <w:szCs w:val="28"/>
          <w:lang w:val="en-GB" w:eastAsia="zh-HK"/>
        </w:rPr>
      </w:pPr>
    </w:p>
    <w:p w:rsidR="007E0698" w:rsidRDefault="007E0698" w:rsidP="007E0698">
      <w:pPr>
        <w:tabs>
          <w:tab w:val="left" w:pos="720"/>
          <w:tab w:val="left" w:pos="1440"/>
        </w:tabs>
        <w:snapToGrid w:val="0"/>
        <w:spacing w:line="360" w:lineRule="atLeast"/>
        <w:outlineLvl w:val="0"/>
        <w:rPr>
          <w:b/>
          <w:bCs/>
          <w:szCs w:val="28"/>
          <w:lang w:val="en-GB" w:eastAsia="zh-HK"/>
        </w:rPr>
        <w:sectPr w:rsidR="007E0698" w:rsidSect="008E0660">
          <w:footerReference w:type="default" r:id="rId80"/>
          <w:headerReference w:type="first" r:id="rId81"/>
          <w:footerReference w:type="first" r:id="rId82"/>
          <w:footnotePr>
            <w:numRestart w:val="eachSect"/>
          </w:footnotePr>
          <w:pgSz w:w="11906" w:h="16838"/>
          <w:pgMar w:top="1440" w:right="1800" w:bottom="1440" w:left="1800" w:header="720" w:footer="720" w:gutter="0"/>
          <w:pgNumType w:start="1"/>
          <w:cols w:space="425"/>
          <w:titlePg/>
          <w:docGrid w:type="lines" w:linePitch="381"/>
        </w:sectPr>
      </w:pPr>
    </w:p>
    <w:p w:rsidR="00DB339E" w:rsidRDefault="00DB339E" w:rsidP="00DB339E">
      <w:pPr>
        <w:tabs>
          <w:tab w:val="left" w:pos="720"/>
          <w:tab w:val="left" w:pos="1440"/>
        </w:tabs>
        <w:snapToGrid w:val="0"/>
        <w:spacing w:line="360" w:lineRule="atLeast"/>
        <w:jc w:val="right"/>
        <w:outlineLvl w:val="0"/>
        <w:rPr>
          <w:b/>
          <w:szCs w:val="28"/>
          <w:lang w:val="en-GB"/>
        </w:rPr>
      </w:pPr>
      <w:r>
        <w:rPr>
          <w:rFonts w:hint="eastAsia"/>
          <w:b/>
          <w:szCs w:val="28"/>
          <w:lang w:val="en-GB" w:eastAsia="zh-HK"/>
        </w:rPr>
        <w:lastRenderedPageBreak/>
        <w:t>附錄</w:t>
      </w:r>
    </w:p>
    <w:p w:rsidR="00DB339E" w:rsidRDefault="00DB339E" w:rsidP="00DB339E">
      <w:pPr>
        <w:tabs>
          <w:tab w:val="left" w:pos="720"/>
          <w:tab w:val="left" w:pos="1440"/>
        </w:tabs>
        <w:snapToGrid w:val="0"/>
        <w:spacing w:line="360" w:lineRule="atLeast"/>
        <w:jc w:val="center"/>
        <w:outlineLvl w:val="0"/>
        <w:rPr>
          <w:b/>
          <w:szCs w:val="28"/>
          <w:lang w:val="en-GB"/>
        </w:rPr>
      </w:pPr>
    </w:p>
    <w:p w:rsidR="00DB339E" w:rsidRPr="00845B94" w:rsidRDefault="00DB339E" w:rsidP="00DB339E">
      <w:pPr>
        <w:tabs>
          <w:tab w:val="left" w:pos="720"/>
          <w:tab w:val="left" w:pos="1440"/>
        </w:tabs>
        <w:snapToGrid w:val="0"/>
        <w:spacing w:line="360" w:lineRule="atLeast"/>
        <w:jc w:val="center"/>
        <w:rPr>
          <w:b/>
          <w:szCs w:val="28"/>
        </w:rPr>
      </w:pPr>
      <w:r w:rsidRPr="00845B94">
        <w:rPr>
          <w:rFonts w:hint="eastAsia"/>
          <w:b/>
          <w:szCs w:val="28"/>
        </w:rPr>
        <w:t>為在普通學校就讀的有特殊教育需要的學生提供的</w:t>
      </w:r>
    </w:p>
    <w:p w:rsidR="00DB339E" w:rsidRPr="001D2713" w:rsidRDefault="00DB339E" w:rsidP="00DB339E">
      <w:pPr>
        <w:tabs>
          <w:tab w:val="left" w:pos="720"/>
          <w:tab w:val="left" w:pos="1440"/>
        </w:tabs>
        <w:snapToGrid w:val="0"/>
        <w:spacing w:line="360" w:lineRule="atLeast"/>
        <w:jc w:val="center"/>
        <w:rPr>
          <w:b/>
          <w:szCs w:val="28"/>
          <w:lang w:val="en-GB"/>
        </w:rPr>
      </w:pPr>
      <w:r w:rsidRPr="00845B94">
        <w:rPr>
          <w:rFonts w:hint="eastAsia"/>
          <w:b/>
          <w:szCs w:val="28"/>
        </w:rPr>
        <w:t>額外資源及專業支援簡介</w:t>
      </w:r>
    </w:p>
    <w:p w:rsidR="00DB339E" w:rsidRDefault="00DB339E" w:rsidP="00DB339E">
      <w:pPr>
        <w:tabs>
          <w:tab w:val="left" w:pos="720"/>
          <w:tab w:val="left" w:pos="1440"/>
        </w:tabs>
        <w:snapToGrid w:val="0"/>
        <w:spacing w:line="360" w:lineRule="atLeast"/>
        <w:jc w:val="both"/>
        <w:rPr>
          <w:szCs w:val="28"/>
          <w:lang w:val="en-GB"/>
        </w:rPr>
      </w:pPr>
    </w:p>
    <w:p w:rsidR="00DB339E" w:rsidRPr="003D5949" w:rsidRDefault="00DB339E" w:rsidP="00DB339E">
      <w:pPr>
        <w:tabs>
          <w:tab w:val="left" w:pos="720"/>
          <w:tab w:val="left" w:pos="1440"/>
        </w:tabs>
        <w:snapToGrid w:val="0"/>
        <w:spacing w:line="360" w:lineRule="atLeast"/>
        <w:jc w:val="both"/>
        <w:rPr>
          <w:szCs w:val="28"/>
          <w:u w:val="single"/>
        </w:rPr>
      </w:pPr>
      <w:r w:rsidRPr="00845B94">
        <w:rPr>
          <w:rFonts w:hint="eastAsia"/>
          <w:szCs w:val="28"/>
          <w:u w:val="single"/>
        </w:rPr>
        <w:t>額外資源</w:t>
      </w:r>
    </w:p>
    <w:p w:rsidR="00DB339E" w:rsidRPr="003D5949" w:rsidRDefault="00DB339E" w:rsidP="00DB339E">
      <w:pPr>
        <w:tabs>
          <w:tab w:val="left" w:pos="720"/>
          <w:tab w:val="left" w:pos="1440"/>
        </w:tabs>
        <w:snapToGrid w:val="0"/>
        <w:spacing w:line="360" w:lineRule="atLeast"/>
        <w:jc w:val="both"/>
        <w:rPr>
          <w:szCs w:val="28"/>
        </w:rPr>
      </w:pPr>
    </w:p>
    <w:p w:rsidR="00DB339E" w:rsidRPr="003D5949" w:rsidRDefault="00DB339E" w:rsidP="00DB339E">
      <w:pPr>
        <w:tabs>
          <w:tab w:val="left" w:pos="720"/>
          <w:tab w:val="left" w:pos="1440"/>
        </w:tabs>
        <w:snapToGrid w:val="0"/>
        <w:spacing w:line="360" w:lineRule="atLeast"/>
        <w:ind w:left="560" w:hangingChars="200" w:hanging="560"/>
        <w:jc w:val="both"/>
        <w:rPr>
          <w:szCs w:val="28"/>
        </w:rPr>
      </w:pPr>
      <w:r>
        <w:rPr>
          <w:szCs w:val="28"/>
        </w:rPr>
        <w:t>(a)</w:t>
      </w:r>
      <w:r>
        <w:rPr>
          <w:szCs w:val="28"/>
        </w:rPr>
        <w:tab/>
      </w:r>
      <w:r w:rsidRPr="00845B94">
        <w:rPr>
          <w:rFonts w:hint="eastAsia"/>
          <w:b/>
          <w:szCs w:val="28"/>
        </w:rPr>
        <w:t>學習支援津貼</w:t>
      </w:r>
      <w:r>
        <w:rPr>
          <w:b/>
          <w:szCs w:val="28"/>
        </w:rPr>
        <w:br/>
      </w:r>
      <w:r>
        <w:rPr>
          <w:b/>
          <w:szCs w:val="28"/>
        </w:rPr>
        <w:br/>
      </w:r>
      <w:r w:rsidRPr="00845B94">
        <w:rPr>
          <w:rFonts w:hint="eastAsia"/>
          <w:szCs w:val="28"/>
        </w:rPr>
        <w:t>教育局按有特殊教育需要的學生人數及所需的支援層級發放的現金津貼，學校可運用這項津貼增聘人手、外購服務及推行共融活動等，支援有特殊教育需要的學生。在</w:t>
      </w:r>
      <w:r w:rsidRPr="00845B94">
        <w:rPr>
          <w:szCs w:val="28"/>
        </w:rPr>
        <w:t>2018/19</w:t>
      </w:r>
      <w:r w:rsidRPr="00845B94">
        <w:rPr>
          <w:rFonts w:hint="eastAsia"/>
          <w:szCs w:val="28"/>
        </w:rPr>
        <w:t>學年，每名需要第二層及第三層支援的學生每年津貼額分別為</w:t>
      </w:r>
      <w:r w:rsidRPr="00845B94">
        <w:rPr>
          <w:szCs w:val="28"/>
        </w:rPr>
        <w:t>14,322</w:t>
      </w:r>
      <w:r w:rsidRPr="00845B94">
        <w:rPr>
          <w:rFonts w:hint="eastAsia"/>
          <w:szCs w:val="28"/>
        </w:rPr>
        <w:t>元及</w:t>
      </w:r>
      <w:r w:rsidRPr="00845B94">
        <w:rPr>
          <w:szCs w:val="28"/>
        </w:rPr>
        <w:t>28,644</w:t>
      </w:r>
      <w:r w:rsidRPr="00845B94">
        <w:rPr>
          <w:rFonts w:hint="eastAsia"/>
          <w:szCs w:val="28"/>
        </w:rPr>
        <w:t>元，基本津貼額為</w:t>
      </w:r>
      <w:r w:rsidRPr="00845B94">
        <w:rPr>
          <w:szCs w:val="28"/>
        </w:rPr>
        <w:t>171,864</w:t>
      </w:r>
      <w:r w:rsidRPr="00845B94">
        <w:rPr>
          <w:rFonts w:hint="eastAsia"/>
          <w:szCs w:val="28"/>
        </w:rPr>
        <w:t>元，每所學校的津貼上限為約</w:t>
      </w:r>
      <w:r w:rsidRPr="00845B94">
        <w:rPr>
          <w:szCs w:val="28"/>
        </w:rPr>
        <w:t>165</w:t>
      </w:r>
      <w:r w:rsidRPr="00845B94">
        <w:rPr>
          <w:rFonts w:hint="eastAsia"/>
          <w:szCs w:val="28"/>
        </w:rPr>
        <w:t>萬元。津貼額及津貼上限每年按綜合消費物價指數的變動調整。</w:t>
      </w:r>
      <w:r w:rsidRPr="003D5949">
        <w:rPr>
          <w:b/>
          <w:szCs w:val="28"/>
        </w:rPr>
        <w:t xml:space="preserve"> </w:t>
      </w:r>
    </w:p>
    <w:p w:rsidR="00DB339E" w:rsidRPr="003D5949" w:rsidRDefault="00DB339E" w:rsidP="00DB339E">
      <w:pPr>
        <w:tabs>
          <w:tab w:val="left" w:pos="720"/>
          <w:tab w:val="left" w:pos="1440"/>
        </w:tabs>
        <w:snapToGrid w:val="0"/>
        <w:spacing w:line="360" w:lineRule="atLeast"/>
        <w:jc w:val="both"/>
        <w:rPr>
          <w:b/>
          <w:szCs w:val="28"/>
        </w:rPr>
      </w:pPr>
    </w:p>
    <w:p w:rsidR="00DB339E" w:rsidRPr="003D5949" w:rsidRDefault="00DB339E" w:rsidP="00DB339E">
      <w:pPr>
        <w:tabs>
          <w:tab w:val="left" w:pos="720"/>
          <w:tab w:val="left" w:pos="1440"/>
        </w:tabs>
        <w:snapToGrid w:val="0"/>
        <w:spacing w:line="360" w:lineRule="atLeast"/>
        <w:ind w:left="560" w:hangingChars="200" w:hanging="560"/>
        <w:jc w:val="both"/>
        <w:rPr>
          <w:b/>
          <w:szCs w:val="28"/>
        </w:rPr>
      </w:pPr>
      <w:r w:rsidRPr="003D5949">
        <w:rPr>
          <w:szCs w:val="28"/>
        </w:rPr>
        <w:t>(b)</w:t>
      </w:r>
      <w:r>
        <w:rPr>
          <w:b/>
          <w:szCs w:val="28"/>
        </w:rPr>
        <w:tab/>
      </w:r>
      <w:r w:rsidRPr="00845B94">
        <w:rPr>
          <w:rFonts w:hint="eastAsia"/>
          <w:b/>
          <w:szCs w:val="28"/>
        </w:rPr>
        <w:t>加強言語治療津貼</w:t>
      </w:r>
      <w:r>
        <w:rPr>
          <w:b/>
          <w:szCs w:val="28"/>
        </w:rPr>
        <w:br/>
      </w:r>
      <w:r>
        <w:rPr>
          <w:b/>
          <w:szCs w:val="28"/>
        </w:rPr>
        <w:br/>
      </w:r>
      <w:r w:rsidRPr="00845B94">
        <w:rPr>
          <w:rFonts w:hint="eastAsia"/>
          <w:szCs w:val="28"/>
        </w:rPr>
        <w:t>教育局向合資格的公營普通小學提供現金津貼，以聘請校本言語治療師或外購校本言語治療服務，支援校內有言語障礙的學生。學校可按每年核准開辦班數獲得「基本津貼」及按被評定為有中度或嚴重程度語障學生的數目獲得「額外津貼」。津貼額按每年綜合消費物價指數的變動調整。</w:t>
      </w:r>
      <w:r w:rsidRPr="003D5949" w:rsidDel="00192034">
        <w:rPr>
          <w:szCs w:val="28"/>
        </w:rPr>
        <w:t xml:space="preserve"> </w:t>
      </w:r>
    </w:p>
    <w:p w:rsidR="00DB339E" w:rsidRPr="003D5949" w:rsidRDefault="00DB339E" w:rsidP="00DB339E">
      <w:pPr>
        <w:tabs>
          <w:tab w:val="left" w:pos="720"/>
          <w:tab w:val="left" w:pos="1440"/>
        </w:tabs>
        <w:snapToGrid w:val="0"/>
        <w:spacing w:line="360" w:lineRule="atLeast"/>
        <w:jc w:val="both"/>
        <w:rPr>
          <w:szCs w:val="28"/>
        </w:rPr>
      </w:pPr>
    </w:p>
    <w:p w:rsidR="00DB339E" w:rsidRPr="003D5949" w:rsidRDefault="00DB339E" w:rsidP="00DB339E">
      <w:pPr>
        <w:tabs>
          <w:tab w:val="left" w:pos="720"/>
          <w:tab w:val="left" w:pos="1440"/>
        </w:tabs>
        <w:snapToGrid w:val="0"/>
        <w:spacing w:line="360" w:lineRule="atLeast"/>
        <w:ind w:left="560" w:hangingChars="200" w:hanging="560"/>
        <w:jc w:val="both"/>
        <w:rPr>
          <w:b/>
          <w:szCs w:val="28"/>
        </w:rPr>
      </w:pPr>
      <w:r w:rsidRPr="003D5949">
        <w:rPr>
          <w:szCs w:val="28"/>
        </w:rPr>
        <w:t>(c)</w:t>
      </w:r>
      <w:r>
        <w:rPr>
          <w:b/>
          <w:szCs w:val="28"/>
        </w:rPr>
        <w:tab/>
      </w:r>
      <w:r w:rsidRPr="00845B94">
        <w:rPr>
          <w:rFonts w:hint="eastAsia"/>
          <w:b/>
          <w:szCs w:val="28"/>
        </w:rPr>
        <w:t>「小學加強輔導教學計劃」</w:t>
      </w:r>
      <w:r w:rsidRPr="0007705B">
        <w:rPr>
          <w:rFonts w:hint="eastAsia"/>
          <w:szCs w:val="28"/>
        </w:rPr>
        <w:t>／</w:t>
      </w:r>
      <w:r w:rsidRPr="00845B94">
        <w:rPr>
          <w:rFonts w:hint="eastAsia"/>
          <w:b/>
          <w:szCs w:val="28"/>
        </w:rPr>
        <w:t>「融合教育計劃」</w:t>
      </w:r>
      <w:r>
        <w:rPr>
          <w:b/>
          <w:szCs w:val="28"/>
        </w:rPr>
        <w:br/>
      </w:r>
      <w:r>
        <w:rPr>
          <w:b/>
          <w:szCs w:val="28"/>
        </w:rPr>
        <w:br/>
      </w:r>
      <w:r w:rsidRPr="00845B94">
        <w:rPr>
          <w:rFonts w:hint="eastAsia"/>
          <w:szCs w:val="28"/>
        </w:rPr>
        <w:t>參與計劃的學校可獲額外教師</w:t>
      </w:r>
      <w:r w:rsidRPr="0007705B">
        <w:rPr>
          <w:rFonts w:hint="eastAsia"/>
          <w:szCs w:val="28"/>
        </w:rPr>
        <w:t>／</w:t>
      </w:r>
      <w:r w:rsidRPr="00845B94">
        <w:rPr>
          <w:rFonts w:hint="eastAsia"/>
          <w:szCs w:val="28"/>
        </w:rPr>
        <w:t>教學助理，透過「全校參與」模式支援有特殊教育需要</w:t>
      </w:r>
      <w:r w:rsidRPr="0007705B">
        <w:rPr>
          <w:rFonts w:hint="eastAsia"/>
          <w:szCs w:val="28"/>
        </w:rPr>
        <w:t>／</w:t>
      </w:r>
      <w:r w:rsidRPr="00845B94">
        <w:rPr>
          <w:rFonts w:hint="eastAsia"/>
          <w:szCs w:val="28"/>
        </w:rPr>
        <w:t>成績稍遜的學生。我們鼓勵在參與上述計劃的學校過渡至「學習支援津貼」這種資助模式，透過靈活運用及統整資源，提供多元化的支援服務。由</w:t>
      </w:r>
      <w:r w:rsidRPr="00845B94">
        <w:rPr>
          <w:szCs w:val="28"/>
        </w:rPr>
        <w:t>2019/20</w:t>
      </w:r>
      <w:r w:rsidRPr="00845B94">
        <w:rPr>
          <w:rFonts w:hint="eastAsia"/>
          <w:szCs w:val="28"/>
        </w:rPr>
        <w:t>學年起，教育局將重整學習支援津貼和這兩項計劃的資源，這兩項計劃亦將於該學年取消。</w:t>
      </w:r>
    </w:p>
    <w:p w:rsidR="00DB339E" w:rsidRPr="003D5949" w:rsidRDefault="00DB339E" w:rsidP="00DB339E">
      <w:pPr>
        <w:tabs>
          <w:tab w:val="left" w:pos="720"/>
          <w:tab w:val="left" w:pos="1440"/>
        </w:tabs>
        <w:snapToGrid w:val="0"/>
        <w:spacing w:line="360" w:lineRule="atLeast"/>
        <w:jc w:val="both"/>
        <w:rPr>
          <w:b/>
          <w:szCs w:val="28"/>
        </w:rPr>
      </w:pPr>
    </w:p>
    <w:p w:rsidR="00DB339E" w:rsidRPr="003D5949" w:rsidRDefault="00DB339E" w:rsidP="00DB339E">
      <w:pPr>
        <w:tabs>
          <w:tab w:val="left" w:pos="720"/>
          <w:tab w:val="left" w:pos="1440"/>
        </w:tabs>
        <w:snapToGrid w:val="0"/>
        <w:spacing w:line="360" w:lineRule="atLeast"/>
        <w:ind w:left="560" w:hangingChars="200" w:hanging="560"/>
        <w:jc w:val="both"/>
        <w:rPr>
          <w:szCs w:val="28"/>
        </w:rPr>
      </w:pPr>
      <w:r w:rsidRPr="003D5949">
        <w:rPr>
          <w:szCs w:val="28"/>
        </w:rPr>
        <w:t>(d)</w:t>
      </w:r>
      <w:r w:rsidRPr="003D5949">
        <w:rPr>
          <w:szCs w:val="28"/>
        </w:rPr>
        <w:tab/>
      </w:r>
      <w:r w:rsidRPr="00845B94">
        <w:rPr>
          <w:rFonts w:hint="eastAsia"/>
          <w:b/>
          <w:szCs w:val="28"/>
        </w:rPr>
        <w:t>為照顧成績稍遜的中學生而設的額外教師</w:t>
      </w:r>
      <w:r>
        <w:rPr>
          <w:b/>
          <w:szCs w:val="28"/>
        </w:rPr>
        <w:br/>
      </w:r>
      <w:r>
        <w:rPr>
          <w:b/>
          <w:szCs w:val="28"/>
        </w:rPr>
        <w:br/>
      </w:r>
      <w:r w:rsidRPr="00845B94">
        <w:rPr>
          <w:rFonts w:hint="eastAsia"/>
          <w:szCs w:val="28"/>
        </w:rPr>
        <w:t>教育局根據公營普通中學取錄的中一至中三學生資料，向每班全港最弱的一成學生提供</w:t>
      </w:r>
      <w:r w:rsidRPr="00845B94">
        <w:rPr>
          <w:szCs w:val="28"/>
        </w:rPr>
        <w:t>0.7</w:t>
      </w:r>
      <w:r w:rsidRPr="00845B94">
        <w:rPr>
          <w:rFonts w:hint="eastAsia"/>
          <w:szCs w:val="28"/>
        </w:rPr>
        <w:t>名額外學位教師；至於其餘不屬於全</w:t>
      </w:r>
      <w:r w:rsidRPr="00845B94">
        <w:rPr>
          <w:rFonts w:hint="eastAsia"/>
          <w:szCs w:val="28"/>
        </w:rPr>
        <w:lastRenderedPageBreak/>
        <w:t>港最弱一成的第三派位組別學生，則按每班學生提供</w:t>
      </w:r>
      <w:r w:rsidRPr="00845B94">
        <w:rPr>
          <w:szCs w:val="28"/>
        </w:rPr>
        <w:t>0.3</w:t>
      </w:r>
      <w:r w:rsidRPr="00845B94">
        <w:rPr>
          <w:rFonts w:hint="eastAsia"/>
          <w:szCs w:val="28"/>
        </w:rPr>
        <w:t>名額外學位教師。在</w:t>
      </w:r>
      <w:r w:rsidRPr="00845B94">
        <w:rPr>
          <w:szCs w:val="28"/>
        </w:rPr>
        <w:t>2018/19</w:t>
      </w:r>
      <w:r w:rsidRPr="00845B94">
        <w:rPr>
          <w:rFonts w:hint="eastAsia"/>
          <w:szCs w:val="28"/>
        </w:rPr>
        <w:t>學年，每所合資格的公營普通中學最多可獲約</w:t>
      </w:r>
      <w:r w:rsidRPr="00845B94">
        <w:rPr>
          <w:szCs w:val="28"/>
        </w:rPr>
        <w:t>6</w:t>
      </w:r>
      <w:r w:rsidRPr="00845B94">
        <w:rPr>
          <w:rFonts w:hint="eastAsia"/>
          <w:szCs w:val="28"/>
        </w:rPr>
        <w:t>名額外學位教師。</w:t>
      </w:r>
      <w:r w:rsidRPr="003D5949">
        <w:rPr>
          <w:rFonts w:hint="eastAsia"/>
          <w:szCs w:val="28"/>
        </w:rPr>
        <w:t xml:space="preserve"> </w:t>
      </w:r>
    </w:p>
    <w:p w:rsidR="00DB339E" w:rsidRPr="003D5949" w:rsidRDefault="00DB339E" w:rsidP="00DB339E">
      <w:pPr>
        <w:tabs>
          <w:tab w:val="left" w:pos="720"/>
          <w:tab w:val="left" w:pos="1440"/>
        </w:tabs>
        <w:snapToGrid w:val="0"/>
        <w:spacing w:line="360" w:lineRule="atLeast"/>
        <w:jc w:val="both"/>
        <w:rPr>
          <w:b/>
          <w:szCs w:val="28"/>
        </w:rPr>
      </w:pPr>
    </w:p>
    <w:p w:rsidR="00DB339E" w:rsidRPr="003D5949" w:rsidRDefault="00DB339E" w:rsidP="00DB339E">
      <w:pPr>
        <w:tabs>
          <w:tab w:val="left" w:pos="720"/>
          <w:tab w:val="left" w:pos="1440"/>
        </w:tabs>
        <w:snapToGrid w:val="0"/>
        <w:spacing w:line="360" w:lineRule="atLeast"/>
        <w:ind w:left="560" w:hangingChars="200" w:hanging="560"/>
        <w:jc w:val="both"/>
        <w:rPr>
          <w:b/>
          <w:szCs w:val="28"/>
        </w:rPr>
      </w:pPr>
      <w:r>
        <w:rPr>
          <w:szCs w:val="28"/>
        </w:rPr>
        <w:t>(e)</w:t>
      </w:r>
      <w:r>
        <w:rPr>
          <w:szCs w:val="28"/>
        </w:rPr>
        <w:tab/>
      </w:r>
      <w:r w:rsidRPr="00845B94">
        <w:rPr>
          <w:rFonts w:hint="eastAsia"/>
          <w:b/>
          <w:szCs w:val="28"/>
        </w:rPr>
        <w:t>為照顧個別嚴重有特殊教育需要的學生而提供的加強支援津貼</w:t>
      </w:r>
      <w:r>
        <w:rPr>
          <w:b/>
          <w:szCs w:val="28"/>
        </w:rPr>
        <w:br/>
      </w:r>
      <w:r>
        <w:rPr>
          <w:b/>
          <w:szCs w:val="28"/>
        </w:rPr>
        <w:br/>
      </w:r>
      <w:r w:rsidRPr="00845B94">
        <w:rPr>
          <w:rFonts w:hint="eastAsia"/>
          <w:szCs w:val="28"/>
        </w:rPr>
        <w:t>倘若學校需要支援較困難的個案，教育局會按需要考慮提供一筆額外津貼，以便學校聘請臨時教學助理，支援個別急需接受加強／個別支援的學生。</w:t>
      </w:r>
    </w:p>
    <w:p w:rsidR="00DB339E" w:rsidRPr="003D5949" w:rsidRDefault="00DB339E" w:rsidP="00DB339E">
      <w:pPr>
        <w:tabs>
          <w:tab w:val="left" w:pos="720"/>
          <w:tab w:val="left" w:pos="1440"/>
        </w:tabs>
        <w:snapToGrid w:val="0"/>
        <w:spacing w:line="360" w:lineRule="atLeast"/>
        <w:jc w:val="both"/>
        <w:rPr>
          <w:b/>
          <w:szCs w:val="28"/>
        </w:rPr>
      </w:pPr>
    </w:p>
    <w:p w:rsidR="00DB339E" w:rsidRPr="003D5949" w:rsidRDefault="00DB339E" w:rsidP="00DB339E">
      <w:pPr>
        <w:tabs>
          <w:tab w:val="left" w:pos="720"/>
          <w:tab w:val="left" w:pos="1440"/>
        </w:tabs>
        <w:snapToGrid w:val="0"/>
        <w:spacing w:line="360" w:lineRule="atLeast"/>
        <w:ind w:left="560" w:hangingChars="200" w:hanging="560"/>
        <w:jc w:val="both"/>
        <w:rPr>
          <w:szCs w:val="28"/>
        </w:rPr>
      </w:pPr>
      <w:r>
        <w:rPr>
          <w:szCs w:val="28"/>
        </w:rPr>
        <w:t>(f)</w:t>
      </w:r>
      <w:r>
        <w:rPr>
          <w:szCs w:val="28"/>
        </w:rPr>
        <w:tab/>
      </w:r>
      <w:r w:rsidRPr="00845B94">
        <w:rPr>
          <w:rFonts w:hint="eastAsia"/>
          <w:b/>
          <w:szCs w:val="28"/>
        </w:rPr>
        <w:t>增補基金</w:t>
      </w:r>
      <w:r>
        <w:rPr>
          <w:b/>
          <w:szCs w:val="28"/>
        </w:rPr>
        <w:br/>
      </w:r>
      <w:r>
        <w:rPr>
          <w:b/>
          <w:szCs w:val="28"/>
        </w:rPr>
        <w:br/>
      </w:r>
      <w:r w:rsidRPr="00845B94">
        <w:rPr>
          <w:rFonts w:hint="eastAsia"/>
          <w:szCs w:val="28"/>
        </w:rPr>
        <w:t>學校可按需要向教育局申請額外的現金津貼，為殘疾學生購買特殊傢具、器材</w:t>
      </w:r>
      <w:r>
        <w:rPr>
          <w:rFonts w:hint="eastAsia"/>
          <w:szCs w:val="28"/>
          <w:lang w:eastAsia="zh-HK"/>
        </w:rPr>
        <w:t>（</w:t>
      </w:r>
      <w:r w:rsidRPr="00845B94">
        <w:rPr>
          <w:rFonts w:hint="eastAsia"/>
          <w:szCs w:val="28"/>
        </w:rPr>
        <w:t>如點字機、閉路電視放大器、無線調頻系統、具備語音轉換文字功能的電腦設備等</w:t>
      </w:r>
      <w:r>
        <w:rPr>
          <w:rFonts w:hint="eastAsia"/>
          <w:szCs w:val="28"/>
          <w:lang w:eastAsia="zh-HK"/>
        </w:rPr>
        <w:t>）</w:t>
      </w:r>
      <w:r w:rsidRPr="00845B94">
        <w:rPr>
          <w:rFonts w:hint="eastAsia"/>
          <w:szCs w:val="28"/>
        </w:rPr>
        <w:t>或進行校內小型改建工程</w:t>
      </w:r>
      <w:r>
        <w:rPr>
          <w:rFonts w:hint="eastAsia"/>
          <w:szCs w:val="28"/>
          <w:lang w:eastAsia="zh-HK"/>
        </w:rPr>
        <w:t>（</w:t>
      </w:r>
      <w:r w:rsidRPr="00845B94">
        <w:rPr>
          <w:rFonts w:hint="eastAsia"/>
          <w:szCs w:val="28"/>
        </w:rPr>
        <w:t>如為學生建造斜道、改建洗手間等</w:t>
      </w:r>
      <w:r>
        <w:rPr>
          <w:rFonts w:hint="eastAsia"/>
          <w:szCs w:val="28"/>
          <w:lang w:eastAsia="zh-HK"/>
        </w:rPr>
        <w:t>）</w:t>
      </w:r>
      <w:r w:rsidRPr="00845B94">
        <w:rPr>
          <w:rFonts w:hint="eastAsia"/>
          <w:szCs w:val="28"/>
        </w:rPr>
        <w:t>，以照顧他們的學習需要。</w:t>
      </w:r>
    </w:p>
    <w:p w:rsidR="00DB339E" w:rsidRPr="003D5949" w:rsidRDefault="00DB339E" w:rsidP="00DB339E">
      <w:pPr>
        <w:tabs>
          <w:tab w:val="left" w:pos="720"/>
          <w:tab w:val="left" w:pos="1440"/>
        </w:tabs>
        <w:snapToGrid w:val="0"/>
        <w:spacing w:line="360" w:lineRule="atLeast"/>
        <w:jc w:val="both"/>
        <w:rPr>
          <w:szCs w:val="28"/>
        </w:rPr>
      </w:pPr>
    </w:p>
    <w:p w:rsidR="00DB339E" w:rsidRPr="003D5949" w:rsidRDefault="00DB339E" w:rsidP="00DB339E">
      <w:pPr>
        <w:keepLines/>
        <w:tabs>
          <w:tab w:val="left" w:pos="720"/>
          <w:tab w:val="left" w:pos="1440"/>
        </w:tabs>
        <w:snapToGrid w:val="0"/>
        <w:spacing w:line="360" w:lineRule="atLeast"/>
        <w:ind w:left="560" w:hangingChars="200" w:hanging="560"/>
        <w:jc w:val="both"/>
        <w:rPr>
          <w:szCs w:val="28"/>
        </w:rPr>
      </w:pPr>
      <w:r w:rsidRPr="0049028D">
        <w:rPr>
          <w:szCs w:val="28"/>
        </w:rPr>
        <w:t>(g)</w:t>
      </w:r>
      <w:r w:rsidRPr="0049028D">
        <w:rPr>
          <w:szCs w:val="28"/>
        </w:rPr>
        <w:tab/>
      </w:r>
      <w:r w:rsidRPr="00845B94">
        <w:rPr>
          <w:rFonts w:hint="eastAsia"/>
          <w:b/>
          <w:szCs w:val="28"/>
        </w:rPr>
        <w:t>助聽器</w:t>
      </w:r>
      <w:r>
        <w:rPr>
          <w:b/>
          <w:szCs w:val="28"/>
        </w:rPr>
        <w:br/>
      </w:r>
      <w:r>
        <w:rPr>
          <w:b/>
          <w:szCs w:val="28"/>
        </w:rPr>
        <w:br/>
      </w:r>
      <w:r w:rsidRPr="00845B94">
        <w:rPr>
          <w:rFonts w:hint="eastAsia"/>
          <w:szCs w:val="28"/>
        </w:rPr>
        <w:t>教育局一直為聽障學生免費提供助聽器。需要佩戴助聽器的學生會獲安排到受教育局委託的外判服務供應商接受助聽器驗配及跟進服務，內容包括聽力覆檢、助聽器驗配、檢修及保養和耳模服務等，家長無需繳付費用。由</w:t>
      </w:r>
      <w:r w:rsidRPr="00845B94">
        <w:rPr>
          <w:szCs w:val="28"/>
        </w:rPr>
        <w:t>2010/11</w:t>
      </w:r>
      <w:r w:rsidRPr="00845B94">
        <w:rPr>
          <w:rFonts w:hint="eastAsia"/>
          <w:szCs w:val="28"/>
        </w:rPr>
        <w:t>學年起，教育局為有需要的雙耳聽障學生提供兩部助聽器作雙耳聆聽，及將助聽器的更換年期縮短至三年；亦在</w:t>
      </w:r>
      <w:r w:rsidRPr="00845B94">
        <w:rPr>
          <w:szCs w:val="28"/>
        </w:rPr>
        <w:t>2014/15</w:t>
      </w:r>
      <w:r w:rsidRPr="00845B94">
        <w:rPr>
          <w:rFonts w:hint="eastAsia"/>
          <w:szCs w:val="28"/>
        </w:rPr>
        <w:t>學年，進一步提升助聽器的規格。</w:t>
      </w:r>
      <w:r w:rsidRPr="003D5949" w:rsidDel="00192034">
        <w:rPr>
          <w:szCs w:val="28"/>
        </w:rPr>
        <w:t xml:space="preserve"> </w:t>
      </w:r>
    </w:p>
    <w:p w:rsidR="00DB339E" w:rsidRPr="003D5949" w:rsidRDefault="00DB339E" w:rsidP="00DB339E">
      <w:pPr>
        <w:tabs>
          <w:tab w:val="left" w:pos="720"/>
          <w:tab w:val="left" w:pos="1440"/>
        </w:tabs>
        <w:snapToGrid w:val="0"/>
        <w:spacing w:line="360" w:lineRule="atLeast"/>
        <w:jc w:val="both"/>
        <w:rPr>
          <w:b/>
          <w:szCs w:val="28"/>
          <w:u w:val="single"/>
        </w:rPr>
      </w:pPr>
    </w:p>
    <w:p w:rsidR="00DB339E" w:rsidRPr="003D5949" w:rsidRDefault="00DB339E" w:rsidP="00DB339E">
      <w:pPr>
        <w:tabs>
          <w:tab w:val="left" w:pos="720"/>
          <w:tab w:val="left" w:pos="1440"/>
        </w:tabs>
        <w:snapToGrid w:val="0"/>
        <w:spacing w:line="360" w:lineRule="atLeast"/>
        <w:jc w:val="both"/>
        <w:rPr>
          <w:szCs w:val="28"/>
          <w:u w:val="single"/>
        </w:rPr>
      </w:pPr>
      <w:r w:rsidRPr="00845B94">
        <w:rPr>
          <w:rFonts w:hint="eastAsia"/>
          <w:szCs w:val="28"/>
          <w:u w:val="single"/>
        </w:rPr>
        <w:t>專業支援</w:t>
      </w:r>
    </w:p>
    <w:p w:rsidR="00DB339E" w:rsidRPr="003D5949" w:rsidRDefault="00DB339E" w:rsidP="00DB339E">
      <w:pPr>
        <w:tabs>
          <w:tab w:val="left" w:pos="720"/>
          <w:tab w:val="left" w:pos="1440"/>
        </w:tabs>
        <w:snapToGrid w:val="0"/>
        <w:spacing w:line="360" w:lineRule="atLeast"/>
        <w:jc w:val="both"/>
        <w:rPr>
          <w:b/>
          <w:szCs w:val="28"/>
          <w:u w:val="single"/>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szCs w:val="28"/>
        </w:rPr>
      </w:pPr>
      <w:r w:rsidRPr="003B302B">
        <w:rPr>
          <w:rFonts w:cs="Times New Roman"/>
          <w:szCs w:val="28"/>
        </w:rPr>
        <w:t>(a)</w:t>
      </w:r>
      <w:r w:rsidRPr="003B302B">
        <w:rPr>
          <w:rFonts w:cs="Times New Roman"/>
          <w:szCs w:val="28"/>
        </w:rPr>
        <w:tab/>
      </w:r>
      <w:r w:rsidRPr="003B302B">
        <w:rPr>
          <w:rFonts w:cs="Times New Roman"/>
          <w:b/>
          <w:szCs w:val="28"/>
        </w:rPr>
        <w:t>校本教育心理服務</w:t>
      </w:r>
      <w:r w:rsidRPr="003B302B">
        <w:rPr>
          <w:rFonts w:cs="Times New Roman"/>
          <w:b/>
          <w:szCs w:val="28"/>
        </w:rPr>
        <w:br/>
      </w:r>
      <w:r w:rsidRPr="003B302B">
        <w:rPr>
          <w:rFonts w:cs="Times New Roman"/>
          <w:b/>
          <w:szCs w:val="28"/>
        </w:rPr>
        <w:br/>
      </w:r>
      <w:r w:rsidRPr="003B302B">
        <w:rPr>
          <w:rFonts w:cs="Times New Roman"/>
          <w:szCs w:val="28"/>
        </w:rPr>
        <w:t>此項服務於</w:t>
      </w:r>
      <w:r w:rsidRPr="003B302B">
        <w:rPr>
          <w:rFonts w:cs="Times New Roman"/>
          <w:szCs w:val="28"/>
        </w:rPr>
        <w:t>2016/17</w:t>
      </w:r>
      <w:r w:rsidRPr="003B302B">
        <w:rPr>
          <w:rFonts w:cs="Times New Roman"/>
          <w:szCs w:val="28"/>
        </w:rPr>
        <w:t>學年覆蓋全港所有公營普通中、小學，教育心理學家與學校的比例正逐步提升。透過定期訪校，教育心理學家在學校系統、教師及學生層面支援學校照顧學生的不同教育需要。有關服務涵蓋補救性、預防性及發展性的工作，包括為有學習或適應困難的學生提供教育心理評估。目前轉介給教育心理學</w:t>
      </w:r>
      <w:r w:rsidRPr="003B302B">
        <w:rPr>
          <w:rFonts w:cs="Times New Roman"/>
          <w:spacing w:val="2"/>
          <w:szCs w:val="28"/>
        </w:rPr>
        <w:t>家評估的個案，平均</w:t>
      </w:r>
      <w:r w:rsidRPr="003B302B">
        <w:rPr>
          <w:rFonts w:cs="Times New Roman"/>
          <w:spacing w:val="2"/>
          <w:szCs w:val="28"/>
        </w:rPr>
        <w:t>80%</w:t>
      </w:r>
      <w:r w:rsidRPr="003B302B">
        <w:rPr>
          <w:rFonts w:cs="Times New Roman"/>
          <w:spacing w:val="2"/>
          <w:szCs w:val="28"/>
        </w:rPr>
        <w:t>在兩個月內獲得評估，而有約</w:t>
      </w:r>
      <w:r w:rsidRPr="003B302B">
        <w:rPr>
          <w:rFonts w:cs="Times New Roman"/>
          <w:spacing w:val="2"/>
          <w:szCs w:val="28"/>
        </w:rPr>
        <w:t>10%</w:t>
      </w:r>
      <w:r w:rsidRPr="003B302B">
        <w:rPr>
          <w:rFonts w:cs="Times New Roman"/>
          <w:spacing w:val="2"/>
          <w:szCs w:val="28"/>
        </w:rPr>
        <w:t>的個</w:t>
      </w:r>
      <w:r w:rsidRPr="003B302B">
        <w:rPr>
          <w:rFonts w:cs="Times New Roman"/>
          <w:szCs w:val="28"/>
        </w:rPr>
        <w:t>案在兩至三個月內獲得評估，其餘有些個案因特殊情況而需要</w:t>
      </w:r>
      <w:r w:rsidRPr="003B302B">
        <w:rPr>
          <w:rFonts w:cs="Times New Roman"/>
          <w:spacing w:val="2"/>
          <w:szCs w:val="28"/>
        </w:rPr>
        <w:lastRenderedPageBreak/>
        <w:t>較長時間才獲得評估，例如有些個案是應家長要求延遲進行評估，</w:t>
      </w:r>
      <w:r w:rsidRPr="003B302B">
        <w:rPr>
          <w:rFonts w:cs="Times New Roman"/>
          <w:szCs w:val="28"/>
        </w:rPr>
        <w:t>亦有個案因為學生需要接受醫療診治而暫延接受評估。</w:t>
      </w:r>
    </w:p>
    <w:p w:rsidR="00DB339E" w:rsidRPr="003B302B" w:rsidRDefault="00DB339E" w:rsidP="00DB339E">
      <w:pPr>
        <w:tabs>
          <w:tab w:val="left" w:pos="720"/>
          <w:tab w:val="left" w:pos="1440"/>
        </w:tabs>
        <w:snapToGrid w:val="0"/>
        <w:spacing w:line="360" w:lineRule="atLeast"/>
        <w:jc w:val="both"/>
        <w:rPr>
          <w:rFonts w:cs="Times New Roman"/>
          <w:b/>
          <w:szCs w:val="28"/>
        </w:rPr>
      </w:pPr>
    </w:p>
    <w:p w:rsidR="00DB339E" w:rsidRPr="003B302B" w:rsidRDefault="00DB339E" w:rsidP="00DB339E">
      <w:pPr>
        <w:keepNext/>
        <w:keepLines/>
        <w:tabs>
          <w:tab w:val="left" w:pos="720"/>
          <w:tab w:val="left" w:pos="1440"/>
        </w:tabs>
        <w:snapToGrid w:val="0"/>
        <w:spacing w:line="360" w:lineRule="atLeast"/>
        <w:ind w:left="560" w:hangingChars="200" w:hanging="560"/>
        <w:jc w:val="both"/>
        <w:rPr>
          <w:rFonts w:cs="Times New Roman"/>
          <w:szCs w:val="28"/>
        </w:rPr>
      </w:pPr>
      <w:r w:rsidRPr="003B302B">
        <w:rPr>
          <w:rFonts w:cs="Times New Roman"/>
          <w:szCs w:val="28"/>
        </w:rPr>
        <w:t>(b)</w:t>
      </w:r>
      <w:r w:rsidRPr="003B302B">
        <w:rPr>
          <w:rFonts w:cs="Times New Roman"/>
          <w:szCs w:val="28"/>
        </w:rPr>
        <w:tab/>
      </w:r>
      <w:r w:rsidRPr="003B302B">
        <w:rPr>
          <w:rFonts w:cs="Times New Roman"/>
          <w:b/>
          <w:szCs w:val="28"/>
        </w:rPr>
        <w:t>支援特殊學習困難學生</w:t>
      </w:r>
      <w:r w:rsidRPr="003B302B">
        <w:rPr>
          <w:rFonts w:cs="Times New Roman"/>
          <w:b/>
          <w:szCs w:val="28"/>
        </w:rPr>
        <w:br/>
      </w:r>
      <w:r w:rsidRPr="003B302B">
        <w:rPr>
          <w:rFonts w:cs="Times New Roman"/>
          <w:b/>
          <w:szCs w:val="28"/>
        </w:rPr>
        <w:br/>
      </w:r>
      <w:r w:rsidRPr="003B302B">
        <w:rPr>
          <w:rFonts w:cs="Times New Roman"/>
          <w:szCs w:val="28"/>
        </w:rPr>
        <w:t>教育局自</w:t>
      </w:r>
      <w:r w:rsidRPr="003B302B">
        <w:rPr>
          <w:rFonts w:cs="Times New Roman"/>
          <w:szCs w:val="28"/>
        </w:rPr>
        <w:t>2011/12</w:t>
      </w:r>
      <w:r w:rsidRPr="003B302B">
        <w:rPr>
          <w:rFonts w:cs="Times New Roman"/>
          <w:szCs w:val="28"/>
        </w:rPr>
        <w:t>學年開展「小學中文分層支援教學模式」計劃，支援小學採用驗證為有效用的教材和評估工具，優化校本初小中文課程，協助不同能力的初小學生（包括有讀寫困難的學生），提升學習中文的能力。至今已有超過</w:t>
      </w:r>
      <w:r w:rsidRPr="003B302B">
        <w:rPr>
          <w:rFonts w:cs="Times New Roman"/>
          <w:szCs w:val="28"/>
        </w:rPr>
        <w:t>200</w:t>
      </w:r>
      <w:r w:rsidRPr="003B302B">
        <w:rPr>
          <w:rFonts w:cs="Times New Roman"/>
          <w:szCs w:val="28"/>
        </w:rPr>
        <w:t>所小學受惠於這項計劃的專業支援，使更多有讀寫困難的學生獲得及早而適切的輔導。此外，教育局亦邀請學校參與延伸計劃，共同開發適用於高小及中學有讀寫困難學生的小組教學資源。</w:t>
      </w:r>
      <w:r w:rsidRPr="003B302B">
        <w:rPr>
          <w:rFonts w:cs="Times New Roman"/>
          <w:szCs w:val="28"/>
        </w:rPr>
        <w:t xml:space="preserve"> </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keepNext/>
        <w:keepLines/>
        <w:tabs>
          <w:tab w:val="left" w:pos="720"/>
          <w:tab w:val="left" w:pos="1440"/>
        </w:tabs>
        <w:snapToGrid w:val="0"/>
        <w:spacing w:line="360" w:lineRule="atLeast"/>
        <w:ind w:left="560" w:hangingChars="200" w:hanging="560"/>
        <w:jc w:val="both"/>
        <w:rPr>
          <w:rFonts w:cs="Times New Roman"/>
          <w:szCs w:val="28"/>
        </w:rPr>
      </w:pPr>
      <w:r w:rsidRPr="003B302B">
        <w:rPr>
          <w:rFonts w:cs="Times New Roman"/>
          <w:szCs w:val="28"/>
        </w:rPr>
        <w:t>(c)</w:t>
      </w:r>
      <w:r w:rsidRPr="003B302B">
        <w:rPr>
          <w:rFonts w:cs="Times New Roman"/>
          <w:szCs w:val="28"/>
        </w:rPr>
        <w:tab/>
      </w:r>
      <w:r w:rsidRPr="003B302B">
        <w:rPr>
          <w:rFonts w:cs="Times New Roman"/>
          <w:b/>
          <w:szCs w:val="28"/>
        </w:rPr>
        <w:t>支援自閉症學生</w:t>
      </w:r>
      <w:r w:rsidRPr="003B302B">
        <w:rPr>
          <w:rFonts w:cs="Times New Roman"/>
          <w:b/>
          <w:szCs w:val="28"/>
        </w:rPr>
        <w:br/>
      </w:r>
      <w:r w:rsidRPr="003B302B">
        <w:rPr>
          <w:rFonts w:cs="Times New Roman"/>
          <w:b/>
          <w:szCs w:val="28"/>
        </w:rPr>
        <w:br/>
      </w:r>
      <w:r w:rsidRPr="003B302B">
        <w:rPr>
          <w:rFonts w:cs="Times New Roman"/>
          <w:szCs w:val="28"/>
        </w:rPr>
        <w:t>教育局於</w:t>
      </w:r>
      <w:r w:rsidRPr="003B302B">
        <w:rPr>
          <w:rFonts w:cs="Times New Roman"/>
          <w:szCs w:val="28"/>
        </w:rPr>
        <w:t>2011/12</w:t>
      </w:r>
      <w:r w:rsidRPr="003B302B">
        <w:rPr>
          <w:rFonts w:cs="Times New Roman"/>
          <w:szCs w:val="28"/>
        </w:rPr>
        <w:t>學年開始，分階段在主流中、小學進行一項加強支援自閉症學生的試驗計劃，內容包括為患有自閉症的中、小學生提供有系統的額外小組訓練，以及發展及試行全面的學校支援模式，運用有實證支持的策略，輔導學生發展學習、社交和情緒方面的適應能力，促進他們有效融入課堂學習及社群。</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4D4FE3">
        <w:rPr>
          <w:rFonts w:cs="Times New Roman"/>
          <w:szCs w:val="28"/>
        </w:rPr>
        <w:t>(d)</w:t>
      </w:r>
      <w:r w:rsidRPr="003B302B">
        <w:rPr>
          <w:rFonts w:cs="Times New Roman"/>
          <w:szCs w:val="28"/>
        </w:rPr>
        <w:tab/>
      </w:r>
      <w:r w:rsidRPr="003B302B">
        <w:rPr>
          <w:rFonts w:cs="Times New Roman"/>
          <w:b/>
          <w:szCs w:val="28"/>
        </w:rPr>
        <w:t>支援注意力不足</w:t>
      </w:r>
      <w:r w:rsidRPr="003B302B">
        <w:rPr>
          <w:rFonts w:cs="Times New Roman"/>
          <w:szCs w:val="28"/>
        </w:rPr>
        <w:t>／</w:t>
      </w:r>
      <w:r w:rsidRPr="003B302B">
        <w:rPr>
          <w:rFonts w:cs="Times New Roman"/>
          <w:b/>
          <w:szCs w:val="28"/>
        </w:rPr>
        <w:t>過度活躍症學生</w:t>
      </w:r>
      <w:r w:rsidRPr="003B302B">
        <w:rPr>
          <w:rFonts w:cs="Times New Roman"/>
          <w:b/>
          <w:szCs w:val="28"/>
        </w:rPr>
        <w:br/>
      </w:r>
      <w:r w:rsidRPr="003B302B">
        <w:rPr>
          <w:rFonts w:cs="Times New Roman"/>
          <w:b/>
          <w:szCs w:val="28"/>
        </w:rPr>
        <w:br/>
      </w:r>
      <w:r w:rsidRPr="003B302B">
        <w:rPr>
          <w:rFonts w:cs="Times New Roman"/>
          <w:szCs w:val="28"/>
        </w:rPr>
        <w:t>教育局於</w:t>
      </w:r>
      <w:r w:rsidRPr="003B302B">
        <w:rPr>
          <w:rFonts w:cs="Times New Roman"/>
          <w:szCs w:val="28"/>
        </w:rPr>
        <w:t>2009/10</w:t>
      </w:r>
      <w:r w:rsidRPr="003B302B">
        <w:rPr>
          <w:rFonts w:cs="Times New Roman"/>
          <w:szCs w:val="28"/>
        </w:rPr>
        <w:t>學年推出一套適用於小學的「執行技巧訓練」教材套，學校可透過校本小組訓練教導學生相關技巧，提升有注意力不足／過度活躍症的學生的執行技巧和自我控制能力。教育局在</w:t>
      </w:r>
      <w:r w:rsidRPr="003B302B">
        <w:rPr>
          <w:rFonts w:cs="Times New Roman"/>
          <w:szCs w:val="28"/>
        </w:rPr>
        <w:t>2013/14</w:t>
      </w:r>
      <w:r w:rsidRPr="003B302B">
        <w:rPr>
          <w:rFonts w:cs="Times New Roman"/>
          <w:szCs w:val="28"/>
        </w:rPr>
        <w:t>學年亦推出一套適用於中學的「執行技巧訓練：指導計劃」，以提升學生的執行技巧和自我管理能力。同年，教育局亦為中、小學學生家長編製「注意力不足／過度活躍症之家長教育系列」資源套，讓家長更適切地培育他們的子女。此外，教育局在</w:t>
      </w:r>
      <w:r w:rsidRPr="003B302B">
        <w:rPr>
          <w:rFonts w:cs="Times New Roman"/>
          <w:szCs w:val="28"/>
        </w:rPr>
        <w:t>2016</w:t>
      </w:r>
      <w:r w:rsidRPr="003B302B">
        <w:rPr>
          <w:rFonts w:cs="Times New Roman"/>
          <w:szCs w:val="28"/>
        </w:rPr>
        <w:t>年給所有小學分發「提升執行技巧：課堂支援模式」資源套，旨在透過優化學與教及課室管理策略，提升學生的學習和行為表現。</w:t>
      </w:r>
      <w:r w:rsidRPr="003B302B">
        <w:rPr>
          <w:rFonts w:cs="Times New Roman"/>
          <w:szCs w:val="28"/>
        </w:rPr>
        <w:t xml:space="preserve"> </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3B302B">
        <w:rPr>
          <w:rFonts w:cs="Times New Roman"/>
          <w:szCs w:val="28"/>
        </w:rPr>
        <w:t>(e)</w:t>
      </w:r>
      <w:r w:rsidRPr="003B302B">
        <w:rPr>
          <w:rFonts w:cs="Times New Roman"/>
          <w:szCs w:val="28"/>
        </w:rPr>
        <w:tab/>
      </w:r>
      <w:r w:rsidRPr="003B302B">
        <w:rPr>
          <w:rFonts w:cs="Times New Roman"/>
          <w:b/>
          <w:szCs w:val="28"/>
        </w:rPr>
        <w:t>支援視障學生</w:t>
      </w:r>
      <w:r w:rsidRPr="003B302B">
        <w:rPr>
          <w:rFonts w:cs="Times New Roman"/>
          <w:b/>
          <w:szCs w:val="28"/>
        </w:rPr>
        <w:br/>
      </w:r>
      <w:r w:rsidRPr="003B302B">
        <w:rPr>
          <w:rFonts w:cs="Times New Roman"/>
          <w:b/>
          <w:szCs w:val="28"/>
        </w:rPr>
        <w:br/>
      </w:r>
      <w:r w:rsidRPr="003B302B">
        <w:rPr>
          <w:rFonts w:cs="Times New Roman"/>
          <w:szCs w:val="28"/>
        </w:rPr>
        <w:t>教育局提供資源予唯一的視障兒童學校推行「為視障學童提供的支援計劃」。在這計劃下，視障兒童學校的資源教師定期到訪視</w:t>
      </w:r>
      <w:r w:rsidRPr="003B302B">
        <w:rPr>
          <w:rFonts w:cs="Times New Roman"/>
          <w:szCs w:val="28"/>
        </w:rPr>
        <w:lastRenderedPageBreak/>
        <w:t>障生就讀的學校，支援中度至嚴重視障或失明的學生，並會為有關學校的教師轉譯教材及提供支援策略、教學調適和特別測考安排等的專業意見。</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3B302B">
        <w:rPr>
          <w:rFonts w:cs="Times New Roman"/>
          <w:szCs w:val="28"/>
        </w:rPr>
        <w:t>(f)</w:t>
      </w:r>
      <w:r w:rsidRPr="003B302B">
        <w:rPr>
          <w:rFonts w:cs="Times New Roman"/>
          <w:szCs w:val="28"/>
        </w:rPr>
        <w:tab/>
      </w:r>
      <w:r w:rsidRPr="003B302B">
        <w:rPr>
          <w:rFonts w:cs="Times New Roman"/>
          <w:b/>
          <w:szCs w:val="28"/>
        </w:rPr>
        <w:t>支援言語障礙學生</w:t>
      </w:r>
      <w:r w:rsidRPr="003B302B">
        <w:rPr>
          <w:rFonts w:cs="Times New Roman"/>
          <w:b/>
          <w:szCs w:val="28"/>
        </w:rPr>
        <w:br/>
      </w:r>
      <w:r w:rsidRPr="003B302B">
        <w:rPr>
          <w:rFonts w:cs="Times New Roman"/>
          <w:b/>
          <w:szCs w:val="28"/>
        </w:rPr>
        <w:br/>
      </w:r>
      <w:r w:rsidRPr="003B302B">
        <w:rPr>
          <w:rFonts w:cs="Times New Roman"/>
          <w:szCs w:val="28"/>
        </w:rPr>
        <w:t>教育局定期舉行專業培訓，提升校本言語治療師、教師及其他學校專業人員有關言語治療的知識和技巧。我們亦推行課程為本的校本支援計劃，透過教師和校本言語治療師的協作，把不同的語言策略應用在日常教學，提升學生的言語能力。教育局亦會製作不同主題的教材和資源套，例如在</w:t>
      </w:r>
      <w:r w:rsidRPr="003B302B">
        <w:rPr>
          <w:rFonts w:cs="Times New Roman"/>
          <w:szCs w:val="28"/>
        </w:rPr>
        <w:t>2016</w:t>
      </w:r>
      <w:r w:rsidRPr="003B302B">
        <w:rPr>
          <w:rFonts w:cs="Times New Roman"/>
          <w:szCs w:val="28"/>
        </w:rPr>
        <w:t>年初把「課程為本語言支援計劃</w:t>
      </w:r>
      <w:r w:rsidRPr="003B302B">
        <w:rPr>
          <w:rFonts w:cs="Times New Roman"/>
          <w:szCs w:val="28"/>
          <w:lang w:eastAsia="zh-HK"/>
        </w:rPr>
        <w:t>（</w:t>
      </w:r>
      <w:r w:rsidRPr="003B302B">
        <w:rPr>
          <w:rFonts w:cs="Times New Roman"/>
          <w:szCs w:val="28"/>
        </w:rPr>
        <w:t>中學適用</w:t>
      </w:r>
      <w:r w:rsidRPr="003B302B">
        <w:rPr>
          <w:rFonts w:cs="Times New Roman"/>
          <w:szCs w:val="28"/>
          <w:lang w:eastAsia="zh-HK"/>
        </w:rPr>
        <w:t>）</w:t>
      </w:r>
      <w:r w:rsidRPr="003B302B">
        <w:rPr>
          <w:rFonts w:cs="Times New Roman"/>
          <w:szCs w:val="28"/>
        </w:rPr>
        <w:t>」教材輯製成網上資源與教師和校本言語治療師分享，以及在</w:t>
      </w:r>
      <w:r w:rsidRPr="003B302B">
        <w:rPr>
          <w:rFonts w:cs="Times New Roman"/>
          <w:szCs w:val="28"/>
        </w:rPr>
        <w:t>2014</w:t>
      </w:r>
      <w:r w:rsidRPr="003B302B">
        <w:rPr>
          <w:rFonts w:cs="Times New Roman"/>
          <w:szCs w:val="28"/>
        </w:rPr>
        <w:t>年研發「理解策略學得快</w:t>
      </w:r>
      <w:r w:rsidRPr="003B302B">
        <w:rPr>
          <w:rFonts w:cs="Times New Roman"/>
          <w:szCs w:val="28"/>
        </w:rPr>
        <w:t>  </w:t>
      </w:r>
      <w:r w:rsidRPr="003B302B">
        <w:rPr>
          <w:rFonts w:cs="Times New Roman"/>
          <w:szCs w:val="28"/>
        </w:rPr>
        <w:t>輕鬆閱讀無疆界」篇章理解策略資源套，提升有語言學習困難學生的相關能力。</w:t>
      </w:r>
      <w:r w:rsidRPr="003B302B">
        <w:rPr>
          <w:rFonts w:cs="Times New Roman"/>
          <w:szCs w:val="28"/>
        </w:rPr>
        <w:t xml:space="preserve"> </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3B302B">
        <w:rPr>
          <w:rFonts w:cs="Times New Roman"/>
          <w:szCs w:val="28"/>
        </w:rPr>
        <w:t>(g)</w:t>
      </w:r>
      <w:r w:rsidRPr="003B302B">
        <w:rPr>
          <w:rFonts w:cs="Times New Roman"/>
          <w:szCs w:val="28"/>
        </w:rPr>
        <w:tab/>
      </w:r>
      <w:r w:rsidRPr="003B302B">
        <w:rPr>
          <w:rFonts w:cs="Times New Roman"/>
          <w:b/>
          <w:szCs w:val="28"/>
        </w:rPr>
        <w:t>支援聽障學生</w:t>
      </w:r>
      <w:r w:rsidRPr="003B302B">
        <w:rPr>
          <w:rFonts w:cs="Times New Roman"/>
          <w:b/>
          <w:szCs w:val="28"/>
        </w:rPr>
        <w:br/>
      </w:r>
      <w:r w:rsidRPr="003B302B">
        <w:rPr>
          <w:rFonts w:cs="Times New Roman"/>
          <w:b/>
          <w:szCs w:val="28"/>
        </w:rPr>
        <w:br/>
      </w:r>
      <w:r w:rsidRPr="003B302B">
        <w:rPr>
          <w:rFonts w:cs="Times New Roman"/>
          <w:szCs w:val="28"/>
        </w:rPr>
        <w:t>教育局的專責人員會定期探訪學校，就融合教育和支援有聽障學生提供專業意見。另外，專責人員亦會協助學校推行校本支援計劃，如「聽障學生校園生活適應計劃」，以及研發了不同的資源</w:t>
      </w:r>
      <w:r w:rsidRPr="003B302B">
        <w:rPr>
          <w:rFonts w:cs="Times New Roman"/>
          <w:spacing w:val="-2"/>
          <w:szCs w:val="28"/>
        </w:rPr>
        <w:t>套、資料單張和指引，例如《支援聽障有對策</w:t>
      </w:r>
      <w:r w:rsidRPr="003B302B">
        <w:rPr>
          <w:rFonts w:cs="Times New Roman"/>
          <w:spacing w:val="-2"/>
          <w:szCs w:val="28"/>
        </w:rPr>
        <w:t xml:space="preserve"> </w:t>
      </w:r>
      <w:r w:rsidRPr="003B302B">
        <w:rPr>
          <w:rFonts w:cs="Times New Roman"/>
          <w:spacing w:val="-2"/>
          <w:szCs w:val="28"/>
        </w:rPr>
        <w:t>校園生活好輕鬆</w:t>
      </w:r>
      <w:r w:rsidRPr="003B302B">
        <w:rPr>
          <w:rFonts w:cs="Times New Roman"/>
          <w:szCs w:val="28"/>
        </w:rPr>
        <w:t xml:space="preserve"> – </w:t>
      </w:r>
      <w:r w:rsidRPr="003B302B">
        <w:rPr>
          <w:rFonts w:cs="Times New Roman"/>
          <w:spacing w:val="2"/>
          <w:szCs w:val="28"/>
        </w:rPr>
        <w:t>聽障學生校本支援資源套》、《認識形音義</w:t>
      </w:r>
      <w:r w:rsidRPr="003B302B">
        <w:rPr>
          <w:rFonts w:cs="Times New Roman"/>
          <w:spacing w:val="2"/>
          <w:szCs w:val="28"/>
        </w:rPr>
        <w:t xml:space="preserve"> </w:t>
      </w:r>
      <w:r w:rsidRPr="003B302B">
        <w:rPr>
          <w:rFonts w:cs="Times New Roman"/>
          <w:spacing w:val="2"/>
          <w:szCs w:val="28"/>
        </w:rPr>
        <w:t>輕鬆學字詞</w:t>
      </w:r>
      <w:r w:rsidRPr="003B302B">
        <w:rPr>
          <w:rFonts w:cs="Times New Roman"/>
          <w:spacing w:val="2"/>
          <w:szCs w:val="28"/>
        </w:rPr>
        <w:t xml:space="preserve"> – </w:t>
      </w:r>
      <w:r w:rsidRPr="003B302B">
        <w:rPr>
          <w:rFonts w:cs="Times New Roman"/>
          <w:spacing w:val="2"/>
          <w:szCs w:val="28"/>
        </w:rPr>
        <w:t>聽障學</w:t>
      </w:r>
      <w:r w:rsidRPr="003B302B">
        <w:rPr>
          <w:rFonts w:cs="Times New Roman"/>
          <w:szCs w:val="28"/>
        </w:rPr>
        <w:t>生字詞學習資源套》等，為教師和家長提供支援聽障學生或子女的知識、策略和技巧。</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3B302B">
        <w:rPr>
          <w:rFonts w:cs="Times New Roman"/>
          <w:szCs w:val="28"/>
        </w:rPr>
        <w:tab/>
      </w:r>
      <w:r w:rsidRPr="003B302B">
        <w:rPr>
          <w:rFonts w:cs="Times New Roman"/>
          <w:szCs w:val="28"/>
        </w:rPr>
        <w:t>普通學校的聽障學生如有持續的學習及溝通困難，教育局會轉介他們接受「聽障學生增強支援服務」。該服務由教育局委託聽障兒童學校提供，該校的資源教師會為聽障學生提供課後支援和到校輔導等，亦會與原校教師交流教導聽障學生教學策略，提升聽障學生的學習效能，幫助學生融入學校生活。</w:t>
      </w:r>
    </w:p>
    <w:p w:rsidR="00DB339E" w:rsidRPr="003B302B" w:rsidRDefault="00DB339E" w:rsidP="00DB339E">
      <w:pPr>
        <w:tabs>
          <w:tab w:val="left" w:pos="720"/>
          <w:tab w:val="left" w:pos="1440"/>
        </w:tabs>
        <w:snapToGrid w:val="0"/>
        <w:spacing w:line="360" w:lineRule="atLeast"/>
        <w:jc w:val="both"/>
        <w:rPr>
          <w:rFonts w:cs="Times New Roman"/>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3B302B">
        <w:rPr>
          <w:rFonts w:cs="Times New Roman"/>
          <w:szCs w:val="28"/>
        </w:rPr>
        <w:t>(h)</w:t>
      </w:r>
      <w:r w:rsidRPr="003B302B">
        <w:rPr>
          <w:rFonts w:cs="Times New Roman"/>
          <w:b/>
          <w:szCs w:val="28"/>
        </w:rPr>
        <w:tab/>
      </w:r>
      <w:r w:rsidRPr="003B302B">
        <w:rPr>
          <w:rFonts w:cs="Times New Roman"/>
          <w:b/>
          <w:szCs w:val="28"/>
        </w:rPr>
        <w:t>支援精神病患學生</w:t>
      </w:r>
      <w:r w:rsidRPr="003B302B">
        <w:rPr>
          <w:rFonts w:cs="Times New Roman"/>
          <w:b/>
          <w:szCs w:val="28"/>
        </w:rPr>
        <w:br/>
      </w:r>
      <w:r w:rsidRPr="003B302B">
        <w:rPr>
          <w:rFonts w:cs="Times New Roman"/>
          <w:b/>
          <w:szCs w:val="28"/>
        </w:rPr>
        <w:br/>
      </w:r>
      <w:r w:rsidRPr="003B302B">
        <w:rPr>
          <w:rFonts w:cs="Times New Roman"/>
          <w:spacing w:val="4"/>
          <w:szCs w:val="28"/>
        </w:rPr>
        <w:t>教育局一直鼓勵學校採用全校參與模式，透過「普及性」、「選擇性」、「針對性」三個層面，促進學生的精神健康，以及加強支</w:t>
      </w:r>
      <w:r w:rsidRPr="003B302B">
        <w:rPr>
          <w:rFonts w:cs="Times New Roman"/>
          <w:szCs w:val="28"/>
        </w:rPr>
        <w:t>援有精神健康需要</w:t>
      </w:r>
      <w:r w:rsidRPr="003B302B">
        <w:rPr>
          <w:rFonts w:cs="Times New Roman"/>
          <w:szCs w:val="28"/>
          <w:lang w:eastAsia="zh-HK"/>
        </w:rPr>
        <w:t>（</w:t>
      </w:r>
      <w:r w:rsidRPr="003B302B">
        <w:rPr>
          <w:rFonts w:cs="Times New Roman"/>
          <w:szCs w:val="28"/>
        </w:rPr>
        <w:t>包括有自殺風險</w:t>
      </w:r>
      <w:r w:rsidRPr="003B302B">
        <w:rPr>
          <w:rFonts w:cs="Times New Roman"/>
          <w:szCs w:val="28"/>
          <w:lang w:eastAsia="zh-HK"/>
        </w:rPr>
        <w:t>）</w:t>
      </w:r>
      <w:r w:rsidRPr="003B302B">
        <w:rPr>
          <w:rFonts w:cs="Times New Roman"/>
          <w:szCs w:val="28"/>
        </w:rPr>
        <w:t>的學生。在「普及性」層面，教育局和衞生署於</w:t>
      </w:r>
      <w:r w:rsidRPr="003B302B">
        <w:rPr>
          <w:rFonts w:cs="Times New Roman"/>
          <w:szCs w:val="28"/>
        </w:rPr>
        <w:t>2016/17</w:t>
      </w:r>
      <w:r w:rsidRPr="003B302B">
        <w:rPr>
          <w:rFonts w:cs="Times New Roman"/>
          <w:szCs w:val="28"/>
        </w:rPr>
        <w:t>學年合作開展「好心情</w:t>
      </w:r>
      <w:r w:rsidRPr="003B302B">
        <w:rPr>
          <w:rFonts w:cs="Times New Roman"/>
          <w:szCs w:val="28"/>
        </w:rPr>
        <w:t>@</w:t>
      </w:r>
      <w:r w:rsidRPr="003B302B">
        <w:rPr>
          <w:rFonts w:cs="Times New Roman"/>
          <w:szCs w:val="28"/>
        </w:rPr>
        <w:t>學校」</w:t>
      </w:r>
      <w:r w:rsidRPr="003B302B">
        <w:rPr>
          <w:rFonts w:cs="Times New Roman"/>
          <w:szCs w:val="28"/>
        </w:rPr>
        <w:lastRenderedPageBreak/>
        <w:t>計劃，在</w:t>
      </w:r>
      <w:r w:rsidRPr="003B302B">
        <w:rPr>
          <w:rFonts w:cs="Times New Roman"/>
          <w:szCs w:val="28"/>
        </w:rPr>
        <w:t>2017/18</w:t>
      </w:r>
      <w:r w:rsidRPr="003B302B">
        <w:rPr>
          <w:rFonts w:cs="Times New Roman"/>
          <w:szCs w:val="28"/>
        </w:rPr>
        <w:t>及</w:t>
      </w:r>
      <w:r w:rsidRPr="003B302B">
        <w:rPr>
          <w:rFonts w:cs="Times New Roman"/>
          <w:szCs w:val="28"/>
        </w:rPr>
        <w:t>2018/19</w:t>
      </w:r>
      <w:r w:rsidRPr="003B302B">
        <w:rPr>
          <w:rFonts w:cs="Times New Roman"/>
          <w:szCs w:val="28"/>
        </w:rPr>
        <w:t>學年亦繼續推行，以提高學生對精神健康的認知和了解，以及適應不同環境改變的能力。在「選擇性」層面，教育局每學年都會為教師舉辦與支援有精神健康需要學生相關的講座、研討會和經驗分享會等，讓更多中、小學教師掌握支援有精神健康需要學生的知識和能力。我們亦編製不同資源以幫助教師及早識別和支援有精神健康需要的學生，包括《識</w:t>
      </w:r>
      <w:r w:rsidRPr="003B302B">
        <w:rPr>
          <w:rFonts w:cs="Times New Roman"/>
          <w:spacing w:val="2"/>
          <w:szCs w:val="28"/>
        </w:rPr>
        <w:t>別、支援及轉介有自殺行爲的學生</w:t>
      </w:r>
      <w:r w:rsidRPr="003B302B">
        <w:rPr>
          <w:rFonts w:cs="Times New Roman"/>
          <w:spacing w:val="2"/>
          <w:szCs w:val="28"/>
        </w:rPr>
        <w:t>–</w:t>
      </w:r>
      <w:r w:rsidRPr="003B302B">
        <w:rPr>
          <w:rFonts w:cs="Times New Roman"/>
          <w:spacing w:val="2"/>
          <w:szCs w:val="28"/>
        </w:rPr>
        <w:t>學校資源手冊》、「防止學</w:t>
      </w:r>
      <w:r w:rsidRPr="003B302B">
        <w:rPr>
          <w:rFonts w:cs="Times New Roman"/>
          <w:szCs w:val="28"/>
        </w:rPr>
        <w:t>生自殺」專題網頁及由教育局與醫院管理局協作發展的《認識及幫助有精神病患的學生</w:t>
      </w:r>
      <w:r w:rsidRPr="003B302B">
        <w:rPr>
          <w:rFonts w:cs="Times New Roman"/>
          <w:szCs w:val="28"/>
        </w:rPr>
        <w:t>–</w:t>
      </w:r>
      <w:r w:rsidRPr="003B302B">
        <w:rPr>
          <w:rFonts w:cs="Times New Roman"/>
          <w:szCs w:val="28"/>
        </w:rPr>
        <w:t>教師資源手冊》，以供教師參考之用。</w:t>
      </w:r>
      <w:r w:rsidRPr="003B302B">
        <w:rPr>
          <w:rFonts w:cs="Times New Roman"/>
          <w:spacing w:val="2"/>
          <w:szCs w:val="28"/>
        </w:rPr>
        <w:t>在「針對性」層面，由</w:t>
      </w:r>
      <w:r w:rsidRPr="003B302B">
        <w:rPr>
          <w:rFonts w:cs="Times New Roman"/>
          <w:spacing w:val="2"/>
          <w:szCs w:val="28"/>
        </w:rPr>
        <w:t>2017/18</w:t>
      </w:r>
      <w:r w:rsidRPr="003B302B">
        <w:rPr>
          <w:rFonts w:cs="Times New Roman"/>
          <w:spacing w:val="2"/>
          <w:szCs w:val="28"/>
        </w:rPr>
        <w:t>學年開始，「學習支援津貼」涵蓋</w:t>
      </w:r>
      <w:r w:rsidRPr="003B302B">
        <w:rPr>
          <w:rFonts w:cs="Times New Roman"/>
          <w:szCs w:val="28"/>
        </w:rPr>
        <w:t>有精神病患的學生，以便學校照顧這些學生在學習、社交、情緒和行為上的需要。另一方面，食衞局聯同教育局、醫管局及社署於</w:t>
      </w:r>
      <w:r w:rsidRPr="003B302B">
        <w:rPr>
          <w:rFonts w:cs="Times New Roman"/>
          <w:szCs w:val="28"/>
        </w:rPr>
        <w:t>2016/17</w:t>
      </w:r>
      <w:r w:rsidRPr="003B302B">
        <w:rPr>
          <w:rFonts w:cs="Times New Roman"/>
          <w:szCs w:val="28"/>
        </w:rPr>
        <w:t>學年起推出「醫教社同心協作計劃」，以學校為平台，為有精神健康需要的學生提供適切的支援服務。</w:t>
      </w:r>
    </w:p>
    <w:p w:rsidR="00DB339E" w:rsidRPr="003B302B" w:rsidRDefault="00DB339E" w:rsidP="00DB339E">
      <w:pPr>
        <w:tabs>
          <w:tab w:val="left" w:pos="720"/>
          <w:tab w:val="left" w:pos="1440"/>
        </w:tabs>
        <w:snapToGrid w:val="0"/>
        <w:spacing w:line="360" w:lineRule="atLeast"/>
        <w:jc w:val="both"/>
        <w:rPr>
          <w:rFonts w:cs="Times New Roman"/>
          <w:b/>
          <w:szCs w:val="28"/>
        </w:rPr>
      </w:pPr>
    </w:p>
    <w:p w:rsidR="00DB339E" w:rsidRPr="003B302B" w:rsidRDefault="00DB339E" w:rsidP="00DB339E">
      <w:pPr>
        <w:tabs>
          <w:tab w:val="left" w:pos="720"/>
          <w:tab w:val="left" w:pos="1440"/>
        </w:tabs>
        <w:snapToGrid w:val="0"/>
        <w:spacing w:line="360" w:lineRule="atLeast"/>
        <w:ind w:left="560" w:hangingChars="200" w:hanging="560"/>
        <w:jc w:val="both"/>
        <w:rPr>
          <w:rFonts w:cs="Times New Roman"/>
          <w:b/>
          <w:szCs w:val="28"/>
        </w:rPr>
      </w:pPr>
      <w:r w:rsidRPr="003B302B">
        <w:rPr>
          <w:rFonts w:cs="Times New Roman"/>
          <w:szCs w:val="28"/>
        </w:rPr>
        <w:t>(i)</w:t>
      </w:r>
      <w:r w:rsidRPr="003B302B">
        <w:rPr>
          <w:rFonts w:cs="Times New Roman"/>
          <w:szCs w:val="28"/>
        </w:rPr>
        <w:tab/>
      </w:r>
      <w:r w:rsidRPr="003B302B">
        <w:rPr>
          <w:rFonts w:cs="Times New Roman"/>
          <w:b/>
          <w:szCs w:val="28"/>
        </w:rPr>
        <w:t>資源學校</w:t>
      </w:r>
      <w:r w:rsidRPr="003B302B">
        <w:rPr>
          <w:rFonts w:cs="Times New Roman"/>
          <w:b/>
          <w:szCs w:val="28"/>
        </w:rPr>
        <w:br/>
      </w:r>
      <w:r w:rsidRPr="003B302B">
        <w:rPr>
          <w:rFonts w:cs="Times New Roman"/>
          <w:b/>
          <w:szCs w:val="28"/>
        </w:rPr>
        <w:br/>
      </w:r>
      <w:r w:rsidRPr="003B302B">
        <w:rPr>
          <w:rFonts w:cs="Times New Roman"/>
          <w:szCs w:val="28"/>
        </w:rPr>
        <w:t>教育局借助有豐富融合教育經驗的學校成為「特殊學校暨資源中心」，提供校本支援及短期暫讀計劃，幫助普通學習照顧需要加強個別支援的學生。在</w:t>
      </w:r>
      <w:r w:rsidRPr="003B302B">
        <w:rPr>
          <w:rFonts w:cs="Times New Roman"/>
          <w:szCs w:val="28"/>
        </w:rPr>
        <w:t>2018/19</w:t>
      </w:r>
      <w:r w:rsidRPr="003B302B">
        <w:rPr>
          <w:rFonts w:cs="Times New Roman"/>
          <w:szCs w:val="28"/>
        </w:rPr>
        <w:t>學年，共有</w:t>
      </w:r>
      <w:r w:rsidRPr="003B302B">
        <w:rPr>
          <w:rFonts w:cs="Times New Roman"/>
          <w:szCs w:val="28"/>
        </w:rPr>
        <w:t>10</w:t>
      </w:r>
      <w:r w:rsidRPr="003B302B">
        <w:rPr>
          <w:rFonts w:cs="Times New Roman"/>
          <w:szCs w:val="28"/>
        </w:rPr>
        <w:t>所特殊學校暨資源中心。</w:t>
      </w:r>
    </w:p>
    <w:p w:rsidR="00E0073F" w:rsidRDefault="00E0073F" w:rsidP="001745ED">
      <w:pPr>
        <w:tabs>
          <w:tab w:val="left" w:pos="1440"/>
          <w:tab w:val="left" w:pos="1680"/>
        </w:tabs>
        <w:adjustRightInd w:val="0"/>
        <w:snapToGrid w:val="0"/>
        <w:spacing w:line="400" w:lineRule="atLeast"/>
        <w:ind w:right="-154"/>
        <w:jc w:val="both"/>
        <w:rPr>
          <w:rFonts w:cs="Times New Roman"/>
          <w:bCs/>
          <w:kern w:val="0"/>
          <w:szCs w:val="28"/>
        </w:rPr>
        <w:sectPr w:rsidR="00E0073F" w:rsidSect="007E0698">
          <w:pgSz w:w="11906" w:h="16838"/>
          <w:pgMar w:top="1440" w:right="1800" w:bottom="1440" w:left="1800" w:header="720" w:footer="720" w:gutter="0"/>
          <w:cols w:space="425"/>
          <w:titlePg/>
          <w:docGrid w:type="lines" w:linePitch="381"/>
        </w:sectPr>
      </w:pPr>
    </w:p>
    <w:p w:rsidR="00E0073F" w:rsidRDefault="00E0073F" w:rsidP="00E0073F">
      <w:pPr>
        <w:tabs>
          <w:tab w:val="left" w:pos="720"/>
          <w:tab w:val="left" w:pos="1440"/>
        </w:tabs>
        <w:wordWrap w:val="0"/>
        <w:snapToGrid w:val="0"/>
        <w:spacing w:line="360" w:lineRule="atLeast"/>
        <w:jc w:val="right"/>
        <w:outlineLvl w:val="0"/>
        <w:rPr>
          <w:b/>
          <w:szCs w:val="28"/>
          <w:lang w:val="en-GB"/>
        </w:rPr>
      </w:pPr>
      <w:r w:rsidRPr="00635A92">
        <w:rPr>
          <w:rFonts w:hint="eastAsia"/>
          <w:b/>
          <w:szCs w:val="28"/>
          <w:lang w:val="en-GB" w:eastAsia="zh-HK"/>
        </w:rPr>
        <w:lastRenderedPageBreak/>
        <w:t>附件</w:t>
      </w:r>
      <w:r w:rsidRPr="00635A92">
        <w:rPr>
          <w:rFonts w:hint="eastAsia"/>
          <w:b/>
          <w:szCs w:val="28"/>
          <w:lang w:val="en-GB" w:eastAsia="zh-HK"/>
        </w:rPr>
        <w:t>13</w:t>
      </w:r>
      <w:r>
        <w:rPr>
          <w:rFonts w:hint="eastAsia"/>
          <w:b/>
          <w:szCs w:val="28"/>
          <w:lang w:val="en-GB"/>
        </w:rPr>
        <w:t>G</w:t>
      </w:r>
    </w:p>
    <w:p w:rsidR="00E0073F" w:rsidRDefault="00E0073F" w:rsidP="00E0073F">
      <w:pPr>
        <w:tabs>
          <w:tab w:val="left" w:pos="720"/>
          <w:tab w:val="left" w:pos="1440"/>
        </w:tabs>
        <w:snapToGrid w:val="0"/>
        <w:spacing w:line="360" w:lineRule="atLeast"/>
        <w:jc w:val="right"/>
        <w:outlineLvl w:val="0"/>
        <w:rPr>
          <w:b/>
          <w:szCs w:val="28"/>
          <w:lang w:val="en-GB"/>
        </w:rPr>
      </w:pPr>
    </w:p>
    <w:p w:rsidR="00E0073F" w:rsidRPr="00962757" w:rsidRDefault="00E0073F" w:rsidP="00E0073F">
      <w:pPr>
        <w:tabs>
          <w:tab w:val="left" w:pos="1440"/>
        </w:tabs>
        <w:adjustRightInd w:val="0"/>
        <w:snapToGrid w:val="0"/>
        <w:spacing w:line="400" w:lineRule="atLeast"/>
        <w:jc w:val="center"/>
        <w:rPr>
          <w:b/>
          <w:bCs/>
          <w:szCs w:val="28"/>
          <w:lang w:val="en-GB"/>
        </w:rPr>
      </w:pPr>
      <w:r w:rsidRPr="00962757">
        <w:rPr>
          <w:rFonts w:hint="eastAsia"/>
          <w:b/>
          <w:szCs w:val="28"/>
          <w:lang w:val="en-GB"/>
        </w:rPr>
        <w:t>文化認同及國家價值觀念</w:t>
      </w:r>
    </w:p>
    <w:p w:rsidR="00E0073F" w:rsidRPr="005F2A1F" w:rsidRDefault="00E0073F" w:rsidP="00E0073F">
      <w:pPr>
        <w:tabs>
          <w:tab w:val="left" w:pos="720"/>
          <w:tab w:val="left" w:pos="1440"/>
        </w:tabs>
        <w:snapToGrid w:val="0"/>
        <w:spacing w:line="360" w:lineRule="atLeast"/>
        <w:outlineLvl w:val="0"/>
        <w:rPr>
          <w:b/>
          <w:szCs w:val="28"/>
          <w:lang w:val="en-GB" w:eastAsia="zh-HK"/>
        </w:rPr>
      </w:pPr>
    </w:p>
    <w:p w:rsidR="00E0073F" w:rsidRPr="00962757" w:rsidRDefault="00E0073F" w:rsidP="00E0073F">
      <w:pPr>
        <w:tabs>
          <w:tab w:val="left" w:pos="1440"/>
        </w:tabs>
        <w:adjustRightInd w:val="0"/>
        <w:snapToGrid w:val="0"/>
        <w:spacing w:line="400" w:lineRule="atLeast"/>
        <w:jc w:val="both"/>
        <w:rPr>
          <w:bCs/>
          <w:szCs w:val="28"/>
          <w:lang w:val="en-GB"/>
        </w:rPr>
      </w:pPr>
      <w:r>
        <w:rPr>
          <w:rFonts w:hint="eastAsia"/>
          <w:szCs w:val="28"/>
          <w:lang w:val="en-GB"/>
        </w:rPr>
        <w:t>1.</w:t>
      </w:r>
      <w:r>
        <w:rPr>
          <w:rFonts w:hint="eastAsia"/>
          <w:szCs w:val="28"/>
          <w:lang w:val="en-GB"/>
        </w:rPr>
        <w:tab/>
      </w:r>
      <w:r w:rsidRPr="00962757">
        <w:rPr>
          <w:rFonts w:hint="eastAsia"/>
          <w:szCs w:val="28"/>
          <w:lang w:val="en-GB"/>
        </w:rPr>
        <w:t>培養學生對國民身分的認同是香港的既定教育政策，並為課程目標之一。推廣中華文化與國家價值觀念，培養國民身分認同，主要透過學校課程進行，包括小學的常識科和中國語文科；中學的中國語文科、中國歷史科、生活與社會課程和通識教育科和德育及公民教育。配合現時課程改革的精神，教育局鼓勵學校在分析當代中國議題時，採用多角度裝備學生的明辨性思考能力。</w:t>
      </w:r>
    </w:p>
    <w:p w:rsidR="00E0073F" w:rsidRPr="00962757" w:rsidRDefault="00E0073F" w:rsidP="00E0073F">
      <w:pPr>
        <w:tabs>
          <w:tab w:val="left" w:pos="720"/>
          <w:tab w:val="left" w:pos="1440"/>
        </w:tabs>
        <w:wordWrap w:val="0"/>
        <w:snapToGrid w:val="0"/>
        <w:spacing w:line="360" w:lineRule="atLeast"/>
        <w:jc w:val="right"/>
        <w:outlineLvl w:val="0"/>
        <w:rPr>
          <w:b/>
          <w:szCs w:val="28"/>
          <w:lang w:val="en-GB" w:eastAsia="zh-HK"/>
        </w:rPr>
      </w:pPr>
    </w:p>
    <w:p w:rsidR="00E0073F" w:rsidRPr="00962757" w:rsidRDefault="00E0073F" w:rsidP="00E0073F">
      <w:pPr>
        <w:tabs>
          <w:tab w:val="left" w:pos="1440"/>
        </w:tabs>
        <w:adjustRightInd w:val="0"/>
        <w:snapToGrid w:val="0"/>
        <w:spacing w:line="400" w:lineRule="atLeast"/>
        <w:jc w:val="both"/>
        <w:rPr>
          <w:bCs/>
          <w:szCs w:val="28"/>
          <w:lang w:val="en-GB"/>
        </w:rPr>
      </w:pPr>
      <w:r>
        <w:rPr>
          <w:rFonts w:hint="eastAsia"/>
          <w:szCs w:val="28"/>
          <w:lang w:val="en-GB"/>
        </w:rPr>
        <w:t>2.</w:t>
      </w:r>
      <w:r>
        <w:rPr>
          <w:rFonts w:hint="eastAsia"/>
          <w:szCs w:val="28"/>
          <w:lang w:val="en-GB"/>
        </w:rPr>
        <w:tab/>
      </w:r>
      <w:r w:rsidRPr="00962757">
        <w:rPr>
          <w:rFonts w:hint="eastAsia"/>
          <w:szCs w:val="28"/>
          <w:lang w:val="en-GB"/>
        </w:rPr>
        <w:t>教育局亦採取多元化策略，包括舉辦校長及教師專業培</w:t>
      </w:r>
      <w:r w:rsidR="009E4825">
        <w:rPr>
          <w:szCs w:val="28"/>
          <w:lang w:val="en-GB"/>
        </w:rPr>
        <w:t>‌‌‌</w:t>
      </w:r>
      <w:r w:rsidRPr="00962757">
        <w:rPr>
          <w:rFonts w:hint="eastAsia"/>
          <w:szCs w:val="28"/>
          <w:lang w:val="en-GB"/>
        </w:rPr>
        <w:t>訓</w:t>
      </w:r>
      <w:r w:rsidR="009E4825">
        <w:rPr>
          <w:szCs w:val="28"/>
          <w:lang w:val="en-GB"/>
        </w:rPr>
        <w:t>‌</w:t>
      </w:r>
      <w:r w:rsidRPr="00962757">
        <w:rPr>
          <w:rFonts w:hint="eastAsia"/>
          <w:szCs w:val="28"/>
          <w:lang w:val="en-GB"/>
        </w:rPr>
        <w:t>、發展教學資源、豐富師生內地交流及學習活動、舉辦全港校際問答比賽、就</w:t>
      </w:r>
      <w:r w:rsidRPr="00962757">
        <w:rPr>
          <w:rFonts w:ascii="Calibri" w:hAnsi="Calibri" w:hint="eastAsia"/>
          <w:szCs w:val="28"/>
        </w:rPr>
        <w:t>“</w:t>
      </w:r>
      <w:r w:rsidRPr="00962757">
        <w:rPr>
          <w:rFonts w:hint="eastAsia"/>
          <w:szCs w:val="28"/>
          <w:lang w:val="en-GB"/>
        </w:rPr>
        <w:t>改革開放</w:t>
      </w:r>
      <w:r w:rsidRPr="00962757">
        <w:rPr>
          <w:szCs w:val="28"/>
          <w:lang w:val="en-GB"/>
        </w:rPr>
        <w:t>40</w:t>
      </w:r>
      <w:r w:rsidRPr="00962757">
        <w:rPr>
          <w:rFonts w:hint="eastAsia"/>
          <w:szCs w:val="28"/>
          <w:lang w:val="en-GB"/>
        </w:rPr>
        <w:t>周年</w:t>
      </w:r>
      <w:r w:rsidRPr="00962757">
        <w:rPr>
          <w:rFonts w:ascii="Calibri" w:hAnsi="Calibri" w:hint="eastAsia"/>
          <w:szCs w:val="28"/>
        </w:rPr>
        <w:t>”</w:t>
      </w:r>
      <w:r w:rsidRPr="00962757">
        <w:rPr>
          <w:rFonts w:hint="eastAsia"/>
          <w:szCs w:val="28"/>
          <w:lang w:val="en-GB"/>
        </w:rPr>
        <w:t>等課題舉辦專題研習獎勵計劃，以及鼓勵香港與內地姊妹學校配對，加強交流合作等，讓師生更全面認識國情。透過課堂學習及全方位學習活動，已為學生提供充份的學習機會，培育他們成為有識見、負責任的公民，認同國民身份，並具備世界視野，持守正面價值觀和態度，珍視中華文化和尊重社會多元性。</w:t>
      </w:r>
    </w:p>
    <w:p w:rsidR="00E0073F" w:rsidRDefault="00E0073F" w:rsidP="001745ED">
      <w:pPr>
        <w:tabs>
          <w:tab w:val="left" w:pos="1440"/>
          <w:tab w:val="left" w:pos="1680"/>
        </w:tabs>
        <w:adjustRightInd w:val="0"/>
        <w:snapToGrid w:val="0"/>
        <w:spacing w:line="400" w:lineRule="atLeast"/>
        <w:ind w:right="-154"/>
        <w:jc w:val="both"/>
        <w:rPr>
          <w:rFonts w:cs="Times New Roman"/>
          <w:bCs/>
          <w:kern w:val="0"/>
          <w:szCs w:val="28"/>
          <w:lang w:val="en-GB"/>
        </w:rPr>
        <w:sectPr w:rsidR="00E0073F" w:rsidSect="00E0073F">
          <w:footerReference w:type="default" r:id="rId83"/>
          <w:pgSz w:w="11906" w:h="16838"/>
          <w:pgMar w:top="1440" w:right="1800" w:bottom="1440" w:left="1800" w:header="720" w:footer="720" w:gutter="0"/>
          <w:pgNumType w:start="1"/>
          <w:cols w:space="425"/>
          <w:docGrid w:type="lines" w:linePitch="381"/>
        </w:sectPr>
      </w:pPr>
    </w:p>
    <w:p w:rsidR="00EE2A75" w:rsidRDefault="00EE2A75" w:rsidP="00EE2A75">
      <w:pPr>
        <w:tabs>
          <w:tab w:val="left" w:pos="1440"/>
        </w:tabs>
        <w:adjustRightInd w:val="0"/>
        <w:snapToGrid w:val="0"/>
        <w:spacing w:line="400" w:lineRule="atLeast"/>
        <w:jc w:val="right"/>
        <w:rPr>
          <w:b/>
          <w:szCs w:val="28"/>
        </w:rPr>
      </w:pPr>
      <w:r w:rsidRPr="00C330D2">
        <w:rPr>
          <w:rFonts w:hint="eastAsia"/>
          <w:b/>
          <w:szCs w:val="28"/>
          <w:lang w:eastAsia="zh-HK"/>
        </w:rPr>
        <w:lastRenderedPageBreak/>
        <w:t>附件</w:t>
      </w:r>
      <w:r w:rsidRPr="00C330D2">
        <w:rPr>
          <w:rFonts w:hint="eastAsia"/>
          <w:b/>
          <w:szCs w:val="28"/>
        </w:rPr>
        <w:t>15A</w:t>
      </w:r>
    </w:p>
    <w:p w:rsidR="00EE2A75" w:rsidRDefault="00EE2A75" w:rsidP="00EE2A75">
      <w:pPr>
        <w:tabs>
          <w:tab w:val="left" w:pos="1440"/>
        </w:tabs>
        <w:adjustRightInd w:val="0"/>
        <w:snapToGrid w:val="0"/>
        <w:spacing w:line="400" w:lineRule="atLeast"/>
        <w:jc w:val="right"/>
        <w:rPr>
          <w:b/>
          <w:szCs w:val="28"/>
        </w:rPr>
      </w:pPr>
    </w:p>
    <w:p w:rsidR="00EE2A75" w:rsidRDefault="00EE2A75" w:rsidP="00EE2A75">
      <w:pPr>
        <w:tabs>
          <w:tab w:val="left" w:pos="1440"/>
        </w:tabs>
        <w:adjustRightInd w:val="0"/>
        <w:snapToGrid w:val="0"/>
        <w:spacing w:line="400" w:lineRule="atLeast"/>
        <w:jc w:val="center"/>
        <w:rPr>
          <w:b/>
          <w:szCs w:val="28"/>
          <w:lang w:eastAsia="zh-HK"/>
        </w:rPr>
      </w:pPr>
      <w:r w:rsidRPr="00A5344E">
        <w:rPr>
          <w:rFonts w:hint="eastAsia"/>
          <w:b/>
          <w:szCs w:val="28"/>
        </w:rPr>
        <w:t>文化設施</w:t>
      </w:r>
      <w:r>
        <w:rPr>
          <w:rFonts w:hint="eastAsia"/>
          <w:b/>
          <w:szCs w:val="28"/>
          <w:lang w:eastAsia="zh-HK"/>
        </w:rPr>
        <w:t>與</w:t>
      </w:r>
    </w:p>
    <w:p w:rsidR="00EE2A75" w:rsidRPr="00A5344E" w:rsidRDefault="00EE2A75" w:rsidP="00EE2A75">
      <w:pPr>
        <w:tabs>
          <w:tab w:val="left" w:pos="1440"/>
        </w:tabs>
        <w:adjustRightInd w:val="0"/>
        <w:snapToGrid w:val="0"/>
        <w:spacing w:line="400" w:lineRule="atLeast"/>
        <w:jc w:val="center"/>
        <w:rPr>
          <w:b/>
          <w:szCs w:val="28"/>
        </w:rPr>
      </w:pPr>
      <w:r w:rsidRPr="00A5344E">
        <w:rPr>
          <w:rFonts w:hint="eastAsia"/>
          <w:b/>
          <w:szCs w:val="28"/>
          <w:lang w:eastAsia="zh-HK"/>
        </w:rPr>
        <w:t>推</w:t>
      </w:r>
      <w:r w:rsidRPr="00A5344E">
        <w:rPr>
          <w:rFonts w:hint="eastAsia"/>
          <w:b/>
          <w:szCs w:val="28"/>
        </w:rPr>
        <w:t>廣</w:t>
      </w:r>
      <w:r w:rsidRPr="00A5344E">
        <w:rPr>
          <w:rFonts w:hint="eastAsia"/>
          <w:b/>
          <w:szCs w:val="28"/>
          <w:lang w:eastAsia="zh-HK"/>
        </w:rPr>
        <w:t>文化藝</w:t>
      </w:r>
      <w:r w:rsidRPr="00A5344E">
        <w:rPr>
          <w:rFonts w:hint="eastAsia"/>
          <w:b/>
          <w:szCs w:val="28"/>
        </w:rPr>
        <w:t>術</w:t>
      </w:r>
      <w:r w:rsidRPr="00A5344E">
        <w:rPr>
          <w:rFonts w:hint="eastAsia"/>
          <w:b/>
          <w:szCs w:val="28"/>
          <w:lang w:eastAsia="zh-HK"/>
        </w:rPr>
        <w:t>及參</w:t>
      </w:r>
      <w:r w:rsidRPr="00A5344E">
        <w:rPr>
          <w:rFonts w:hint="eastAsia"/>
          <w:b/>
          <w:szCs w:val="28"/>
        </w:rPr>
        <w:t>與文化藝術</w:t>
      </w:r>
      <w:r w:rsidRPr="00A5344E">
        <w:rPr>
          <w:rFonts w:hint="eastAsia"/>
          <w:b/>
          <w:szCs w:val="28"/>
          <w:lang w:eastAsia="zh-HK"/>
        </w:rPr>
        <w:t>活</w:t>
      </w:r>
      <w:r w:rsidRPr="00A5344E">
        <w:rPr>
          <w:rFonts w:hint="eastAsia"/>
          <w:b/>
          <w:szCs w:val="28"/>
        </w:rPr>
        <w:t>動</w:t>
      </w:r>
    </w:p>
    <w:p w:rsidR="00EE2A75" w:rsidRPr="006731FD" w:rsidRDefault="00EE2A75" w:rsidP="00EE2A75">
      <w:pPr>
        <w:tabs>
          <w:tab w:val="left" w:pos="1440"/>
        </w:tabs>
        <w:adjustRightInd w:val="0"/>
        <w:snapToGrid w:val="0"/>
        <w:spacing w:line="400" w:lineRule="atLeast"/>
        <w:jc w:val="both"/>
        <w:rPr>
          <w:b/>
          <w:szCs w:val="28"/>
        </w:rPr>
      </w:pPr>
    </w:p>
    <w:p w:rsidR="00EE2A75" w:rsidRPr="006731FD" w:rsidRDefault="00EE2A75" w:rsidP="00EE2A75">
      <w:pPr>
        <w:tabs>
          <w:tab w:val="left" w:pos="1440"/>
        </w:tabs>
        <w:adjustRightInd w:val="0"/>
        <w:snapToGrid w:val="0"/>
        <w:spacing w:line="400" w:lineRule="atLeast"/>
        <w:jc w:val="both"/>
        <w:rPr>
          <w:szCs w:val="28"/>
          <w:u w:val="single"/>
        </w:rPr>
      </w:pPr>
      <w:r w:rsidRPr="006731FD">
        <w:rPr>
          <w:rFonts w:hint="eastAsia"/>
          <w:szCs w:val="28"/>
          <w:u w:val="single"/>
        </w:rPr>
        <w:t>文化設施</w:t>
      </w:r>
    </w:p>
    <w:p w:rsidR="00EE2A75" w:rsidRPr="006731FD"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i/>
          <w:szCs w:val="28"/>
        </w:rPr>
      </w:pPr>
      <w:r w:rsidRPr="006731FD">
        <w:rPr>
          <w:rFonts w:hint="eastAsia"/>
          <w:i/>
          <w:szCs w:val="28"/>
        </w:rPr>
        <w:t>圖書館</w:t>
      </w:r>
    </w:p>
    <w:p w:rsidR="00EE2A75"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szCs w:val="28"/>
        </w:rPr>
        <w:t>1.</w:t>
      </w:r>
      <w:r>
        <w:rPr>
          <w:szCs w:val="28"/>
        </w:rPr>
        <w:tab/>
      </w:r>
      <w:r w:rsidRPr="006731FD">
        <w:rPr>
          <w:rFonts w:hint="eastAsia"/>
          <w:szCs w:val="28"/>
        </w:rPr>
        <w:t>繼上一次報告第</w:t>
      </w:r>
      <w:r w:rsidRPr="006731FD">
        <w:rPr>
          <w:szCs w:val="28"/>
        </w:rPr>
        <w:t>15.8</w:t>
      </w:r>
      <w:r w:rsidRPr="006731FD">
        <w:rPr>
          <w:rFonts w:hint="eastAsia"/>
          <w:szCs w:val="28"/>
        </w:rPr>
        <w:t>段所述，康文署管理的公共圖書館已增加至</w:t>
      </w:r>
      <w:r w:rsidRPr="006731FD">
        <w:rPr>
          <w:szCs w:val="28"/>
        </w:rPr>
        <w:t>70</w:t>
      </w:r>
      <w:r w:rsidRPr="006731FD">
        <w:rPr>
          <w:rFonts w:hint="eastAsia"/>
          <w:szCs w:val="28"/>
        </w:rPr>
        <w:t>間固定圖書館和</w:t>
      </w:r>
      <w:r w:rsidRPr="006731FD">
        <w:rPr>
          <w:szCs w:val="28"/>
        </w:rPr>
        <w:t>12</w:t>
      </w:r>
      <w:r w:rsidRPr="006731FD">
        <w:rPr>
          <w:rFonts w:hint="eastAsia"/>
          <w:szCs w:val="28"/>
        </w:rPr>
        <w:t>間流動圖書館，總館藏達</w:t>
      </w:r>
      <w:r w:rsidRPr="006731FD">
        <w:rPr>
          <w:szCs w:val="28"/>
        </w:rPr>
        <w:t>1</w:t>
      </w:r>
      <w:r>
        <w:rPr>
          <w:szCs w:val="28"/>
        </w:rPr>
        <w:t> </w:t>
      </w:r>
      <w:r w:rsidRPr="006731FD">
        <w:rPr>
          <w:szCs w:val="28"/>
        </w:rPr>
        <w:t>499</w:t>
      </w:r>
      <w:r w:rsidRPr="006731FD">
        <w:rPr>
          <w:rFonts w:hint="eastAsia"/>
          <w:szCs w:val="28"/>
        </w:rPr>
        <w:t>萬項，並提供</w:t>
      </w:r>
      <w:r w:rsidRPr="006731FD">
        <w:rPr>
          <w:szCs w:val="28"/>
        </w:rPr>
        <w:t>10</w:t>
      </w:r>
      <w:r w:rsidRPr="006731FD">
        <w:rPr>
          <w:rFonts w:hint="eastAsia"/>
          <w:szCs w:val="28"/>
        </w:rPr>
        <w:t>個電子書館藏及</w:t>
      </w:r>
      <w:r w:rsidRPr="006731FD">
        <w:rPr>
          <w:szCs w:val="28"/>
        </w:rPr>
        <w:t>76</w:t>
      </w:r>
      <w:r w:rsidRPr="006731FD">
        <w:rPr>
          <w:rFonts w:hint="eastAsia"/>
          <w:szCs w:val="28"/>
        </w:rPr>
        <w:t>個電子資料庫供公眾在網上或館內使用。各圖書館定期舉辦多元化的推廣活動，供各年齡組別的市民免費參加。香港中央圖書館是香港公共圖書館系統的樞紐及香港的主要資訊中心，並保存和推廣香港文化及歷史文獻。康文署透過善用科技以提供創新的服務，提升圖書館的設施、服務質素和成本效益，以推廣全城閱讀文化。公共圖書館諮詢委員會，專責就香港公共圖書館的整體發展策略，向政府提供意見。就地區圖書館服務事宜，康文署與區議會合作，舉辦各項活動以及優化圖書館設施，協力推廣閱讀文化。</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i/>
          <w:szCs w:val="28"/>
        </w:rPr>
      </w:pPr>
      <w:r w:rsidRPr="006731FD">
        <w:rPr>
          <w:rFonts w:hint="eastAsia"/>
          <w:i/>
          <w:szCs w:val="28"/>
        </w:rPr>
        <w:t>博物館</w:t>
      </w:r>
    </w:p>
    <w:p w:rsidR="00EE2A75"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szCs w:val="28"/>
        </w:rPr>
        <w:t>2.</w:t>
      </w:r>
      <w:r>
        <w:rPr>
          <w:rFonts w:hint="eastAsia"/>
          <w:szCs w:val="28"/>
        </w:rPr>
        <w:tab/>
      </w:r>
      <w:r w:rsidRPr="006731FD">
        <w:rPr>
          <w:rFonts w:hint="eastAsia"/>
          <w:szCs w:val="28"/>
        </w:rPr>
        <w:t>自上一次報告第</w:t>
      </w:r>
      <w:r w:rsidRPr="006731FD">
        <w:rPr>
          <w:szCs w:val="28"/>
        </w:rPr>
        <w:t>15.9</w:t>
      </w:r>
      <w:r w:rsidRPr="006731FD">
        <w:rPr>
          <w:rFonts w:hint="eastAsia"/>
          <w:szCs w:val="28"/>
        </w:rPr>
        <w:t>段所述的情況，在公共博物館方面有新的發展。自</w:t>
      </w:r>
      <w:r w:rsidRPr="006731FD">
        <w:rPr>
          <w:szCs w:val="28"/>
        </w:rPr>
        <w:t>2016</w:t>
      </w:r>
      <w:r w:rsidRPr="006731FD">
        <w:rPr>
          <w:rFonts w:hint="eastAsia"/>
          <w:szCs w:val="28"/>
        </w:rPr>
        <w:t>年</w:t>
      </w:r>
      <w:r w:rsidRPr="006731FD">
        <w:rPr>
          <w:szCs w:val="28"/>
        </w:rPr>
        <w:t>8</w:t>
      </w:r>
      <w:r w:rsidRPr="006731FD">
        <w:rPr>
          <w:rFonts w:hint="eastAsia"/>
          <w:szCs w:val="28"/>
        </w:rPr>
        <w:t>月</w:t>
      </w:r>
      <w:r w:rsidRPr="006731FD">
        <w:rPr>
          <w:szCs w:val="28"/>
        </w:rPr>
        <w:t>1</w:t>
      </w:r>
      <w:r w:rsidRPr="006731FD">
        <w:rPr>
          <w:rFonts w:hint="eastAsia"/>
          <w:szCs w:val="28"/>
        </w:rPr>
        <w:t>日起，公眾人士可免費入場參觀香港藝術館、香港歷史博物館、香港文化博物館、香港海防博物館、孫中山紀念館的常設展覽；香港科學館和香港太空館的常設展覽亦免費開放予全日制學生參觀。現時康文署一共管理</w:t>
      </w:r>
      <w:r w:rsidRPr="006731FD">
        <w:rPr>
          <w:szCs w:val="28"/>
        </w:rPr>
        <w:t>14</w:t>
      </w:r>
      <w:r w:rsidRPr="006731FD">
        <w:rPr>
          <w:rFonts w:hint="eastAsia"/>
          <w:szCs w:val="28"/>
        </w:rPr>
        <w:t>所博物館，專責購藏、研究、修復、展出和處理與香港文化、歷史、藝術及科學有關的物質和非物質文化文物和藏品，以供公眾研究、教育和欣賞之用。康文署亦負責管理一所電影資料館及兩個藝術空間。</w:t>
      </w:r>
    </w:p>
    <w:p w:rsidR="00EE2A75"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szCs w:val="28"/>
        </w:rPr>
        <w:t>3.</w:t>
      </w:r>
      <w:r>
        <w:rPr>
          <w:rFonts w:hint="eastAsia"/>
          <w:szCs w:val="28"/>
        </w:rPr>
        <w:tab/>
      </w:r>
      <w:r w:rsidRPr="006731FD">
        <w:rPr>
          <w:rFonts w:hint="eastAsia"/>
          <w:szCs w:val="28"/>
        </w:rPr>
        <w:t>我們歡迎及鼓勵成立私營博物館，與公共博物館相輔相成，使香港的博物館種類保持多元化。我們也歡迎公、私營博物館互相合作。根據現有資料，香港現時有</w:t>
      </w:r>
      <w:r w:rsidRPr="006731FD">
        <w:rPr>
          <w:szCs w:val="28"/>
        </w:rPr>
        <w:t>26</w:t>
      </w:r>
      <w:r w:rsidRPr="006731FD">
        <w:rPr>
          <w:rFonts w:hint="eastAsia"/>
          <w:szCs w:val="28"/>
        </w:rPr>
        <w:t>間私營博物館。</w:t>
      </w:r>
    </w:p>
    <w:p w:rsidR="00EE2A75" w:rsidRPr="00BB35E6"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i/>
          <w:szCs w:val="28"/>
        </w:rPr>
      </w:pPr>
      <w:r w:rsidRPr="006731FD">
        <w:rPr>
          <w:rFonts w:hint="eastAsia"/>
          <w:i/>
          <w:szCs w:val="28"/>
        </w:rPr>
        <w:t>表演藝術場地</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szCs w:val="28"/>
        </w:rPr>
      </w:pPr>
      <w:r>
        <w:rPr>
          <w:rFonts w:hint="eastAsia"/>
          <w:szCs w:val="28"/>
        </w:rPr>
        <w:t>4.</w:t>
      </w:r>
      <w:r>
        <w:rPr>
          <w:szCs w:val="28"/>
        </w:rPr>
        <w:tab/>
      </w:r>
      <w:r w:rsidRPr="006731FD">
        <w:rPr>
          <w:rFonts w:hint="eastAsia"/>
          <w:szCs w:val="28"/>
        </w:rPr>
        <w:t>香港有多處由政府或私人資助的文化藝術活動場地。康文署管理的</w:t>
      </w:r>
      <w:r w:rsidRPr="006731FD">
        <w:rPr>
          <w:szCs w:val="28"/>
        </w:rPr>
        <w:t>16</w:t>
      </w:r>
      <w:r w:rsidRPr="006731FD">
        <w:rPr>
          <w:rFonts w:hint="eastAsia"/>
          <w:szCs w:val="28"/>
        </w:rPr>
        <w:t>個表演場地是全港文化活動的焦點，當中包括三個全港性場地、</w:t>
      </w:r>
      <w:r w:rsidRPr="006731FD">
        <w:rPr>
          <w:szCs w:val="28"/>
        </w:rPr>
        <w:t>11</w:t>
      </w:r>
      <w:r w:rsidRPr="006731FD">
        <w:rPr>
          <w:rFonts w:hint="eastAsia"/>
          <w:szCs w:val="28"/>
        </w:rPr>
        <w:t>個地區文娛中心及兩個多用途室內體育館，座位數目由</w:t>
      </w:r>
      <w:r w:rsidRPr="006731FD">
        <w:rPr>
          <w:szCs w:val="28"/>
        </w:rPr>
        <w:t>300</w:t>
      </w:r>
      <w:r w:rsidRPr="006731FD">
        <w:rPr>
          <w:rFonts w:hint="eastAsia"/>
          <w:szCs w:val="28"/>
        </w:rPr>
        <w:t>至</w:t>
      </w:r>
      <w:r w:rsidRPr="006731FD">
        <w:rPr>
          <w:szCs w:val="28"/>
        </w:rPr>
        <w:t>12</w:t>
      </w:r>
      <w:r>
        <w:rPr>
          <w:szCs w:val="28"/>
        </w:rPr>
        <w:t> </w:t>
      </w:r>
      <w:r w:rsidRPr="006731FD">
        <w:rPr>
          <w:szCs w:val="28"/>
        </w:rPr>
        <w:t>500</w:t>
      </w:r>
      <w:r w:rsidRPr="006731FD">
        <w:rPr>
          <w:rFonts w:hint="eastAsia"/>
          <w:szCs w:val="28"/>
        </w:rPr>
        <w:t>不等。這些場地可供社會各界及公眾使用。民政事務局轄下的青年廣場於</w:t>
      </w:r>
      <w:r w:rsidRPr="006731FD">
        <w:rPr>
          <w:szCs w:val="28"/>
        </w:rPr>
        <w:t>2009</w:t>
      </w:r>
      <w:r w:rsidRPr="006731FD">
        <w:rPr>
          <w:rFonts w:hint="eastAsia"/>
          <w:szCs w:val="28"/>
        </w:rPr>
        <w:t>年啟用，為推廣青少年活動提供更多演出空間。</w:t>
      </w:r>
    </w:p>
    <w:p w:rsidR="00EE2A75" w:rsidRPr="006731FD"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szCs w:val="28"/>
        </w:rPr>
        <w:t>5.</w:t>
      </w:r>
      <w:r w:rsidRPr="006731FD">
        <w:rPr>
          <w:szCs w:val="28"/>
        </w:rPr>
        <w:tab/>
      </w:r>
      <w:r w:rsidRPr="006731FD">
        <w:rPr>
          <w:rFonts w:hint="eastAsia"/>
          <w:szCs w:val="28"/>
        </w:rPr>
        <w:t>不同地點的非政府場地亦提供不同大小、種類和用途的表演場地，足以迎合各類表演藝術團體的需要。例子包括香港賽馬會創意藝術中心；位於活化中區警署建築群的「大館」；香港兆基創意書院；香港理工大學的賽馬會綜藝館；以及香港藝術中心。</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i/>
          <w:szCs w:val="28"/>
        </w:rPr>
      </w:pPr>
      <w:r w:rsidRPr="006731FD">
        <w:rPr>
          <w:rFonts w:hint="eastAsia"/>
          <w:i/>
          <w:szCs w:val="28"/>
        </w:rPr>
        <w:t>西九文化區</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szCs w:val="28"/>
        </w:rPr>
      </w:pPr>
      <w:r>
        <w:rPr>
          <w:rFonts w:hint="eastAsia"/>
          <w:szCs w:val="28"/>
        </w:rPr>
        <w:t>6.</w:t>
      </w:r>
      <w:r>
        <w:rPr>
          <w:szCs w:val="28"/>
        </w:rPr>
        <w:tab/>
      </w:r>
      <w:r w:rsidRPr="006731FD">
        <w:rPr>
          <w:rFonts w:hint="eastAsia"/>
          <w:szCs w:val="28"/>
        </w:rPr>
        <w:t>西九文化區將提供</w:t>
      </w:r>
      <w:r w:rsidRPr="006731FD">
        <w:rPr>
          <w:szCs w:val="28"/>
        </w:rPr>
        <w:t>23</w:t>
      </w:r>
      <w:r w:rsidRPr="006731FD">
        <w:rPr>
          <w:rFonts w:hint="eastAsia"/>
          <w:szCs w:val="28"/>
        </w:rPr>
        <w:t>公頃休憩用地供市民享用，其中包括一個大型的公園及連貫的海濱長廊。西九文化區將分階段提供不同類型和規模的表演藝術場地（包括戲曲中心、自由空間、藝術公園和演藝綜合劇場項目），並將興建聚焦</w:t>
      </w:r>
      <w:r w:rsidRPr="006731FD">
        <w:rPr>
          <w:szCs w:val="28"/>
        </w:rPr>
        <w:t>20</w:t>
      </w:r>
      <w:r w:rsidRPr="006731FD">
        <w:rPr>
          <w:rFonts w:hint="eastAsia"/>
          <w:szCs w:val="28"/>
        </w:rPr>
        <w:t>及</w:t>
      </w:r>
      <w:r w:rsidRPr="006731FD">
        <w:rPr>
          <w:szCs w:val="28"/>
        </w:rPr>
        <w:t>21</w:t>
      </w:r>
      <w:r w:rsidRPr="006731FD">
        <w:rPr>
          <w:rFonts w:hint="eastAsia"/>
          <w:szCs w:val="28"/>
        </w:rPr>
        <w:t>世紀視覺文化的博物館「</w:t>
      </w:r>
      <w:r w:rsidRPr="006731FD">
        <w:rPr>
          <w:szCs w:val="28"/>
        </w:rPr>
        <w:t>M+</w:t>
      </w:r>
      <w:r w:rsidRPr="006731FD">
        <w:rPr>
          <w:rFonts w:hint="eastAsia"/>
          <w:szCs w:val="28"/>
        </w:rPr>
        <w:t>」和展示故宮博物院珍藏的香港故宮文化博物館。為增加區內活力，西九文化區將設有零售、餐飲和消閒設施，及酒店、辦公室和住宅項目，適切地與文化藝術設施和其他發展項目互相融合。</w:t>
      </w:r>
      <w:r w:rsidRPr="00BB35E6">
        <w:rPr>
          <w:rFonts w:hint="eastAsia"/>
          <w:szCs w:val="28"/>
        </w:rPr>
        <w:t>西九文化區管理局</w:t>
      </w:r>
      <w:r>
        <w:rPr>
          <w:rFonts w:hint="eastAsia"/>
          <w:szCs w:val="28"/>
        </w:rPr>
        <w:t>（</w:t>
      </w:r>
      <w:r w:rsidRPr="006731FD">
        <w:rPr>
          <w:rFonts w:hint="eastAsia"/>
          <w:szCs w:val="28"/>
        </w:rPr>
        <w:t>西九管理局</w:t>
      </w:r>
      <w:r>
        <w:rPr>
          <w:rFonts w:hint="eastAsia"/>
          <w:szCs w:val="28"/>
        </w:rPr>
        <w:t>）</w:t>
      </w:r>
      <w:r w:rsidRPr="006731FD">
        <w:rPr>
          <w:rFonts w:hint="eastAsia"/>
          <w:szCs w:val="28"/>
        </w:rPr>
        <w:t>已訂立通用暢道設施政策，旨在確保西九文化區及其活動，可供市民參與以享受藝術。</w:t>
      </w:r>
    </w:p>
    <w:p w:rsidR="00EE2A75" w:rsidRPr="006731FD"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szCs w:val="28"/>
        </w:rPr>
      </w:pPr>
      <w:r>
        <w:rPr>
          <w:rFonts w:hint="eastAsia"/>
          <w:szCs w:val="28"/>
        </w:rPr>
        <w:t>7.</w:t>
      </w:r>
      <w:r w:rsidRPr="006731FD">
        <w:rPr>
          <w:rFonts w:hint="eastAsia"/>
          <w:szCs w:val="28"/>
        </w:rPr>
        <w:tab/>
      </w:r>
      <w:r w:rsidRPr="006731FD">
        <w:rPr>
          <w:rFonts w:hint="eastAsia"/>
          <w:szCs w:val="28"/>
        </w:rPr>
        <w:t>戲曲中心於</w:t>
      </w:r>
      <w:r w:rsidRPr="006731FD">
        <w:rPr>
          <w:rFonts w:hint="eastAsia"/>
          <w:szCs w:val="28"/>
        </w:rPr>
        <w:t>2019</w:t>
      </w:r>
      <w:r w:rsidRPr="006731FD">
        <w:rPr>
          <w:rFonts w:hint="eastAsia"/>
          <w:szCs w:val="28"/>
        </w:rPr>
        <w:t>年</w:t>
      </w:r>
      <w:r w:rsidRPr="006731FD">
        <w:rPr>
          <w:rFonts w:hint="eastAsia"/>
          <w:szCs w:val="28"/>
        </w:rPr>
        <w:t>1</w:t>
      </w:r>
      <w:r w:rsidRPr="006731FD">
        <w:rPr>
          <w:rFonts w:hint="eastAsia"/>
          <w:szCs w:val="28"/>
        </w:rPr>
        <w:t>月正式開幕，是西九文化區的首個地標表演藝術場地。戲曲中心將成為世界級的表演場地，致力保存、推廣及發展戲曲（包括粵劇和其他劇種）。戲曲中心將重點呈獻優秀作品、支援新創作、促進研究、教育、培訓和交流，以及舉辦專業發展計劃，培育戲曲新星。西九管理局於開幕前推出連串免費節目，邀請公眾參與。除了戲曲表演外，開幕季節目包括導賞團、講座、工作坊及教育專場。戲曲中心的設施待開幕季於</w:t>
      </w:r>
      <w:r w:rsidRPr="006731FD">
        <w:rPr>
          <w:rFonts w:hint="eastAsia"/>
          <w:szCs w:val="28"/>
        </w:rPr>
        <w:t>2019</w:t>
      </w:r>
      <w:r w:rsidRPr="006731FD">
        <w:rPr>
          <w:rFonts w:hint="eastAsia"/>
          <w:szCs w:val="28"/>
        </w:rPr>
        <w:t>年第一季結束後，</w:t>
      </w:r>
      <w:r w:rsidRPr="006731FD">
        <w:rPr>
          <w:rFonts w:hint="eastAsia"/>
          <w:szCs w:val="28"/>
        </w:rPr>
        <w:lastRenderedPageBreak/>
        <w:t>將開放予租用節目。</w:t>
      </w:r>
    </w:p>
    <w:p w:rsidR="00EE2A75" w:rsidRPr="006731FD"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szCs w:val="28"/>
        </w:rPr>
        <w:t>8.</w:t>
      </w:r>
      <w:r w:rsidRPr="006731FD">
        <w:rPr>
          <w:rFonts w:hint="eastAsia"/>
          <w:szCs w:val="28"/>
        </w:rPr>
        <w:tab/>
      </w:r>
      <w:r w:rsidRPr="006731FD">
        <w:rPr>
          <w:rFonts w:hint="eastAsia"/>
          <w:szCs w:val="28"/>
        </w:rPr>
        <w:t>西九管理局會繼續與藝術團體、教育機構和社區合作，通過舉辦和協辦不同類型的優質文化藝術活動和擴闊香港與其他地方的文化交流，豐富香港市民的文化生活、拓展觀眾群、培育人才和促進專業發展，以配合西九文化區文化藝術設施的落成。政府和合作伙伴亦正透過多管齊下的方針，就發展藝術節目、拓展觀眾群、加強藝術教育及人才培訓，進一步加強香港的文化軟件。政府會結合這些方面的努力，與西九管理局攜手合作實現西九文化區的願景。</w:t>
      </w:r>
    </w:p>
    <w:p w:rsidR="00EE2A75" w:rsidRPr="00855BFF"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szCs w:val="28"/>
          <w:u w:val="single"/>
        </w:rPr>
      </w:pPr>
      <w:r w:rsidRPr="006731FD">
        <w:rPr>
          <w:rFonts w:hint="eastAsia"/>
          <w:szCs w:val="28"/>
          <w:u w:val="single"/>
        </w:rPr>
        <w:t>推廣文化藝術及參與文化藝術活動</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i/>
          <w:szCs w:val="28"/>
        </w:rPr>
      </w:pPr>
      <w:r w:rsidRPr="006731FD">
        <w:rPr>
          <w:rFonts w:hint="eastAsia"/>
          <w:i/>
          <w:szCs w:val="28"/>
        </w:rPr>
        <w:t>提供節目及協助</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szCs w:val="28"/>
        </w:rPr>
      </w:pPr>
      <w:r>
        <w:rPr>
          <w:rFonts w:hint="eastAsia"/>
          <w:szCs w:val="28"/>
        </w:rPr>
        <w:t>9.</w:t>
      </w:r>
      <w:r>
        <w:rPr>
          <w:szCs w:val="28"/>
        </w:rPr>
        <w:tab/>
      </w:r>
      <w:r w:rsidRPr="006731FD">
        <w:rPr>
          <w:rFonts w:hint="eastAsia"/>
          <w:szCs w:val="28"/>
        </w:rPr>
        <w:t>政府繼續透過不同資助計劃和向藝發局與九個主要演藝團體提供的資助金支援不同規模藝術團體和文化節目。康文署舉辦各式各樣、由本地或訪港的藝術家及世界各地藝術團體演出的節目。該署透過舉辦社區藝術節目、藝術教育和觀眾拓展活動，以及主題藝術節如介紹新創作的</w:t>
      </w:r>
      <w:r>
        <w:rPr>
          <w:rFonts w:hint="eastAsia"/>
          <w:szCs w:val="28"/>
          <w:lang w:eastAsia="zh-HK"/>
        </w:rPr>
        <w:t>“</w:t>
      </w:r>
      <w:r w:rsidRPr="006731FD">
        <w:rPr>
          <w:rFonts w:hint="eastAsia"/>
          <w:szCs w:val="28"/>
        </w:rPr>
        <w:t>新視野藝術節</w:t>
      </w:r>
      <w:r>
        <w:rPr>
          <w:rFonts w:hint="eastAsia"/>
          <w:szCs w:val="28"/>
          <w:lang w:eastAsia="zh-HK"/>
        </w:rPr>
        <w:t>”</w:t>
      </w:r>
      <w:r w:rsidRPr="006731FD">
        <w:rPr>
          <w:rFonts w:hint="eastAsia"/>
          <w:szCs w:val="28"/>
        </w:rPr>
        <w:t>等，令香港的文化節目更富姿采。康文署也繼續撥款資助香港藝術節，該節為一個致力豐富香港文化生活的主要國際藝術節。</w:t>
      </w:r>
    </w:p>
    <w:p w:rsidR="00EE2A75" w:rsidRPr="007C3C07"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szCs w:val="28"/>
        </w:rPr>
      </w:pPr>
      <w:r>
        <w:rPr>
          <w:rFonts w:hint="eastAsia"/>
          <w:szCs w:val="28"/>
        </w:rPr>
        <w:t>10.</w:t>
      </w:r>
      <w:r w:rsidRPr="006731FD">
        <w:rPr>
          <w:szCs w:val="28"/>
        </w:rPr>
        <w:tab/>
      </w:r>
      <w:r w:rsidRPr="006731FD">
        <w:rPr>
          <w:rFonts w:hint="eastAsia"/>
          <w:szCs w:val="28"/>
        </w:rPr>
        <w:t>為促進新進藝術家及中小型表演藝術團體的發展，康文署制訂有系統及可持續的發展策略，以增加這些藝團／藝術家的演出機會及加強宣傳他們的節目。例如，非牟利團體舉辦與藝術有關的活動時，可繼續以優惠租金租用康文署表演場地（香港體育館除外）。此外，該署自</w:t>
      </w:r>
      <w:r w:rsidRPr="006731FD">
        <w:rPr>
          <w:szCs w:val="28"/>
        </w:rPr>
        <w:t>2009</w:t>
      </w:r>
      <w:r w:rsidRPr="006731FD">
        <w:rPr>
          <w:rFonts w:hint="eastAsia"/>
          <w:szCs w:val="28"/>
        </w:rPr>
        <w:t>年</w:t>
      </w:r>
      <w:r w:rsidRPr="006731FD">
        <w:rPr>
          <w:szCs w:val="28"/>
        </w:rPr>
        <w:t>4</w:t>
      </w:r>
      <w:r w:rsidRPr="006731FD">
        <w:rPr>
          <w:rFonts w:hint="eastAsia"/>
          <w:szCs w:val="28"/>
        </w:rPr>
        <w:t>月於</w:t>
      </w:r>
      <w:r w:rsidRPr="006731FD">
        <w:rPr>
          <w:szCs w:val="28"/>
        </w:rPr>
        <w:t>12</w:t>
      </w:r>
      <w:r w:rsidRPr="006731FD">
        <w:rPr>
          <w:rFonts w:hint="eastAsia"/>
          <w:szCs w:val="28"/>
        </w:rPr>
        <w:t>個場地推行</w:t>
      </w:r>
      <w:r>
        <w:rPr>
          <w:rFonts w:hint="eastAsia"/>
          <w:szCs w:val="28"/>
          <w:lang w:eastAsia="zh-HK"/>
        </w:rPr>
        <w:t>“</w:t>
      </w:r>
      <w:r w:rsidRPr="006731FD">
        <w:rPr>
          <w:rFonts w:hint="eastAsia"/>
          <w:szCs w:val="28"/>
        </w:rPr>
        <w:t>場地伙伴計劃</w:t>
      </w:r>
      <w:r>
        <w:rPr>
          <w:rFonts w:hint="eastAsia"/>
          <w:szCs w:val="28"/>
          <w:lang w:eastAsia="zh-HK"/>
        </w:rPr>
        <w:t>”</w:t>
      </w:r>
      <w:r w:rsidRPr="006731FD">
        <w:rPr>
          <w:rFonts w:hint="eastAsia"/>
          <w:szCs w:val="28"/>
        </w:rPr>
        <w:t>，透過為伙伴藝團提供支援，（例如加強宣傳及提供額外節目製作撥款等措施），從而建立場地特色，並制訂以場地為本的市場策略，以深入鄰舍及鼓勵社區參與表演藝術的發展。</w:t>
      </w:r>
    </w:p>
    <w:p w:rsidR="00EE2A75" w:rsidRPr="006731FD"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szCs w:val="28"/>
        </w:rPr>
        <w:t>11.</w:t>
      </w:r>
      <w:r w:rsidRPr="006731FD">
        <w:rPr>
          <w:szCs w:val="28"/>
        </w:rPr>
        <w:tab/>
      </w:r>
      <w:r w:rsidRPr="006731FD">
        <w:rPr>
          <w:rFonts w:hint="eastAsia"/>
          <w:szCs w:val="28"/>
        </w:rPr>
        <w:t>政府會繼續鼓勵及推動中國內地及海外的文化藝術交流，以展示介紹香港藝術的精粹，為香港藝術家開創更多機會。過去數年，我們透過分配額外資源供藝術家申請或支持文化交流項目以加強這</w:t>
      </w:r>
      <w:r w:rsidRPr="006731FD">
        <w:rPr>
          <w:rFonts w:hint="eastAsia"/>
          <w:szCs w:val="28"/>
        </w:rPr>
        <w:lastRenderedPageBreak/>
        <w:t>方面的工作。民政事務局轄下的藝術發展基金亦為本地藝術團體和個人藝術家提供資助，以參與外訪文化交流項目。此外，藝發局利用新增資源介紹香港藝術家到各國際藝術活動和藝術巿場，與及支持他們的藝術創作在香港以外展演。</w:t>
      </w:r>
    </w:p>
    <w:p w:rsidR="00EE2A75" w:rsidRDefault="00EE2A75" w:rsidP="00EE2A75">
      <w:pPr>
        <w:tabs>
          <w:tab w:val="left" w:pos="1440"/>
        </w:tabs>
        <w:adjustRightInd w:val="0"/>
        <w:snapToGrid w:val="0"/>
        <w:spacing w:line="400" w:lineRule="atLeast"/>
        <w:jc w:val="both"/>
        <w:rPr>
          <w:szCs w:val="28"/>
        </w:rPr>
      </w:pPr>
    </w:p>
    <w:p w:rsidR="00EE2A75" w:rsidRPr="006731FD" w:rsidRDefault="00EE2A75" w:rsidP="00EE2A75">
      <w:pPr>
        <w:tabs>
          <w:tab w:val="left" w:pos="1440"/>
        </w:tabs>
        <w:adjustRightInd w:val="0"/>
        <w:snapToGrid w:val="0"/>
        <w:spacing w:line="400" w:lineRule="atLeast"/>
        <w:jc w:val="both"/>
        <w:rPr>
          <w:i/>
          <w:szCs w:val="28"/>
        </w:rPr>
      </w:pPr>
      <w:r w:rsidRPr="006731FD">
        <w:rPr>
          <w:rFonts w:hint="eastAsia"/>
          <w:i/>
          <w:szCs w:val="28"/>
        </w:rPr>
        <w:t>對電影業的支持</w:t>
      </w:r>
    </w:p>
    <w:p w:rsidR="00EE2A75"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szCs w:val="28"/>
        </w:rPr>
      </w:pPr>
      <w:r>
        <w:rPr>
          <w:rFonts w:hint="eastAsia"/>
          <w:szCs w:val="28"/>
        </w:rPr>
        <w:t>12.</w:t>
      </w:r>
      <w:r>
        <w:rPr>
          <w:szCs w:val="28"/>
        </w:rPr>
        <w:tab/>
      </w:r>
      <w:r w:rsidRPr="002A7C0B">
        <w:rPr>
          <w:rFonts w:eastAsia="華康香港標準楷書"/>
          <w:color w:val="000000"/>
          <w:kern w:val="0"/>
          <w:szCs w:val="28"/>
        </w:rPr>
        <w:t>政府致力為香港電影業的長遠發展營造有利環境。為此，在</w:t>
      </w:r>
      <w:r w:rsidRPr="002A7C0B">
        <w:rPr>
          <w:rFonts w:eastAsia="華康香港標準楷書"/>
          <w:color w:val="000000"/>
          <w:kern w:val="0"/>
          <w:szCs w:val="28"/>
        </w:rPr>
        <w:t>1998</w:t>
      </w:r>
      <w:r w:rsidRPr="002A7C0B">
        <w:rPr>
          <w:rFonts w:eastAsia="華康香港標準楷書"/>
          <w:color w:val="000000"/>
          <w:kern w:val="0"/>
          <w:szCs w:val="28"/>
        </w:rPr>
        <w:t>年</w:t>
      </w:r>
      <w:r w:rsidRPr="002A7C0B">
        <w:rPr>
          <w:rFonts w:eastAsia="華康香港標準楷書"/>
          <w:color w:val="000000"/>
          <w:kern w:val="0"/>
          <w:szCs w:val="28"/>
        </w:rPr>
        <w:t>4</w:t>
      </w:r>
      <w:r w:rsidRPr="002A7C0B">
        <w:rPr>
          <w:rFonts w:eastAsia="華康香港標準楷書"/>
          <w:color w:val="000000"/>
          <w:kern w:val="0"/>
          <w:szCs w:val="28"/>
        </w:rPr>
        <w:t>月，政府成立了電影服務統籌科，為本地電影</w:t>
      </w:r>
      <w:r w:rsidRPr="002A7C0B">
        <w:rPr>
          <w:rFonts w:eastAsia="華康香港標準楷書" w:hint="eastAsia"/>
          <w:color w:val="000000"/>
          <w:kern w:val="0"/>
          <w:szCs w:val="28"/>
        </w:rPr>
        <w:t>人才的培訓、</w:t>
      </w:r>
      <w:r w:rsidRPr="002A7C0B">
        <w:rPr>
          <w:rFonts w:eastAsia="華康香港標準楷書" w:hint="eastAsia"/>
          <w:color w:val="000000"/>
          <w:kern w:val="0"/>
          <w:szCs w:val="28"/>
          <w:lang w:val="en-GB"/>
        </w:rPr>
        <w:t>便利</w:t>
      </w:r>
      <w:r w:rsidRPr="002A7C0B">
        <w:rPr>
          <w:rFonts w:eastAsia="華康香港標準楷書" w:hint="eastAsia"/>
          <w:color w:val="000000"/>
          <w:kern w:val="0"/>
          <w:szCs w:val="28"/>
        </w:rPr>
        <w:t>電影</w:t>
      </w:r>
      <w:r w:rsidRPr="002A7C0B">
        <w:rPr>
          <w:rFonts w:eastAsia="華康香港標準楷書"/>
          <w:color w:val="000000"/>
          <w:kern w:val="0"/>
          <w:szCs w:val="28"/>
        </w:rPr>
        <w:t>製作</w:t>
      </w:r>
      <w:r w:rsidRPr="002A7C0B">
        <w:rPr>
          <w:rFonts w:eastAsia="華康香港標準楷書" w:hint="eastAsia"/>
          <w:color w:val="000000"/>
          <w:kern w:val="0"/>
          <w:szCs w:val="28"/>
        </w:rPr>
        <w:t>，以</w:t>
      </w:r>
      <w:r w:rsidRPr="002A7C0B">
        <w:rPr>
          <w:rFonts w:eastAsia="華康香港標準楷書"/>
          <w:color w:val="000000"/>
          <w:kern w:val="0"/>
          <w:szCs w:val="28"/>
        </w:rPr>
        <w:t>及在本地和海外推廣香港電影</w:t>
      </w:r>
      <w:r w:rsidRPr="002A7C0B">
        <w:rPr>
          <w:rFonts w:eastAsia="華康香港標準楷書" w:hint="eastAsia"/>
          <w:color w:val="000000"/>
          <w:kern w:val="0"/>
          <w:szCs w:val="28"/>
        </w:rPr>
        <w:t>，為業界提供支援；</w:t>
      </w:r>
      <w:r w:rsidRPr="002A7C0B">
        <w:rPr>
          <w:rFonts w:eastAsia="華康香港標準楷書" w:hint="eastAsia"/>
          <w:color w:val="000000"/>
          <w:kern w:val="0"/>
          <w:szCs w:val="28"/>
          <w:lang w:val="en-GB"/>
        </w:rPr>
        <w:t>並</w:t>
      </w:r>
      <w:r w:rsidRPr="002A7C0B">
        <w:rPr>
          <w:color w:val="000000"/>
          <w:kern w:val="0"/>
          <w:szCs w:val="28"/>
        </w:rPr>
        <w:t>透過發牌制度，規管電影拍攝時所燃放的特別效果物料</w:t>
      </w:r>
      <w:r w:rsidRPr="00D423B2">
        <w:rPr>
          <w:rFonts w:hint="eastAsia"/>
          <w:szCs w:val="28"/>
        </w:rPr>
        <w:t>。</w:t>
      </w:r>
    </w:p>
    <w:p w:rsidR="00EE2A75" w:rsidRPr="00D423B2"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szCs w:val="28"/>
        </w:rPr>
      </w:pPr>
      <w:r w:rsidRPr="00D423B2">
        <w:rPr>
          <w:szCs w:val="28"/>
        </w:rPr>
        <w:t>1</w:t>
      </w:r>
      <w:r>
        <w:rPr>
          <w:rFonts w:hint="eastAsia"/>
          <w:szCs w:val="28"/>
        </w:rPr>
        <w:t>3.</w:t>
      </w:r>
      <w:r w:rsidRPr="00D423B2">
        <w:rPr>
          <w:szCs w:val="28"/>
        </w:rPr>
        <w:tab/>
      </w:r>
      <w:r w:rsidRPr="002A7C0B">
        <w:rPr>
          <w:rFonts w:eastAsia="華康香港標準楷書"/>
          <w:szCs w:val="28"/>
        </w:rPr>
        <w:t>政府</w:t>
      </w:r>
      <w:r w:rsidRPr="002A7C0B">
        <w:rPr>
          <w:rFonts w:eastAsia="華康香港標準楷書" w:hint="eastAsia"/>
          <w:szCs w:val="28"/>
        </w:rPr>
        <w:t>隨後</w:t>
      </w:r>
      <w:r w:rsidRPr="002A7C0B">
        <w:rPr>
          <w:rFonts w:eastAsia="華康香港標準楷書"/>
          <w:szCs w:val="28"/>
        </w:rPr>
        <w:t>於</w:t>
      </w:r>
      <w:r w:rsidRPr="002A7C0B">
        <w:rPr>
          <w:rFonts w:eastAsia="華康香港標準楷書"/>
          <w:szCs w:val="28"/>
        </w:rPr>
        <w:t>1999</w:t>
      </w:r>
      <w:r w:rsidRPr="002A7C0B">
        <w:rPr>
          <w:rFonts w:eastAsia="華康香港標準楷書"/>
          <w:szCs w:val="28"/>
        </w:rPr>
        <w:t>年成立了「電影發展基金」</w:t>
      </w:r>
      <w:r w:rsidRPr="002A7C0B">
        <w:rPr>
          <w:rFonts w:eastAsia="華康香港標準楷書"/>
          <w:szCs w:val="28"/>
        </w:rPr>
        <w:t>(</w:t>
      </w:r>
      <w:r w:rsidRPr="002A7C0B">
        <w:rPr>
          <w:rFonts w:eastAsia="華康香港標準楷書"/>
          <w:szCs w:val="28"/>
        </w:rPr>
        <w:t>基金</w:t>
      </w:r>
      <w:r w:rsidRPr="002A7C0B">
        <w:rPr>
          <w:rFonts w:eastAsia="華康香港標準楷書"/>
          <w:szCs w:val="28"/>
        </w:rPr>
        <w:t>)</w:t>
      </w:r>
      <w:r w:rsidRPr="002A7C0B">
        <w:rPr>
          <w:rFonts w:eastAsia="華康香港標準楷書"/>
          <w:szCs w:val="28"/>
        </w:rPr>
        <w:t>，以資助對本港電影業長遠及持續發展有利的項目。</w:t>
      </w:r>
      <w:r w:rsidRPr="002A7C0B">
        <w:rPr>
          <w:rFonts w:eastAsia="華康香港標準楷書"/>
          <w:szCs w:val="28"/>
        </w:rPr>
        <w:t>2007</w:t>
      </w:r>
      <w:r w:rsidRPr="002A7C0B">
        <w:rPr>
          <w:rFonts w:eastAsia="華康香港標準楷書"/>
          <w:szCs w:val="28"/>
        </w:rPr>
        <w:t>年</w:t>
      </w:r>
      <w:r w:rsidRPr="002A7C0B">
        <w:rPr>
          <w:rFonts w:eastAsia="華康香港標準楷書"/>
          <w:szCs w:val="28"/>
        </w:rPr>
        <w:t>4</w:t>
      </w:r>
      <w:r w:rsidRPr="002A7C0B">
        <w:rPr>
          <w:rFonts w:eastAsia="華康香港標準楷書"/>
          <w:szCs w:val="28"/>
        </w:rPr>
        <w:t>月，政府成立了香港電影發展局</w:t>
      </w:r>
      <w:r w:rsidRPr="002A7C0B">
        <w:rPr>
          <w:rFonts w:eastAsia="華康香港標準楷書"/>
          <w:szCs w:val="28"/>
        </w:rPr>
        <w:t>(</w:t>
      </w:r>
      <w:r w:rsidRPr="002A7C0B">
        <w:rPr>
          <w:rFonts w:eastAsia="華康香港標準楷書"/>
          <w:szCs w:val="28"/>
        </w:rPr>
        <w:t>電影局</w:t>
      </w:r>
      <w:r w:rsidRPr="002A7C0B">
        <w:rPr>
          <w:rFonts w:eastAsia="華康香港標準楷書"/>
          <w:szCs w:val="28"/>
        </w:rPr>
        <w:t>)</w:t>
      </w:r>
      <w:r w:rsidRPr="002A7C0B">
        <w:rPr>
          <w:rFonts w:eastAsia="華康香港標準楷書"/>
          <w:szCs w:val="28"/>
        </w:rPr>
        <w:t>，</w:t>
      </w:r>
      <w:r w:rsidRPr="002A7C0B">
        <w:rPr>
          <w:rFonts w:eastAsia="華康香港標準楷書" w:hint="eastAsia"/>
          <w:szCs w:val="28"/>
        </w:rPr>
        <w:t>集合</w:t>
      </w:r>
      <w:r w:rsidRPr="002A7C0B">
        <w:rPr>
          <w:rFonts w:eastAsia="華康香港標準楷書"/>
          <w:szCs w:val="28"/>
        </w:rPr>
        <w:t>電影業</w:t>
      </w:r>
      <w:r w:rsidRPr="002A7C0B">
        <w:rPr>
          <w:rFonts w:eastAsia="華康香港標準楷書" w:hint="eastAsia"/>
          <w:szCs w:val="28"/>
        </w:rPr>
        <w:t>及相關界別代表</w:t>
      </w:r>
      <w:r w:rsidRPr="002A7C0B">
        <w:rPr>
          <w:rFonts w:eastAsia="華康香港標準楷書"/>
          <w:szCs w:val="28"/>
        </w:rPr>
        <w:t>，就推廣和發展</w:t>
      </w:r>
      <w:r w:rsidRPr="002A7C0B">
        <w:rPr>
          <w:rFonts w:eastAsia="華康香港標準楷書" w:hint="eastAsia"/>
          <w:szCs w:val="28"/>
        </w:rPr>
        <w:t>香港</w:t>
      </w:r>
      <w:r w:rsidRPr="002A7C0B">
        <w:rPr>
          <w:rFonts w:eastAsia="華康香港標準楷書"/>
          <w:szCs w:val="28"/>
        </w:rPr>
        <w:t>電影業的政策、策略和</w:t>
      </w:r>
      <w:r w:rsidRPr="002A7C0B">
        <w:rPr>
          <w:rFonts w:eastAsia="華康香港標準楷書" w:hint="eastAsia"/>
          <w:szCs w:val="28"/>
        </w:rPr>
        <w:t>機</w:t>
      </w:r>
      <w:r w:rsidRPr="002A7C0B">
        <w:rPr>
          <w:rFonts w:eastAsia="華康香港標準楷書"/>
          <w:szCs w:val="28"/>
        </w:rPr>
        <w:t>制，以及就運用和分配</w:t>
      </w:r>
      <w:r w:rsidRPr="002A7C0B">
        <w:rPr>
          <w:rFonts w:eastAsia="華康香港標準楷書" w:hint="eastAsia"/>
          <w:szCs w:val="28"/>
        </w:rPr>
        <w:t>基金資源</w:t>
      </w:r>
      <w:r w:rsidRPr="002A7C0B">
        <w:rPr>
          <w:rFonts w:eastAsia="華康香港標準楷書"/>
          <w:szCs w:val="28"/>
        </w:rPr>
        <w:t>，向政府提供意見。</w:t>
      </w:r>
    </w:p>
    <w:p w:rsidR="00EE2A75" w:rsidRPr="00D423B2"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rFonts w:eastAsia="華康香港標準楷書"/>
          <w:szCs w:val="28"/>
        </w:rPr>
      </w:pPr>
      <w:r w:rsidRPr="00D423B2">
        <w:rPr>
          <w:szCs w:val="28"/>
        </w:rPr>
        <w:t>1</w:t>
      </w:r>
      <w:r>
        <w:rPr>
          <w:rFonts w:hint="eastAsia"/>
          <w:szCs w:val="28"/>
        </w:rPr>
        <w:t>4.</w:t>
      </w:r>
      <w:r w:rsidRPr="00D423B2">
        <w:rPr>
          <w:szCs w:val="28"/>
        </w:rPr>
        <w:tab/>
      </w:r>
      <w:r w:rsidRPr="002A7C0B">
        <w:rPr>
          <w:rFonts w:eastAsia="華康香港標準楷書" w:hint="eastAsia"/>
          <w:szCs w:val="28"/>
        </w:rPr>
        <w:t>至</w:t>
      </w:r>
      <w:r w:rsidRPr="002A7C0B">
        <w:rPr>
          <w:rFonts w:eastAsia="華康香港標準楷書" w:hint="eastAsia"/>
          <w:szCs w:val="28"/>
        </w:rPr>
        <w:t>2018</w:t>
      </w:r>
      <w:r w:rsidRPr="002A7C0B">
        <w:rPr>
          <w:rFonts w:eastAsia="華康香港標準楷書" w:hint="eastAsia"/>
          <w:szCs w:val="28"/>
        </w:rPr>
        <w:t>年底</w:t>
      </w:r>
      <w:r w:rsidRPr="002A7C0B">
        <w:rPr>
          <w:rFonts w:ascii="標楷體" w:hAnsi="標楷體" w:hint="eastAsia"/>
          <w:szCs w:val="28"/>
        </w:rPr>
        <w:t>，</w:t>
      </w:r>
      <w:r w:rsidRPr="002A7C0B">
        <w:rPr>
          <w:rFonts w:eastAsia="華康香港標準楷書" w:hint="eastAsia"/>
          <w:szCs w:val="28"/>
        </w:rPr>
        <w:t>基金下各項資助計劃</w:t>
      </w:r>
      <w:r w:rsidRPr="002A7C0B">
        <w:rPr>
          <w:rFonts w:eastAsia="華康香港標準楷書" w:hint="eastAsia"/>
          <w:szCs w:val="28"/>
        </w:rPr>
        <w:t>(</w:t>
      </w:r>
      <w:r w:rsidRPr="002A7C0B">
        <w:rPr>
          <w:rFonts w:eastAsia="華康香港標準楷書" w:hint="eastAsia"/>
          <w:szCs w:val="28"/>
        </w:rPr>
        <w:t>例如「電影製作融資計劃」及「首部劇情電影計劃」等</w:t>
      </w:r>
      <w:r w:rsidRPr="002A7C0B">
        <w:rPr>
          <w:rFonts w:eastAsia="華康香港標準楷書" w:hint="eastAsia"/>
          <w:szCs w:val="28"/>
        </w:rPr>
        <w:t>)</w:t>
      </w:r>
      <w:r w:rsidRPr="002A7C0B">
        <w:rPr>
          <w:rFonts w:eastAsia="華康香港標準楷書" w:hint="eastAsia"/>
          <w:szCs w:val="28"/>
        </w:rPr>
        <w:t>共資助約</w:t>
      </w:r>
      <w:r w:rsidRPr="002A7C0B">
        <w:rPr>
          <w:rFonts w:eastAsia="華康香港標準楷書" w:hint="eastAsia"/>
          <w:szCs w:val="28"/>
        </w:rPr>
        <w:t>60</w:t>
      </w:r>
      <w:r w:rsidRPr="002A7C0B">
        <w:rPr>
          <w:rFonts w:eastAsia="華康香港標準楷書" w:hint="eastAsia"/>
          <w:szCs w:val="28"/>
        </w:rPr>
        <w:t>部電影製作及超過</w:t>
      </w:r>
      <w:r w:rsidRPr="002A7C0B">
        <w:rPr>
          <w:rFonts w:eastAsia="華康香港標準楷書"/>
          <w:szCs w:val="28"/>
        </w:rPr>
        <w:t>2</w:t>
      </w:r>
      <w:r w:rsidRPr="002A7C0B">
        <w:rPr>
          <w:rFonts w:eastAsia="華康香港標準楷書" w:hint="eastAsia"/>
          <w:szCs w:val="28"/>
        </w:rPr>
        <w:t>1</w:t>
      </w:r>
      <w:r w:rsidRPr="002A7C0B">
        <w:rPr>
          <w:rFonts w:eastAsia="華康香港標準楷書"/>
          <w:szCs w:val="28"/>
        </w:rPr>
        <w:t>0</w:t>
      </w:r>
      <w:r w:rsidRPr="002A7C0B">
        <w:rPr>
          <w:rFonts w:eastAsia="華康香港標準楷書" w:hint="eastAsia"/>
          <w:szCs w:val="28"/>
        </w:rPr>
        <w:t>個其他電影相關項目，投放合共約</w:t>
      </w:r>
      <w:r w:rsidRPr="002A7C0B">
        <w:rPr>
          <w:rFonts w:eastAsia="華康香港標準楷書"/>
          <w:szCs w:val="28"/>
        </w:rPr>
        <w:t>4</w:t>
      </w:r>
      <w:r w:rsidRPr="002A7C0B">
        <w:rPr>
          <w:rFonts w:eastAsia="華康香港標準楷書" w:hint="eastAsia"/>
          <w:szCs w:val="28"/>
        </w:rPr>
        <w:t>億</w:t>
      </w:r>
      <w:r w:rsidRPr="002A7C0B">
        <w:rPr>
          <w:rFonts w:eastAsia="華康香港標準楷書" w:hint="eastAsia"/>
          <w:szCs w:val="28"/>
        </w:rPr>
        <w:t>9</w:t>
      </w:r>
      <w:r w:rsidRPr="002A7C0B">
        <w:rPr>
          <w:rFonts w:eastAsia="華康香港標準楷書"/>
          <w:szCs w:val="28"/>
        </w:rPr>
        <w:t>,</w:t>
      </w:r>
      <w:r w:rsidRPr="002A7C0B">
        <w:rPr>
          <w:rFonts w:eastAsia="華康香港標準楷書" w:hint="eastAsia"/>
          <w:szCs w:val="28"/>
        </w:rPr>
        <w:t>5</w:t>
      </w:r>
      <w:r w:rsidRPr="002A7C0B">
        <w:rPr>
          <w:rFonts w:eastAsia="華康香港標準楷書"/>
          <w:szCs w:val="28"/>
        </w:rPr>
        <w:t>00</w:t>
      </w:r>
      <w:r w:rsidRPr="002A7C0B">
        <w:rPr>
          <w:rFonts w:eastAsia="華康香港標準楷書" w:hint="eastAsia"/>
          <w:szCs w:val="28"/>
        </w:rPr>
        <w:t>萬元，當中起用了約</w:t>
      </w:r>
      <w:r w:rsidRPr="002A7C0B">
        <w:rPr>
          <w:rFonts w:eastAsia="華康香港標準楷書" w:hint="eastAsia"/>
          <w:szCs w:val="28"/>
        </w:rPr>
        <w:t>40</w:t>
      </w:r>
      <w:r w:rsidRPr="002A7C0B">
        <w:rPr>
          <w:rFonts w:eastAsia="華康香港標準楷書" w:hint="eastAsia"/>
          <w:szCs w:val="28"/>
        </w:rPr>
        <w:t>名新進導演，</w:t>
      </w:r>
      <w:r w:rsidRPr="002A7C0B">
        <w:rPr>
          <w:rFonts w:eastAsia="華康香港標準楷書"/>
          <w:szCs w:val="28"/>
        </w:rPr>
        <w:t>贏得超過</w:t>
      </w:r>
      <w:r w:rsidRPr="002A7C0B">
        <w:rPr>
          <w:rFonts w:eastAsia="華康香港標準楷書"/>
          <w:szCs w:val="28"/>
        </w:rPr>
        <w:t>110</w:t>
      </w:r>
      <w:r w:rsidRPr="002A7C0B">
        <w:rPr>
          <w:rFonts w:eastAsia="華康香港標準楷書"/>
          <w:szCs w:val="28"/>
        </w:rPr>
        <w:t>個本地和國際獎項</w:t>
      </w:r>
      <w:r w:rsidRPr="002A7C0B">
        <w:rPr>
          <w:rFonts w:eastAsia="華康香港標準楷書" w:hint="eastAsia"/>
          <w:szCs w:val="28"/>
        </w:rPr>
        <w:t>。基金亦提供了約</w:t>
      </w:r>
      <w:r w:rsidRPr="002A7C0B">
        <w:rPr>
          <w:rFonts w:eastAsia="華康香港標準楷書"/>
          <w:szCs w:val="28"/>
        </w:rPr>
        <w:t>600</w:t>
      </w:r>
      <w:r w:rsidRPr="002A7C0B">
        <w:rPr>
          <w:rFonts w:eastAsia="華康香港標準楷書" w:hint="eastAsia"/>
          <w:szCs w:val="28"/>
        </w:rPr>
        <w:t>個培訓機會，涵蓋包括副導演、製片、後期製作、美術等專業。</w:t>
      </w:r>
    </w:p>
    <w:p w:rsidR="00EE2A75" w:rsidRDefault="00EE2A75" w:rsidP="00EE2A75">
      <w:pPr>
        <w:tabs>
          <w:tab w:val="left" w:pos="1440"/>
        </w:tabs>
        <w:adjustRightInd w:val="0"/>
        <w:snapToGrid w:val="0"/>
        <w:spacing w:line="400" w:lineRule="atLeast"/>
        <w:jc w:val="both"/>
        <w:rPr>
          <w:rFonts w:eastAsia="華康香港標準楷書"/>
          <w:szCs w:val="28"/>
        </w:rPr>
      </w:pPr>
    </w:p>
    <w:p w:rsidR="00EE2A75" w:rsidRDefault="00EE2A75" w:rsidP="00EE2A75">
      <w:pPr>
        <w:tabs>
          <w:tab w:val="left" w:pos="1440"/>
        </w:tabs>
        <w:adjustRightInd w:val="0"/>
        <w:snapToGrid w:val="0"/>
        <w:spacing w:line="400" w:lineRule="atLeast"/>
        <w:jc w:val="both"/>
        <w:rPr>
          <w:szCs w:val="28"/>
        </w:rPr>
      </w:pPr>
      <w:r>
        <w:rPr>
          <w:rFonts w:eastAsia="華康香港標準楷書" w:hint="eastAsia"/>
          <w:szCs w:val="28"/>
        </w:rPr>
        <w:t>15.</w:t>
      </w:r>
      <w:r>
        <w:rPr>
          <w:rFonts w:eastAsia="華康香港標準楷書"/>
          <w:szCs w:val="28"/>
        </w:rPr>
        <w:tab/>
      </w:r>
      <w:r w:rsidRPr="002A7C0B">
        <w:rPr>
          <w:rFonts w:eastAsia="華康香港標準楷書" w:hint="eastAsia"/>
          <w:color w:val="000000"/>
          <w:kern w:val="0"/>
          <w:szCs w:val="28"/>
        </w:rPr>
        <w:t>行政長官在《</w:t>
      </w:r>
      <w:r w:rsidRPr="002A7C0B">
        <w:rPr>
          <w:rFonts w:eastAsia="華康香港標準楷書" w:hint="eastAsia"/>
          <w:color w:val="000000"/>
          <w:kern w:val="0"/>
          <w:szCs w:val="28"/>
        </w:rPr>
        <w:t>2018</w:t>
      </w:r>
      <w:r w:rsidRPr="002A7C0B">
        <w:rPr>
          <w:rFonts w:eastAsia="華康香港標準楷書" w:hint="eastAsia"/>
          <w:color w:val="000000"/>
          <w:kern w:val="0"/>
          <w:szCs w:val="28"/>
        </w:rPr>
        <w:t>年施政報告》中提出向基金注資</w:t>
      </w:r>
      <w:r w:rsidRPr="002A7C0B">
        <w:rPr>
          <w:rFonts w:eastAsia="華康香港標準楷書" w:hint="eastAsia"/>
          <w:color w:val="000000"/>
          <w:kern w:val="0"/>
          <w:szCs w:val="28"/>
        </w:rPr>
        <w:t>10</w:t>
      </w:r>
      <w:r w:rsidRPr="002A7C0B">
        <w:rPr>
          <w:rFonts w:eastAsia="華康香港標準楷書" w:hint="eastAsia"/>
          <w:color w:val="000000"/>
          <w:kern w:val="0"/>
          <w:szCs w:val="28"/>
        </w:rPr>
        <w:t>億元，</w:t>
      </w:r>
      <w:r w:rsidRPr="002A7C0B">
        <w:rPr>
          <w:rFonts w:eastAsia="華康香港標準楷書"/>
          <w:color w:val="000000"/>
          <w:kern w:val="0"/>
          <w:szCs w:val="28"/>
        </w:rPr>
        <w:t>循四大方向，包括人才培訓、提升港產片製作、開拓市場，以及拓展觀眾</w:t>
      </w:r>
      <w:r w:rsidRPr="002A7C0B">
        <w:rPr>
          <w:rFonts w:eastAsia="華康香港標準楷書" w:hint="eastAsia"/>
          <w:color w:val="000000"/>
          <w:kern w:val="0"/>
          <w:szCs w:val="28"/>
        </w:rPr>
        <w:t>群，以推動香港電影業的進一步發展。</w:t>
      </w:r>
    </w:p>
    <w:p w:rsidR="00EE2A75"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i/>
          <w:szCs w:val="28"/>
        </w:rPr>
      </w:pPr>
      <w:r w:rsidRPr="00D423B2">
        <w:rPr>
          <w:rFonts w:hint="eastAsia"/>
          <w:i/>
          <w:szCs w:val="28"/>
        </w:rPr>
        <w:t>非物質文化遺產</w:t>
      </w:r>
    </w:p>
    <w:p w:rsidR="00EE2A75"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szCs w:val="28"/>
        </w:rPr>
      </w:pPr>
      <w:r>
        <w:rPr>
          <w:rFonts w:hint="eastAsia"/>
          <w:szCs w:val="28"/>
        </w:rPr>
        <w:t>1</w:t>
      </w:r>
      <w:r>
        <w:rPr>
          <w:szCs w:val="28"/>
        </w:rPr>
        <w:t>6.</w:t>
      </w:r>
      <w:r>
        <w:rPr>
          <w:szCs w:val="28"/>
        </w:rPr>
        <w:tab/>
      </w:r>
      <w:r w:rsidRPr="00D423B2">
        <w:rPr>
          <w:rFonts w:hint="eastAsia"/>
          <w:szCs w:val="28"/>
        </w:rPr>
        <w:t>為鼓勵公眾參與保護非物質文化遺產</w:t>
      </w:r>
      <w:r>
        <w:rPr>
          <w:rFonts w:hint="eastAsia"/>
          <w:szCs w:val="28"/>
          <w:lang w:eastAsia="zh-HK"/>
        </w:rPr>
        <w:t>（</w:t>
      </w:r>
      <w:r w:rsidRPr="00D423B2">
        <w:rPr>
          <w:rFonts w:hint="eastAsia"/>
          <w:szCs w:val="28"/>
        </w:rPr>
        <w:t>非遺</w:t>
      </w:r>
      <w:r>
        <w:rPr>
          <w:rFonts w:hint="eastAsia"/>
          <w:szCs w:val="28"/>
          <w:lang w:eastAsia="zh-HK"/>
        </w:rPr>
        <w:t>）</w:t>
      </w:r>
      <w:r w:rsidRPr="00D423B2">
        <w:rPr>
          <w:rFonts w:hint="eastAsia"/>
          <w:szCs w:val="28"/>
        </w:rPr>
        <w:t>的工作，以及確保本地文化傳統得以持續發展，政府在過去推出多項主要措施，包括於</w:t>
      </w:r>
      <w:r w:rsidRPr="00D423B2">
        <w:rPr>
          <w:rFonts w:hint="eastAsia"/>
          <w:szCs w:val="28"/>
        </w:rPr>
        <w:t>2008</w:t>
      </w:r>
      <w:r w:rsidRPr="00D423B2">
        <w:rPr>
          <w:rFonts w:hint="eastAsia"/>
          <w:szCs w:val="28"/>
        </w:rPr>
        <w:t>年成立非物質文化遺產諮詢委員會，就保護措施的執行事宜向政府提供意見；</w:t>
      </w:r>
      <w:r w:rsidRPr="00D423B2">
        <w:rPr>
          <w:rFonts w:hint="eastAsia"/>
          <w:szCs w:val="28"/>
        </w:rPr>
        <w:t>2014</w:t>
      </w:r>
      <w:r w:rsidRPr="00D423B2">
        <w:rPr>
          <w:rFonts w:hint="eastAsia"/>
          <w:szCs w:val="28"/>
        </w:rPr>
        <w:t>年公布香港首份非遺清單（涵蓋</w:t>
      </w:r>
      <w:r w:rsidRPr="00D423B2">
        <w:rPr>
          <w:rFonts w:hint="eastAsia"/>
          <w:szCs w:val="28"/>
        </w:rPr>
        <w:t>480</w:t>
      </w:r>
      <w:r w:rsidRPr="00D423B2">
        <w:rPr>
          <w:rFonts w:hint="eastAsia"/>
          <w:szCs w:val="28"/>
        </w:rPr>
        <w:t>個</w:t>
      </w:r>
      <w:r w:rsidRPr="00D423B2">
        <w:rPr>
          <w:rFonts w:hint="eastAsia"/>
          <w:szCs w:val="28"/>
        </w:rPr>
        <w:lastRenderedPageBreak/>
        <w:t>項目）；</w:t>
      </w:r>
      <w:r w:rsidRPr="00D423B2">
        <w:rPr>
          <w:rFonts w:hint="eastAsia"/>
          <w:szCs w:val="28"/>
        </w:rPr>
        <w:t>2015</w:t>
      </w:r>
      <w:r w:rsidRPr="00D423B2">
        <w:rPr>
          <w:rFonts w:hint="eastAsia"/>
          <w:szCs w:val="28"/>
        </w:rPr>
        <w:t>年成立專責的非物質文化遺產辦事處；</w:t>
      </w:r>
      <w:r w:rsidRPr="00D423B2">
        <w:rPr>
          <w:rFonts w:hint="eastAsia"/>
          <w:szCs w:val="28"/>
        </w:rPr>
        <w:t>2016</w:t>
      </w:r>
      <w:r w:rsidRPr="00D423B2">
        <w:rPr>
          <w:rFonts w:hint="eastAsia"/>
          <w:szCs w:val="28"/>
        </w:rPr>
        <w:t>年在三棟屋博物館設立香港非物質文化遺產中心；以及</w:t>
      </w:r>
      <w:r w:rsidRPr="00D423B2">
        <w:rPr>
          <w:rFonts w:hint="eastAsia"/>
          <w:szCs w:val="28"/>
        </w:rPr>
        <w:t>2017</w:t>
      </w:r>
      <w:r w:rsidRPr="00D423B2">
        <w:rPr>
          <w:rFonts w:hint="eastAsia"/>
          <w:szCs w:val="28"/>
        </w:rPr>
        <w:t>年公布首份香港非遺代表作名錄（涵蓋</w:t>
      </w:r>
      <w:r w:rsidRPr="00D423B2">
        <w:rPr>
          <w:rFonts w:hint="eastAsia"/>
          <w:szCs w:val="28"/>
        </w:rPr>
        <w:t>20</w:t>
      </w:r>
      <w:r w:rsidRPr="00D423B2">
        <w:rPr>
          <w:rFonts w:hint="eastAsia"/>
          <w:szCs w:val="28"/>
        </w:rPr>
        <w:t>個項目）。</w:t>
      </w:r>
      <w:r w:rsidRPr="00D423B2">
        <w:rPr>
          <w:rFonts w:hint="eastAsia"/>
          <w:szCs w:val="28"/>
        </w:rPr>
        <w:t>2019</w:t>
      </w:r>
      <w:r w:rsidRPr="00D423B2">
        <w:rPr>
          <w:rFonts w:hint="eastAsia"/>
          <w:szCs w:val="28"/>
        </w:rPr>
        <w:t>年</w:t>
      </w:r>
      <w:r w:rsidRPr="00D423B2">
        <w:rPr>
          <w:rFonts w:hint="eastAsia"/>
          <w:szCs w:val="28"/>
        </w:rPr>
        <w:t>3</w:t>
      </w:r>
      <w:r w:rsidRPr="00D423B2">
        <w:rPr>
          <w:rFonts w:hint="eastAsia"/>
          <w:szCs w:val="28"/>
        </w:rPr>
        <w:t>月，康文署會利用</w:t>
      </w:r>
      <w:r w:rsidRPr="00D423B2">
        <w:rPr>
          <w:rFonts w:hint="eastAsia"/>
          <w:szCs w:val="28"/>
        </w:rPr>
        <w:t>3</w:t>
      </w:r>
      <w:r w:rsidRPr="00D423B2">
        <w:rPr>
          <w:rFonts w:hint="eastAsia"/>
          <w:szCs w:val="28"/>
        </w:rPr>
        <w:t>億元的撥款推行一項新的非遺資助計劃，推動社區參與和加強對香港非遺的保護、研究、教育、推廣和傳承，提升公眾對非遺的認識和重視。</w:t>
      </w:r>
    </w:p>
    <w:p w:rsidR="00EE2A75" w:rsidRPr="00D423B2"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szCs w:val="28"/>
        </w:rPr>
      </w:pPr>
      <w:r w:rsidRPr="00D423B2">
        <w:rPr>
          <w:szCs w:val="28"/>
        </w:rPr>
        <w:t>1</w:t>
      </w:r>
      <w:r>
        <w:rPr>
          <w:rFonts w:hint="eastAsia"/>
          <w:szCs w:val="28"/>
        </w:rPr>
        <w:t>7.</w:t>
      </w:r>
      <w:r w:rsidRPr="00D423B2">
        <w:rPr>
          <w:szCs w:val="28"/>
        </w:rPr>
        <w:tab/>
        <w:t>2009</w:t>
      </w:r>
      <w:r w:rsidRPr="00D423B2">
        <w:rPr>
          <w:rFonts w:hint="eastAsia"/>
          <w:szCs w:val="28"/>
        </w:rPr>
        <w:t>年</w:t>
      </w:r>
      <w:r w:rsidRPr="00D423B2">
        <w:rPr>
          <w:szCs w:val="28"/>
        </w:rPr>
        <w:t>9</w:t>
      </w:r>
      <w:r w:rsidRPr="00D423B2">
        <w:rPr>
          <w:rFonts w:hint="eastAsia"/>
          <w:szCs w:val="28"/>
        </w:rPr>
        <w:t>月，聯合國教育、科學及文化組織通過粵港澳三地政府經中央政府提出的申請，批准粵劇列入《人類非物質文化遺產代表作名錄》，成為世界級非物質文化遺產項目。</w:t>
      </w:r>
    </w:p>
    <w:p w:rsidR="00EE2A75" w:rsidRPr="00D423B2"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sidRPr="00D423B2">
        <w:rPr>
          <w:szCs w:val="28"/>
        </w:rPr>
        <w:t>1</w:t>
      </w:r>
      <w:r>
        <w:rPr>
          <w:szCs w:val="28"/>
        </w:rPr>
        <w:t>8</w:t>
      </w:r>
      <w:r>
        <w:rPr>
          <w:rFonts w:hint="eastAsia"/>
          <w:szCs w:val="28"/>
        </w:rPr>
        <w:t>.</w:t>
      </w:r>
      <w:r w:rsidRPr="00D423B2">
        <w:rPr>
          <w:szCs w:val="28"/>
        </w:rPr>
        <w:tab/>
      </w:r>
      <w:r w:rsidRPr="00D423B2">
        <w:rPr>
          <w:rFonts w:hint="eastAsia"/>
          <w:szCs w:val="28"/>
        </w:rPr>
        <w:t>政府會繼續透過康文署、藝發局和香港演藝學院等多個渠道，致力保存、推廣和發展粵劇。政府在</w:t>
      </w:r>
      <w:r w:rsidRPr="00D423B2">
        <w:rPr>
          <w:szCs w:val="28"/>
        </w:rPr>
        <w:t>2005</w:t>
      </w:r>
      <w:r w:rsidRPr="00D423B2">
        <w:rPr>
          <w:rFonts w:hint="eastAsia"/>
          <w:szCs w:val="28"/>
        </w:rPr>
        <w:t>年設立粵劇發展基金，資助有關粵劇保存、推廣及發展的計劃和活動。該基金至今已為近</w:t>
      </w:r>
      <w:r>
        <w:rPr>
          <w:szCs w:val="28"/>
        </w:rPr>
        <w:t>800</w:t>
      </w:r>
      <w:r w:rsidRPr="00D423B2">
        <w:rPr>
          <w:rFonts w:hint="eastAsia"/>
          <w:szCs w:val="28"/>
        </w:rPr>
        <w:t>項計劃提供約</w:t>
      </w:r>
      <w:r w:rsidRPr="00D423B2">
        <w:rPr>
          <w:szCs w:val="28"/>
        </w:rPr>
        <w:t>1</w:t>
      </w:r>
      <w:r w:rsidRPr="00D423B2">
        <w:rPr>
          <w:rFonts w:hint="eastAsia"/>
          <w:szCs w:val="28"/>
        </w:rPr>
        <w:t>億元資助。基金於</w:t>
      </w:r>
      <w:r w:rsidRPr="00D423B2">
        <w:rPr>
          <w:szCs w:val="28"/>
        </w:rPr>
        <w:t>2018</w:t>
      </w:r>
      <w:r w:rsidRPr="00D423B2">
        <w:rPr>
          <w:rFonts w:hint="eastAsia"/>
          <w:szCs w:val="28"/>
        </w:rPr>
        <w:t>年獲政府注資</w:t>
      </w:r>
      <w:r w:rsidRPr="00D423B2">
        <w:rPr>
          <w:szCs w:val="28"/>
        </w:rPr>
        <w:t>7</w:t>
      </w:r>
      <w:r>
        <w:rPr>
          <w:szCs w:val="28"/>
        </w:rPr>
        <w:t> </w:t>
      </w:r>
      <w:r w:rsidRPr="00D423B2">
        <w:rPr>
          <w:szCs w:val="28"/>
        </w:rPr>
        <w:t>000</w:t>
      </w:r>
      <w:r w:rsidRPr="00D423B2">
        <w:rPr>
          <w:rFonts w:hint="eastAsia"/>
          <w:szCs w:val="28"/>
        </w:rPr>
        <w:t>萬元後，已於</w:t>
      </w:r>
      <w:r w:rsidRPr="00D423B2">
        <w:rPr>
          <w:szCs w:val="28"/>
        </w:rPr>
        <w:t>2018</w:t>
      </w:r>
      <w:r w:rsidRPr="00D423B2">
        <w:rPr>
          <w:rFonts w:hint="eastAsia"/>
          <w:szCs w:val="28"/>
        </w:rPr>
        <w:t>年底推出新的資助措施，以加強支持粵劇發展，包括開放接受本港中小學校申請有關藝術教育範疇的資助，以鼓勵學校在學校層面推展粵劇教育。</w:t>
      </w:r>
    </w:p>
    <w:p w:rsidR="00EE2A75"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i/>
          <w:szCs w:val="28"/>
        </w:rPr>
      </w:pPr>
      <w:r w:rsidRPr="00D423B2">
        <w:rPr>
          <w:rFonts w:hint="eastAsia"/>
          <w:i/>
          <w:szCs w:val="28"/>
        </w:rPr>
        <w:t>香港藝術發展局</w:t>
      </w:r>
    </w:p>
    <w:p w:rsidR="00EE2A75" w:rsidRDefault="00EE2A75" w:rsidP="00EE2A75">
      <w:pPr>
        <w:tabs>
          <w:tab w:val="left" w:pos="1440"/>
        </w:tabs>
        <w:adjustRightInd w:val="0"/>
        <w:snapToGrid w:val="0"/>
        <w:spacing w:line="400" w:lineRule="atLeast"/>
        <w:jc w:val="both"/>
        <w:rPr>
          <w:szCs w:val="28"/>
        </w:rPr>
      </w:pPr>
    </w:p>
    <w:p w:rsidR="00EE2A75" w:rsidRPr="00D423B2" w:rsidRDefault="00EE2A75" w:rsidP="00EE2A75">
      <w:pPr>
        <w:tabs>
          <w:tab w:val="left" w:pos="1440"/>
        </w:tabs>
        <w:adjustRightInd w:val="0"/>
        <w:snapToGrid w:val="0"/>
        <w:spacing w:line="400" w:lineRule="atLeast"/>
        <w:jc w:val="both"/>
        <w:rPr>
          <w:szCs w:val="28"/>
        </w:rPr>
      </w:pPr>
      <w:r>
        <w:rPr>
          <w:rFonts w:hint="eastAsia"/>
          <w:szCs w:val="28"/>
        </w:rPr>
        <w:t>1</w:t>
      </w:r>
      <w:r>
        <w:rPr>
          <w:szCs w:val="28"/>
        </w:rPr>
        <w:t>9</w:t>
      </w:r>
      <w:r>
        <w:rPr>
          <w:rFonts w:hint="eastAsia"/>
          <w:szCs w:val="28"/>
        </w:rPr>
        <w:t>.</w:t>
      </w:r>
      <w:r>
        <w:rPr>
          <w:szCs w:val="28"/>
        </w:rPr>
        <w:tab/>
      </w:r>
      <w:r w:rsidRPr="00D423B2">
        <w:rPr>
          <w:rFonts w:hint="eastAsia"/>
          <w:szCs w:val="28"/>
        </w:rPr>
        <w:t>藝發局於</w:t>
      </w:r>
      <w:r w:rsidRPr="00D423B2">
        <w:rPr>
          <w:rFonts w:hint="eastAsia"/>
          <w:szCs w:val="28"/>
        </w:rPr>
        <w:t>1995</w:t>
      </w:r>
      <w:r w:rsidRPr="00D423B2">
        <w:rPr>
          <w:rFonts w:hint="eastAsia"/>
          <w:szCs w:val="28"/>
        </w:rPr>
        <w:t>年根據</w:t>
      </w:r>
      <w:r w:rsidRPr="003F3BD2">
        <w:rPr>
          <w:rFonts w:hint="eastAsia"/>
          <w:szCs w:val="28"/>
        </w:rPr>
        <w:t>《</w:t>
      </w:r>
      <w:r w:rsidRPr="00D423B2">
        <w:rPr>
          <w:rFonts w:hint="eastAsia"/>
          <w:szCs w:val="28"/>
        </w:rPr>
        <w:t>香港藝術發展局條例</w:t>
      </w:r>
      <w:r w:rsidRPr="003F3BD2">
        <w:rPr>
          <w:rFonts w:hint="eastAsia"/>
          <w:szCs w:val="28"/>
        </w:rPr>
        <w:t>》</w:t>
      </w:r>
      <w:r>
        <w:rPr>
          <w:rFonts w:hint="eastAsia"/>
          <w:szCs w:val="28"/>
        </w:rPr>
        <w:t>（</w:t>
      </w:r>
      <w:r>
        <w:rPr>
          <w:rFonts w:hint="eastAsia"/>
          <w:szCs w:val="28"/>
          <w:lang w:eastAsia="zh-HK"/>
        </w:rPr>
        <w:t>第</w:t>
      </w:r>
      <w:r>
        <w:rPr>
          <w:rFonts w:hint="eastAsia"/>
          <w:szCs w:val="28"/>
        </w:rPr>
        <w:t>472</w:t>
      </w:r>
      <w:r>
        <w:rPr>
          <w:rFonts w:hint="eastAsia"/>
          <w:szCs w:val="28"/>
          <w:lang w:eastAsia="zh-HK"/>
        </w:rPr>
        <w:t>章</w:t>
      </w:r>
      <w:r>
        <w:rPr>
          <w:rFonts w:hint="eastAsia"/>
          <w:szCs w:val="28"/>
        </w:rPr>
        <w:t>）</w:t>
      </w:r>
      <w:r w:rsidRPr="00D423B2">
        <w:rPr>
          <w:rFonts w:hint="eastAsia"/>
          <w:szCs w:val="28"/>
        </w:rPr>
        <w:t>成立，是政府指定全方位發展香港藝術的法定機構。藝發局的角色包括資助、政策及策劃、倡議、推廣及發展、策劃活動等。藝發局主要透過不同類型的資助計劃，支持本地藝術工作者和藝團的發展。該局亦分別設有藝術顧問和審批員，協助藝術界別策劃及推動界內的事務審批資助申請和撥款計劃，與及審批資助申請和撥款計劃。截至</w:t>
      </w:r>
      <w:r w:rsidRPr="00D423B2">
        <w:rPr>
          <w:rFonts w:hint="eastAsia"/>
          <w:szCs w:val="28"/>
        </w:rPr>
        <w:t>2018-19</w:t>
      </w:r>
      <w:r w:rsidRPr="00D423B2">
        <w:rPr>
          <w:rFonts w:hint="eastAsia"/>
          <w:szCs w:val="28"/>
        </w:rPr>
        <w:t>年，政府向藝發局提供的資助金與上一次報告時的水平比較已增加了約一倍。</w:t>
      </w:r>
    </w:p>
    <w:p w:rsidR="00EE2A75" w:rsidRPr="00D423B2" w:rsidRDefault="00EE2A75" w:rsidP="00EE2A75">
      <w:pPr>
        <w:tabs>
          <w:tab w:val="left" w:pos="1440"/>
        </w:tabs>
        <w:adjustRightInd w:val="0"/>
        <w:snapToGrid w:val="0"/>
        <w:spacing w:line="400" w:lineRule="atLeast"/>
        <w:jc w:val="both"/>
        <w:rPr>
          <w:szCs w:val="28"/>
        </w:rPr>
      </w:pPr>
    </w:p>
    <w:p w:rsidR="00EE2A75" w:rsidRPr="00A5344E" w:rsidRDefault="00EE2A75" w:rsidP="00EE2A75">
      <w:pPr>
        <w:tabs>
          <w:tab w:val="left" w:pos="1440"/>
        </w:tabs>
        <w:adjustRightInd w:val="0"/>
        <w:snapToGrid w:val="0"/>
        <w:spacing w:line="400" w:lineRule="atLeast"/>
        <w:jc w:val="both"/>
      </w:pPr>
      <w:r>
        <w:rPr>
          <w:szCs w:val="28"/>
        </w:rPr>
        <w:t>20</w:t>
      </w:r>
      <w:r>
        <w:rPr>
          <w:rFonts w:hint="eastAsia"/>
          <w:szCs w:val="28"/>
        </w:rPr>
        <w:t>.</w:t>
      </w:r>
      <w:r w:rsidRPr="00D423B2">
        <w:rPr>
          <w:rFonts w:hint="eastAsia"/>
          <w:szCs w:val="28"/>
        </w:rPr>
        <w:tab/>
      </w:r>
      <w:r w:rsidRPr="00D423B2">
        <w:rPr>
          <w:rFonts w:hint="eastAsia"/>
          <w:szCs w:val="28"/>
        </w:rPr>
        <w:t>在政府的資助及一幢私人工業大廈業主的支持下，藝發局於</w:t>
      </w:r>
      <w:r w:rsidRPr="00D423B2">
        <w:rPr>
          <w:rFonts w:hint="eastAsia"/>
          <w:szCs w:val="28"/>
        </w:rPr>
        <w:t>2014</w:t>
      </w:r>
      <w:r w:rsidRPr="00D423B2">
        <w:rPr>
          <w:rFonts w:hint="eastAsia"/>
          <w:szCs w:val="28"/>
        </w:rPr>
        <w:t>年推出首個藝術空間計劃，以低於市值租金為本地視覺藝術家及媒體藝術家提供藝術工作室。藝發局於</w:t>
      </w:r>
      <w:r w:rsidRPr="00D423B2">
        <w:rPr>
          <w:rFonts w:hint="eastAsia"/>
          <w:szCs w:val="28"/>
        </w:rPr>
        <w:t>2018</w:t>
      </w:r>
      <w:r w:rsidRPr="00D423B2">
        <w:rPr>
          <w:rFonts w:hint="eastAsia"/>
          <w:szCs w:val="28"/>
        </w:rPr>
        <w:t>年以同樣模式，在私人業主提供的已活化／商業樓宇內推出兩個新的藝術空間，以低於市值租金租予本地藝術家使用，並會繼續尋求機會開拓新的空間。此</w:t>
      </w:r>
      <w:r w:rsidRPr="00D423B2">
        <w:rPr>
          <w:rFonts w:hint="eastAsia"/>
          <w:szCs w:val="28"/>
        </w:rPr>
        <w:lastRenderedPageBreak/>
        <w:t>外，政府支持藝發局加強促進藝團與學校之間的合作，以促進藝團和學校善用校舍作藝術空間及培養學生對藝術的興趣，為日後香港的文化建設打好根基。</w:t>
      </w:r>
    </w:p>
    <w:p w:rsidR="00EE2A75" w:rsidRDefault="00EE2A75" w:rsidP="00EE2A75">
      <w:pPr>
        <w:snapToGrid w:val="0"/>
        <w:spacing w:line="400" w:lineRule="atLeast"/>
        <w:jc w:val="both"/>
      </w:pPr>
    </w:p>
    <w:p w:rsidR="00EE2A75" w:rsidRPr="00855BFF" w:rsidRDefault="00EE2A75" w:rsidP="00EE2A75">
      <w:pPr>
        <w:tabs>
          <w:tab w:val="left" w:pos="1440"/>
        </w:tabs>
        <w:adjustRightInd w:val="0"/>
        <w:snapToGrid w:val="0"/>
        <w:spacing w:line="400" w:lineRule="atLeast"/>
        <w:jc w:val="both"/>
        <w:rPr>
          <w:u w:val="single"/>
        </w:rPr>
      </w:pPr>
      <w:r w:rsidRPr="00855BFF">
        <w:rPr>
          <w:rFonts w:hint="eastAsia"/>
          <w:szCs w:val="28"/>
          <w:u w:val="single"/>
        </w:rPr>
        <w:t>平等參與文化活動</w:t>
      </w:r>
    </w:p>
    <w:p w:rsidR="00EE2A75" w:rsidRDefault="00EE2A75" w:rsidP="00EE2A75">
      <w:pPr>
        <w:snapToGrid w:val="0"/>
        <w:spacing w:line="400" w:lineRule="atLeast"/>
        <w:jc w:val="both"/>
      </w:pPr>
    </w:p>
    <w:p w:rsidR="00EE2A75" w:rsidRPr="00A5344E" w:rsidRDefault="00EE2A75" w:rsidP="00EE2A75">
      <w:pPr>
        <w:tabs>
          <w:tab w:val="left" w:pos="1440"/>
        </w:tabs>
        <w:adjustRightInd w:val="0"/>
        <w:snapToGrid w:val="0"/>
        <w:spacing w:line="400" w:lineRule="atLeast"/>
        <w:jc w:val="both"/>
      </w:pPr>
      <w:r>
        <w:rPr>
          <w:szCs w:val="28"/>
        </w:rPr>
        <w:t>2</w:t>
      </w:r>
      <w:r>
        <w:rPr>
          <w:rFonts w:hint="eastAsia"/>
          <w:szCs w:val="28"/>
        </w:rPr>
        <w:t>1.</w:t>
      </w:r>
      <w:r w:rsidRPr="00D423B2">
        <w:rPr>
          <w:rFonts w:hint="eastAsia"/>
          <w:szCs w:val="28"/>
        </w:rPr>
        <w:tab/>
      </w:r>
      <w:r w:rsidRPr="00855BFF">
        <w:rPr>
          <w:rFonts w:hint="eastAsia"/>
          <w:szCs w:val="28"/>
        </w:rPr>
        <w:t>政府致力</w:t>
      </w:r>
      <w:r>
        <w:rPr>
          <w:rFonts w:hint="eastAsia"/>
          <w:szCs w:val="28"/>
        </w:rPr>
        <w:t>鼓勵兒童和青少年</w:t>
      </w:r>
      <w:r>
        <w:rPr>
          <w:rFonts w:hint="eastAsia"/>
          <w:szCs w:val="28"/>
          <w:lang w:eastAsia="zh-HK"/>
        </w:rPr>
        <w:t>及</w:t>
      </w:r>
      <w:r w:rsidRPr="00855BFF">
        <w:rPr>
          <w:rFonts w:hint="eastAsia"/>
          <w:szCs w:val="28"/>
        </w:rPr>
        <w:t>殘疾人士參與文化藝術活動。</w:t>
      </w:r>
    </w:p>
    <w:p w:rsidR="00EE2A75" w:rsidRDefault="00EE2A75" w:rsidP="00EE2A75">
      <w:pPr>
        <w:snapToGrid w:val="0"/>
        <w:spacing w:line="400" w:lineRule="atLeast"/>
        <w:jc w:val="both"/>
      </w:pPr>
    </w:p>
    <w:p w:rsidR="00EE2A75" w:rsidRDefault="00EE2A75" w:rsidP="00EE2A75">
      <w:pPr>
        <w:snapToGrid w:val="0"/>
        <w:spacing w:line="400" w:lineRule="atLeast"/>
        <w:jc w:val="both"/>
        <w:rPr>
          <w:i/>
          <w:szCs w:val="28"/>
        </w:rPr>
      </w:pPr>
      <w:r w:rsidRPr="00855BFF">
        <w:rPr>
          <w:rFonts w:hint="eastAsia"/>
          <w:i/>
          <w:szCs w:val="28"/>
        </w:rPr>
        <w:t>兒童和青少年</w:t>
      </w:r>
    </w:p>
    <w:p w:rsidR="00EE2A75" w:rsidRDefault="00EE2A75" w:rsidP="00EE2A75">
      <w:pPr>
        <w:snapToGrid w:val="0"/>
        <w:spacing w:line="400" w:lineRule="atLeast"/>
        <w:jc w:val="both"/>
        <w:rPr>
          <w:i/>
          <w:szCs w:val="28"/>
        </w:rPr>
      </w:pPr>
    </w:p>
    <w:p w:rsidR="00EE2A75" w:rsidRDefault="00EE2A75" w:rsidP="00EE2A75">
      <w:pPr>
        <w:tabs>
          <w:tab w:val="left" w:pos="1440"/>
        </w:tabs>
        <w:adjustRightInd w:val="0"/>
        <w:snapToGrid w:val="0"/>
        <w:spacing w:line="400" w:lineRule="atLeast"/>
        <w:jc w:val="both"/>
        <w:rPr>
          <w:szCs w:val="28"/>
        </w:rPr>
      </w:pPr>
      <w:r>
        <w:rPr>
          <w:szCs w:val="28"/>
        </w:rPr>
        <w:t>22</w:t>
      </w:r>
      <w:r>
        <w:rPr>
          <w:rFonts w:hint="eastAsia"/>
          <w:szCs w:val="28"/>
        </w:rPr>
        <w:t>.</w:t>
      </w:r>
      <w:r w:rsidRPr="00D423B2">
        <w:rPr>
          <w:rFonts w:hint="eastAsia"/>
          <w:szCs w:val="28"/>
        </w:rPr>
        <w:tab/>
      </w:r>
      <w:r w:rsidRPr="00855BFF">
        <w:rPr>
          <w:rFonts w:hint="eastAsia"/>
          <w:szCs w:val="28"/>
        </w:rPr>
        <w:t>康文署全年舉辦適合兒童和青少年參加的藝術活動，為全日制學生提供半價購票優惠欣賞的藝術舞台表演，並提供免費或收費低廉的教育活動和工作坊，培養</w:t>
      </w:r>
      <w:r>
        <w:rPr>
          <w:rFonts w:hint="eastAsia"/>
          <w:szCs w:val="28"/>
          <w:lang w:eastAsia="zh-HK"/>
        </w:rPr>
        <w:t>他</w:t>
      </w:r>
      <w:r>
        <w:rPr>
          <w:rFonts w:hint="eastAsia"/>
          <w:szCs w:val="28"/>
        </w:rPr>
        <w:t>們</w:t>
      </w:r>
      <w:r w:rsidRPr="00855BFF">
        <w:rPr>
          <w:rFonts w:hint="eastAsia"/>
          <w:szCs w:val="28"/>
        </w:rPr>
        <w:t>欣賞藝術的能力和激發創意。康文署在每年</w:t>
      </w:r>
      <w:r w:rsidRPr="00855BFF">
        <w:rPr>
          <w:szCs w:val="28"/>
        </w:rPr>
        <w:t>7</w:t>
      </w:r>
      <w:r w:rsidRPr="00855BFF">
        <w:rPr>
          <w:rFonts w:hint="eastAsia"/>
          <w:szCs w:val="28"/>
        </w:rPr>
        <w:t>至</w:t>
      </w:r>
      <w:r w:rsidRPr="00855BFF">
        <w:rPr>
          <w:szCs w:val="28"/>
        </w:rPr>
        <w:t>8</w:t>
      </w:r>
      <w:r w:rsidRPr="00855BFF">
        <w:rPr>
          <w:rFonts w:hint="eastAsia"/>
          <w:szCs w:val="28"/>
        </w:rPr>
        <w:t>月暑假期間舉辦“國際綜藝合家歡”大型藝術節，為兒童、青少年及一家大小在暑假提供具教育性</w:t>
      </w:r>
      <w:r>
        <w:rPr>
          <w:rFonts w:hint="eastAsia"/>
          <w:szCs w:val="28"/>
          <w:lang w:eastAsia="zh-HK"/>
        </w:rPr>
        <w:t>及富娛</w:t>
      </w:r>
      <w:r>
        <w:rPr>
          <w:rFonts w:hint="eastAsia"/>
          <w:szCs w:val="28"/>
        </w:rPr>
        <w:t>樂</w:t>
      </w:r>
      <w:r>
        <w:rPr>
          <w:rFonts w:hint="eastAsia"/>
          <w:szCs w:val="28"/>
          <w:lang w:eastAsia="zh-HK"/>
        </w:rPr>
        <w:t>性</w:t>
      </w:r>
      <w:r w:rsidRPr="00855BFF">
        <w:rPr>
          <w:rFonts w:hint="eastAsia"/>
          <w:szCs w:val="28"/>
        </w:rPr>
        <w:t>的節目及延伸活動。此外，亦有特別為學生而設的觀眾拓展／藝術教育計劃，供全港小學、中學及特殊學校參與。香港文化博物館設有兒童探知館，而香港科學館亦設有兒童天地展廳。我們的博物館均設有教育角，以及為老師而設的教材套，以增進學生對博物館展覽的興趣及認識，因此本地的博物館節目已顧及兒童的需要。</w:t>
      </w:r>
    </w:p>
    <w:p w:rsidR="00EE2A75"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rFonts w:hint="eastAsia"/>
          <w:i/>
          <w:szCs w:val="28"/>
          <w:lang w:eastAsia="zh-HK"/>
        </w:rPr>
        <w:t>殘</w:t>
      </w:r>
      <w:r>
        <w:rPr>
          <w:rFonts w:hint="eastAsia"/>
          <w:i/>
          <w:szCs w:val="28"/>
        </w:rPr>
        <w:t>疾</w:t>
      </w:r>
      <w:r>
        <w:rPr>
          <w:rFonts w:hint="eastAsia"/>
          <w:i/>
          <w:szCs w:val="28"/>
          <w:lang w:eastAsia="zh-HK"/>
        </w:rPr>
        <w:t>人士</w:t>
      </w:r>
    </w:p>
    <w:p w:rsidR="00EE2A75"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szCs w:val="28"/>
        </w:rPr>
        <w:t>23</w:t>
      </w:r>
      <w:r>
        <w:rPr>
          <w:rFonts w:hint="eastAsia"/>
          <w:szCs w:val="28"/>
        </w:rPr>
        <w:t>.</w:t>
      </w:r>
      <w:r w:rsidRPr="00D423B2">
        <w:rPr>
          <w:rFonts w:hint="eastAsia"/>
          <w:szCs w:val="28"/>
        </w:rPr>
        <w:tab/>
      </w:r>
      <w:r w:rsidRPr="00855BFF">
        <w:rPr>
          <w:rFonts w:hint="eastAsia"/>
          <w:szCs w:val="28"/>
        </w:rPr>
        <w:t>康文署的文化場地提供特別設施和服務以協助殘疾人士參與和欣賞藝術。康文署與部分主要演藝團體為轄下一些表演節目和公開綵排活動提供通達字幕、劇場視形傳譯、粵語口述影像及／或手語傳譯。該署亦與殘疾藝術家參與的藝團合辦文化節目，及向有殘疾成員的藝術組織提供資助，支持它們的舉辦文化計劃。</w:t>
      </w:r>
    </w:p>
    <w:p w:rsidR="00EE2A75" w:rsidRPr="00855BFF" w:rsidRDefault="00EE2A75" w:rsidP="00EE2A75">
      <w:pPr>
        <w:tabs>
          <w:tab w:val="left" w:pos="1440"/>
        </w:tabs>
        <w:adjustRightInd w:val="0"/>
        <w:snapToGrid w:val="0"/>
        <w:spacing w:line="400" w:lineRule="atLeast"/>
        <w:jc w:val="both"/>
      </w:pPr>
    </w:p>
    <w:p w:rsidR="00EE2A75" w:rsidRDefault="00EE2A75" w:rsidP="00EE2A75">
      <w:pPr>
        <w:tabs>
          <w:tab w:val="left" w:pos="1440"/>
        </w:tabs>
        <w:adjustRightInd w:val="0"/>
        <w:snapToGrid w:val="0"/>
        <w:spacing w:line="400" w:lineRule="atLeast"/>
        <w:jc w:val="both"/>
        <w:rPr>
          <w:szCs w:val="28"/>
        </w:rPr>
      </w:pPr>
      <w:r>
        <w:rPr>
          <w:szCs w:val="28"/>
        </w:rPr>
        <w:t>2</w:t>
      </w:r>
      <w:r>
        <w:rPr>
          <w:rFonts w:hint="eastAsia"/>
          <w:szCs w:val="28"/>
        </w:rPr>
        <w:t>4.</w:t>
      </w:r>
      <w:r w:rsidRPr="00D423B2">
        <w:rPr>
          <w:rFonts w:hint="eastAsia"/>
          <w:szCs w:val="28"/>
        </w:rPr>
        <w:tab/>
      </w:r>
      <w:r w:rsidRPr="00855BFF">
        <w:rPr>
          <w:rFonts w:hint="eastAsia"/>
          <w:szCs w:val="28"/>
        </w:rPr>
        <w:t>政府為促進殘疾人士在藝術方面的發展，設立由社會福利署管理的全新基金，透過提供基礎及持續藝術項目，協助殘疾人士增進藝術知識、培養對藝術的興趣、發展潛能，以及協助擁有具優厚藝術潛質的殘疾人士追求卓越，在表演、視覺藝術或創意藝術等範疇上</w:t>
      </w:r>
      <w:r w:rsidRPr="00855BFF">
        <w:rPr>
          <w:rFonts w:hint="eastAsia"/>
          <w:szCs w:val="28"/>
        </w:rPr>
        <w:lastRenderedPageBreak/>
        <w:t>發展個人事業。</w:t>
      </w:r>
    </w:p>
    <w:p w:rsidR="00EE2A75" w:rsidRDefault="00EE2A75" w:rsidP="00EE2A75">
      <w:pPr>
        <w:tabs>
          <w:tab w:val="left" w:pos="1440"/>
        </w:tabs>
        <w:adjustRightInd w:val="0"/>
        <w:snapToGrid w:val="0"/>
        <w:spacing w:line="400" w:lineRule="atLeast"/>
        <w:jc w:val="both"/>
        <w:rPr>
          <w:szCs w:val="28"/>
        </w:rPr>
      </w:pPr>
    </w:p>
    <w:p w:rsidR="00EE2A75" w:rsidRDefault="00EE2A75" w:rsidP="00EE2A75">
      <w:pPr>
        <w:tabs>
          <w:tab w:val="left" w:pos="1440"/>
        </w:tabs>
        <w:adjustRightInd w:val="0"/>
        <w:snapToGrid w:val="0"/>
        <w:spacing w:line="400" w:lineRule="atLeast"/>
        <w:jc w:val="both"/>
        <w:rPr>
          <w:szCs w:val="28"/>
        </w:rPr>
      </w:pPr>
      <w:r>
        <w:rPr>
          <w:szCs w:val="28"/>
        </w:rPr>
        <w:t>2</w:t>
      </w:r>
      <w:r>
        <w:rPr>
          <w:rFonts w:hint="eastAsia"/>
          <w:szCs w:val="28"/>
        </w:rPr>
        <w:t>5.</w:t>
      </w:r>
      <w:r w:rsidRPr="00D423B2">
        <w:rPr>
          <w:rFonts w:hint="eastAsia"/>
          <w:szCs w:val="28"/>
        </w:rPr>
        <w:tab/>
      </w:r>
      <w:r w:rsidRPr="00855BFF">
        <w:rPr>
          <w:rFonts w:hint="eastAsia"/>
          <w:szCs w:val="28"/>
        </w:rPr>
        <w:t>有評論者關注有關給予外來表演者或藝術團體成員工作簽證的政策。一般而言，所有不享有香港居留權或入境權的人士如欲來港工作，須申請工作簽證／入境許可。入境處會按現行政策和既定程序考慮每宗簽證／入境許可申請的情況，並在適當情況下提供便利。</w:t>
      </w:r>
    </w:p>
    <w:p w:rsidR="00EE2A75" w:rsidRPr="00855BFF" w:rsidRDefault="00EE2A75" w:rsidP="00EE2A75">
      <w:pPr>
        <w:snapToGrid w:val="0"/>
        <w:spacing w:line="400" w:lineRule="atLeast"/>
        <w:jc w:val="both"/>
        <w:rPr>
          <w:i/>
        </w:rPr>
      </w:pPr>
    </w:p>
    <w:p w:rsidR="0001383C" w:rsidRDefault="0001383C" w:rsidP="001745ED">
      <w:pPr>
        <w:tabs>
          <w:tab w:val="left" w:pos="1440"/>
          <w:tab w:val="left" w:pos="1680"/>
        </w:tabs>
        <w:adjustRightInd w:val="0"/>
        <w:snapToGrid w:val="0"/>
        <w:spacing w:line="400" w:lineRule="atLeast"/>
        <w:ind w:right="-154"/>
        <w:jc w:val="both"/>
        <w:rPr>
          <w:rFonts w:cs="Times New Roman"/>
          <w:bCs/>
          <w:kern w:val="0"/>
          <w:szCs w:val="28"/>
          <w:lang w:val="en-GB"/>
        </w:rPr>
        <w:sectPr w:rsidR="0001383C" w:rsidSect="00EE2A75">
          <w:footerReference w:type="default" r:id="rId84"/>
          <w:footerReference w:type="first" r:id="rId85"/>
          <w:pgSz w:w="11906" w:h="16838"/>
          <w:pgMar w:top="1440" w:right="1800" w:bottom="1440" w:left="1800" w:header="720" w:footer="720" w:gutter="0"/>
          <w:pgNumType w:start="1"/>
          <w:cols w:space="425"/>
          <w:titlePg/>
          <w:docGrid w:type="lines" w:linePitch="381"/>
        </w:sectPr>
      </w:pPr>
    </w:p>
    <w:p w:rsidR="00621DE3" w:rsidRDefault="00621DE3" w:rsidP="00621DE3">
      <w:pPr>
        <w:snapToGrid w:val="0"/>
        <w:spacing w:line="400" w:lineRule="atLeast"/>
        <w:jc w:val="right"/>
        <w:rPr>
          <w:b/>
          <w:szCs w:val="28"/>
        </w:rPr>
      </w:pPr>
      <w:r w:rsidRPr="00C330D2">
        <w:rPr>
          <w:rFonts w:hint="eastAsia"/>
          <w:b/>
          <w:szCs w:val="28"/>
          <w:lang w:eastAsia="zh-HK"/>
        </w:rPr>
        <w:lastRenderedPageBreak/>
        <w:t>附件</w:t>
      </w:r>
      <w:r w:rsidRPr="00C330D2">
        <w:rPr>
          <w:rFonts w:hint="eastAsia"/>
          <w:b/>
          <w:szCs w:val="28"/>
        </w:rPr>
        <w:t>15</w:t>
      </w:r>
      <w:r>
        <w:rPr>
          <w:rFonts w:hint="eastAsia"/>
          <w:b/>
          <w:szCs w:val="28"/>
        </w:rPr>
        <w:t>B</w:t>
      </w:r>
    </w:p>
    <w:p w:rsidR="00621DE3" w:rsidRPr="00135781" w:rsidRDefault="00621DE3" w:rsidP="00621DE3">
      <w:pPr>
        <w:snapToGrid w:val="0"/>
        <w:spacing w:line="400" w:lineRule="atLeast"/>
        <w:jc w:val="center"/>
        <w:rPr>
          <w:b/>
          <w:szCs w:val="28"/>
        </w:rPr>
      </w:pPr>
    </w:p>
    <w:p w:rsidR="00621DE3" w:rsidRDefault="00621DE3" w:rsidP="00621DE3">
      <w:pPr>
        <w:snapToGrid w:val="0"/>
        <w:spacing w:line="400" w:lineRule="atLeast"/>
        <w:jc w:val="center"/>
        <w:rPr>
          <w:b/>
          <w:szCs w:val="28"/>
          <w:lang w:eastAsia="zh-HK"/>
        </w:rPr>
      </w:pPr>
      <w:r w:rsidRPr="00C41521">
        <w:rPr>
          <w:rFonts w:hint="eastAsia"/>
          <w:b/>
          <w:szCs w:val="28"/>
        </w:rPr>
        <w:t>文物保育政策</w:t>
      </w:r>
      <w:r>
        <w:rPr>
          <w:rFonts w:hint="eastAsia"/>
          <w:b/>
          <w:szCs w:val="28"/>
        </w:rPr>
        <w:t>、</w:t>
      </w:r>
      <w:r w:rsidRPr="00D552EE">
        <w:rPr>
          <w:rFonts w:hint="eastAsia"/>
          <w:b/>
          <w:szCs w:val="28"/>
        </w:rPr>
        <w:t>文物保育專員辦事處</w:t>
      </w:r>
      <w:r>
        <w:rPr>
          <w:b/>
          <w:szCs w:val="28"/>
        </w:rPr>
        <w:br/>
      </w:r>
      <w:r>
        <w:rPr>
          <w:rFonts w:hint="eastAsia"/>
          <w:b/>
          <w:szCs w:val="28"/>
          <w:lang w:eastAsia="zh-HK"/>
        </w:rPr>
        <w:t>及</w:t>
      </w:r>
      <w:r w:rsidRPr="00D552EE">
        <w:rPr>
          <w:rFonts w:hint="eastAsia"/>
          <w:b/>
          <w:szCs w:val="28"/>
          <w:lang w:eastAsia="zh-HK"/>
        </w:rPr>
        <w:t>古物諮詢委員會</w:t>
      </w:r>
    </w:p>
    <w:p w:rsidR="00621DE3" w:rsidRPr="00135781" w:rsidRDefault="00621DE3" w:rsidP="00621DE3">
      <w:pPr>
        <w:snapToGrid w:val="0"/>
        <w:spacing w:line="400" w:lineRule="atLeast"/>
        <w:rPr>
          <w:b/>
          <w:szCs w:val="28"/>
        </w:rPr>
      </w:pPr>
    </w:p>
    <w:p w:rsidR="00621DE3" w:rsidRDefault="00621DE3" w:rsidP="00621DE3">
      <w:pPr>
        <w:tabs>
          <w:tab w:val="left" w:pos="1440"/>
        </w:tabs>
        <w:adjustRightInd w:val="0"/>
        <w:snapToGrid w:val="0"/>
        <w:spacing w:line="400" w:lineRule="atLeast"/>
        <w:jc w:val="both"/>
        <w:rPr>
          <w:szCs w:val="28"/>
        </w:rPr>
      </w:pPr>
      <w:r>
        <w:rPr>
          <w:rFonts w:hint="eastAsia"/>
          <w:szCs w:val="28"/>
        </w:rPr>
        <w:t>1.</w:t>
      </w:r>
      <w:r>
        <w:rPr>
          <w:rFonts w:hint="eastAsia"/>
          <w:szCs w:val="28"/>
        </w:rPr>
        <w:tab/>
      </w:r>
      <w:r w:rsidRPr="00C41521">
        <w:rPr>
          <w:rFonts w:hint="eastAsia"/>
          <w:szCs w:val="28"/>
        </w:rPr>
        <w:t>政府致力以適切及可持續的方式，因應實際情況對歷史和文物建築及地點加以保護、保存和活化更新，讓我們這一代和子孫後代均可受惠共享。在落實這項政策時，應充分顧及關乎公眾利益的發展需要、尊重私有產權、財政考慮、跨界別合作，以及持份者和社會大眾的積極參與。</w:t>
      </w:r>
    </w:p>
    <w:p w:rsidR="00621DE3" w:rsidRDefault="00621DE3" w:rsidP="00621DE3">
      <w:pPr>
        <w:snapToGrid w:val="0"/>
        <w:spacing w:line="400" w:lineRule="atLeast"/>
        <w:rPr>
          <w:szCs w:val="28"/>
        </w:rPr>
      </w:pPr>
    </w:p>
    <w:p w:rsidR="00621DE3" w:rsidRDefault="00621DE3" w:rsidP="00621DE3">
      <w:pPr>
        <w:tabs>
          <w:tab w:val="left" w:pos="1440"/>
        </w:tabs>
        <w:adjustRightInd w:val="0"/>
        <w:snapToGrid w:val="0"/>
        <w:spacing w:line="400" w:lineRule="atLeast"/>
        <w:jc w:val="both"/>
        <w:rPr>
          <w:szCs w:val="28"/>
        </w:rPr>
      </w:pPr>
      <w:r>
        <w:rPr>
          <w:rFonts w:hint="eastAsia"/>
          <w:szCs w:val="28"/>
        </w:rPr>
        <w:t>2.</w:t>
      </w:r>
      <w:r>
        <w:rPr>
          <w:szCs w:val="28"/>
        </w:rPr>
        <w:tab/>
      </w:r>
      <w:r w:rsidRPr="00C41521">
        <w:rPr>
          <w:rFonts w:hint="eastAsia"/>
          <w:szCs w:val="28"/>
        </w:rPr>
        <w:t>文物保育專員辦事處</w:t>
      </w:r>
      <w:r w:rsidRPr="00D552EE">
        <w:rPr>
          <w:rFonts w:hint="eastAsia"/>
          <w:szCs w:val="28"/>
        </w:rPr>
        <w:t>專責推展各項文物保育措施</w:t>
      </w:r>
      <w:r>
        <w:rPr>
          <w:rFonts w:hint="eastAsia"/>
          <w:szCs w:val="28"/>
        </w:rPr>
        <w:t>，</w:t>
      </w:r>
      <w:r>
        <w:rPr>
          <w:rFonts w:hint="eastAsia"/>
          <w:szCs w:val="28"/>
          <w:lang w:eastAsia="zh-HK"/>
        </w:rPr>
        <w:t>包</w:t>
      </w:r>
      <w:r>
        <w:rPr>
          <w:rFonts w:hint="eastAsia"/>
          <w:szCs w:val="28"/>
        </w:rPr>
        <w:t>括：</w:t>
      </w:r>
    </w:p>
    <w:p w:rsidR="00621DE3" w:rsidRDefault="00621DE3" w:rsidP="00621DE3">
      <w:pPr>
        <w:snapToGrid w:val="0"/>
        <w:spacing w:line="400" w:lineRule="atLeast"/>
        <w:jc w:val="both"/>
        <w:rPr>
          <w:szCs w:val="28"/>
        </w:rPr>
      </w:pPr>
    </w:p>
    <w:p w:rsidR="00621DE3" w:rsidRPr="00D552EE" w:rsidRDefault="00621DE3" w:rsidP="00621DE3">
      <w:pPr>
        <w:adjustRightInd w:val="0"/>
        <w:snapToGrid w:val="0"/>
        <w:spacing w:line="400" w:lineRule="atLeast"/>
        <w:ind w:leftChars="300" w:left="1560" w:hangingChars="257" w:hanging="720"/>
        <w:contextualSpacing/>
        <w:jc w:val="both"/>
        <w:rPr>
          <w:rFonts w:cs="Times New Roman"/>
          <w:szCs w:val="28"/>
        </w:rPr>
      </w:pPr>
      <w:r w:rsidRPr="00D552EE">
        <w:rPr>
          <w:rFonts w:cs="Times New Roman" w:hint="eastAsia"/>
          <w:szCs w:val="28"/>
        </w:rPr>
        <w:t>(a)</w:t>
      </w:r>
      <w:r w:rsidRPr="00D552EE">
        <w:rPr>
          <w:rFonts w:cs="Times New Roman" w:hint="eastAsia"/>
          <w:szCs w:val="28"/>
        </w:rPr>
        <w:tab/>
      </w:r>
      <w:r w:rsidRPr="00E34305">
        <w:rPr>
          <w:rFonts w:cs="Times New Roman" w:hint="eastAsia"/>
          <w:spacing w:val="-4"/>
          <w:szCs w:val="28"/>
        </w:rPr>
        <w:t>就政府新基本工程項目實施文物影響評估機制，以確保</w:t>
      </w:r>
      <w:r w:rsidRPr="00D552EE">
        <w:rPr>
          <w:rFonts w:cs="Times New Roman" w:hint="eastAsia"/>
          <w:szCs w:val="28"/>
        </w:rPr>
        <w:t>文物地點所受到的影響減至最低</w:t>
      </w:r>
      <w:r w:rsidRPr="00D552EE">
        <w:rPr>
          <w:rFonts w:cs="Times New Roman" w:hint="eastAsia"/>
          <w:szCs w:val="28"/>
          <w:lang w:eastAsia="zh-HK"/>
        </w:rPr>
        <w:t>（</w:t>
      </w:r>
      <w:r w:rsidRPr="00D552EE">
        <w:rPr>
          <w:rFonts w:cs="Times New Roman" w:hint="eastAsia"/>
          <w:szCs w:val="28"/>
        </w:rPr>
        <w:t>如有</w:t>
      </w:r>
      <w:r w:rsidRPr="00D552EE">
        <w:rPr>
          <w:rFonts w:cs="Times New Roman" w:hint="eastAsia"/>
          <w:szCs w:val="28"/>
          <w:lang w:eastAsia="zh-HK"/>
        </w:rPr>
        <w:t>）</w:t>
      </w:r>
      <w:r w:rsidRPr="00D552EE">
        <w:rPr>
          <w:rFonts w:cs="Times New Roman" w:hint="eastAsia"/>
          <w:szCs w:val="28"/>
        </w:rPr>
        <w:t>；</w:t>
      </w:r>
    </w:p>
    <w:p w:rsidR="00621DE3" w:rsidRPr="00D552EE" w:rsidRDefault="00621DE3" w:rsidP="00621DE3">
      <w:pPr>
        <w:tabs>
          <w:tab w:val="left" w:pos="1440"/>
        </w:tabs>
        <w:adjustRightInd w:val="0"/>
        <w:snapToGrid w:val="0"/>
        <w:spacing w:line="400" w:lineRule="atLeast"/>
        <w:ind w:leftChars="300" w:left="1560" w:hangingChars="257" w:hanging="720"/>
        <w:contextualSpacing/>
        <w:jc w:val="both"/>
        <w:rPr>
          <w:rFonts w:cs="Times New Roman"/>
          <w:szCs w:val="28"/>
        </w:rPr>
      </w:pPr>
    </w:p>
    <w:p w:rsidR="00621DE3" w:rsidRPr="00D552EE" w:rsidRDefault="00621DE3" w:rsidP="00621DE3">
      <w:pPr>
        <w:adjustRightInd w:val="0"/>
        <w:snapToGrid w:val="0"/>
        <w:spacing w:line="400" w:lineRule="atLeast"/>
        <w:ind w:leftChars="300" w:left="1560" w:hangingChars="257" w:hanging="720"/>
        <w:contextualSpacing/>
        <w:jc w:val="both"/>
        <w:rPr>
          <w:rFonts w:cs="Times New Roman"/>
          <w:szCs w:val="28"/>
        </w:rPr>
      </w:pPr>
      <w:r w:rsidRPr="00D552EE">
        <w:rPr>
          <w:rFonts w:cs="Times New Roman"/>
          <w:szCs w:val="28"/>
        </w:rPr>
        <w:t>(b)</w:t>
      </w:r>
      <w:r w:rsidRPr="00D552EE">
        <w:rPr>
          <w:rFonts w:cs="Times New Roman"/>
          <w:szCs w:val="28"/>
        </w:rPr>
        <w:tab/>
      </w:r>
      <w:r w:rsidRPr="00E34305">
        <w:rPr>
          <w:rFonts w:cs="Times New Roman" w:hint="eastAsia"/>
          <w:spacing w:val="-4"/>
          <w:szCs w:val="28"/>
        </w:rPr>
        <w:t>推出活化歷史建築伙伴計劃，讓非牟利機構活化善用政府擁有的歷史建築；</w:t>
      </w:r>
    </w:p>
    <w:p w:rsidR="00621DE3" w:rsidRPr="00D552EE" w:rsidRDefault="00621DE3" w:rsidP="00621DE3">
      <w:pPr>
        <w:tabs>
          <w:tab w:val="left" w:pos="1440"/>
        </w:tabs>
        <w:adjustRightInd w:val="0"/>
        <w:snapToGrid w:val="0"/>
        <w:spacing w:line="400" w:lineRule="atLeast"/>
        <w:ind w:leftChars="300" w:left="1560" w:hangingChars="257" w:hanging="720"/>
        <w:contextualSpacing/>
        <w:jc w:val="both"/>
        <w:rPr>
          <w:rFonts w:cs="Times New Roman"/>
          <w:szCs w:val="28"/>
        </w:rPr>
      </w:pPr>
    </w:p>
    <w:p w:rsidR="00621DE3" w:rsidRPr="00E34305" w:rsidRDefault="00621DE3" w:rsidP="00621DE3">
      <w:pPr>
        <w:adjustRightInd w:val="0"/>
        <w:snapToGrid w:val="0"/>
        <w:spacing w:line="400" w:lineRule="atLeast"/>
        <w:ind w:leftChars="300" w:left="1560" w:hangingChars="257" w:hanging="720"/>
        <w:contextualSpacing/>
        <w:jc w:val="both"/>
        <w:rPr>
          <w:rFonts w:cs="Times New Roman"/>
          <w:spacing w:val="-4"/>
          <w:szCs w:val="28"/>
        </w:rPr>
      </w:pPr>
      <w:r w:rsidRPr="00D552EE">
        <w:rPr>
          <w:rFonts w:cs="Times New Roman" w:hint="eastAsia"/>
          <w:szCs w:val="28"/>
        </w:rPr>
        <w:t>(c)</w:t>
      </w:r>
      <w:r w:rsidRPr="00D552EE">
        <w:rPr>
          <w:rFonts w:cs="Times New Roman" w:hint="eastAsia"/>
          <w:szCs w:val="28"/>
        </w:rPr>
        <w:tab/>
      </w:r>
      <w:r w:rsidRPr="00E34305">
        <w:rPr>
          <w:rFonts w:cs="Times New Roman" w:hint="eastAsia"/>
          <w:spacing w:val="-4"/>
          <w:szCs w:val="28"/>
        </w:rPr>
        <w:t>推行歷史建築維修資助計劃，資助私人擁有的已評級歷史建築的業主及租用政府擁有的法定古蹟及已評級歷史建築的非牟利機構進行維修工程；</w:t>
      </w:r>
    </w:p>
    <w:p w:rsidR="00621DE3" w:rsidRPr="00E34305" w:rsidRDefault="00621DE3" w:rsidP="00621DE3">
      <w:pPr>
        <w:tabs>
          <w:tab w:val="left" w:pos="1440"/>
        </w:tabs>
        <w:adjustRightInd w:val="0"/>
        <w:snapToGrid w:val="0"/>
        <w:spacing w:line="400" w:lineRule="atLeast"/>
        <w:ind w:leftChars="300" w:left="1539" w:hangingChars="257" w:hanging="699"/>
        <w:contextualSpacing/>
        <w:jc w:val="both"/>
        <w:rPr>
          <w:rFonts w:cs="Times New Roman"/>
          <w:spacing w:val="-4"/>
          <w:szCs w:val="28"/>
        </w:rPr>
      </w:pPr>
    </w:p>
    <w:p w:rsidR="00621DE3" w:rsidRPr="00E34305" w:rsidRDefault="00621DE3" w:rsidP="00621DE3">
      <w:pPr>
        <w:adjustRightInd w:val="0"/>
        <w:snapToGrid w:val="0"/>
        <w:spacing w:line="400" w:lineRule="atLeast"/>
        <w:ind w:leftChars="300" w:left="1539" w:hangingChars="257" w:hanging="699"/>
        <w:contextualSpacing/>
        <w:jc w:val="both"/>
        <w:rPr>
          <w:rFonts w:cs="Times New Roman"/>
          <w:spacing w:val="-4"/>
          <w:szCs w:val="28"/>
        </w:rPr>
      </w:pPr>
      <w:r w:rsidRPr="00E34305">
        <w:rPr>
          <w:rFonts w:cs="Times New Roman" w:hint="eastAsia"/>
          <w:spacing w:val="-4"/>
          <w:szCs w:val="28"/>
        </w:rPr>
        <w:t>(d)</w:t>
      </w:r>
      <w:r w:rsidRPr="00E34305">
        <w:rPr>
          <w:rFonts w:cs="Times New Roman" w:hint="eastAsia"/>
          <w:spacing w:val="-4"/>
          <w:szCs w:val="28"/>
        </w:rPr>
        <w:tab/>
      </w:r>
      <w:r w:rsidRPr="00E34305">
        <w:rPr>
          <w:rFonts w:cs="Times New Roman" w:hint="eastAsia"/>
          <w:spacing w:val="-4"/>
          <w:szCs w:val="28"/>
        </w:rPr>
        <w:t>透過保育歷史建築基金，為學術研究、公眾教育、社區參與、宣傳活動提供資助；</w:t>
      </w:r>
    </w:p>
    <w:p w:rsidR="00621DE3" w:rsidRPr="00D552EE" w:rsidRDefault="00621DE3" w:rsidP="00621DE3">
      <w:pPr>
        <w:tabs>
          <w:tab w:val="left" w:pos="1440"/>
        </w:tabs>
        <w:adjustRightInd w:val="0"/>
        <w:snapToGrid w:val="0"/>
        <w:spacing w:line="400" w:lineRule="atLeast"/>
        <w:ind w:leftChars="300" w:left="1560" w:hangingChars="257" w:hanging="720"/>
        <w:contextualSpacing/>
        <w:jc w:val="both"/>
        <w:rPr>
          <w:rFonts w:cs="Times New Roman"/>
          <w:szCs w:val="28"/>
        </w:rPr>
      </w:pPr>
    </w:p>
    <w:p w:rsidR="00621DE3" w:rsidRPr="00D552EE" w:rsidRDefault="00621DE3" w:rsidP="00621DE3">
      <w:pPr>
        <w:adjustRightInd w:val="0"/>
        <w:snapToGrid w:val="0"/>
        <w:spacing w:line="400" w:lineRule="atLeast"/>
        <w:ind w:leftChars="300" w:left="1560" w:hangingChars="257" w:hanging="720"/>
        <w:contextualSpacing/>
        <w:jc w:val="both"/>
        <w:rPr>
          <w:rFonts w:cs="Times New Roman"/>
          <w:szCs w:val="28"/>
        </w:rPr>
      </w:pPr>
      <w:r w:rsidRPr="00D552EE">
        <w:rPr>
          <w:rFonts w:cs="Times New Roman" w:hint="eastAsia"/>
          <w:szCs w:val="28"/>
        </w:rPr>
        <w:t>(e)</w:t>
      </w:r>
      <w:r w:rsidRPr="00D552EE">
        <w:rPr>
          <w:rFonts w:cs="Times New Roman" w:hint="eastAsia"/>
          <w:szCs w:val="28"/>
        </w:rPr>
        <w:tab/>
      </w:r>
      <w:r w:rsidRPr="00D552EE">
        <w:rPr>
          <w:rFonts w:cs="Times New Roman" w:hint="eastAsia"/>
          <w:szCs w:val="28"/>
        </w:rPr>
        <w:t>探討合適的經濟誘因，以鼓勵保育私人擁有的歷史建築；以及</w:t>
      </w:r>
    </w:p>
    <w:p w:rsidR="00621DE3" w:rsidRPr="00D552EE" w:rsidRDefault="00621DE3" w:rsidP="00621DE3">
      <w:pPr>
        <w:tabs>
          <w:tab w:val="left" w:pos="1440"/>
        </w:tabs>
        <w:adjustRightInd w:val="0"/>
        <w:snapToGrid w:val="0"/>
        <w:spacing w:line="400" w:lineRule="atLeast"/>
        <w:ind w:leftChars="300" w:left="1560" w:hangingChars="257" w:hanging="720"/>
        <w:contextualSpacing/>
        <w:jc w:val="both"/>
        <w:rPr>
          <w:rFonts w:cs="Times New Roman"/>
          <w:szCs w:val="28"/>
        </w:rPr>
      </w:pPr>
    </w:p>
    <w:p w:rsidR="00621DE3" w:rsidRPr="00D552EE" w:rsidRDefault="00621DE3" w:rsidP="00621DE3">
      <w:pPr>
        <w:adjustRightInd w:val="0"/>
        <w:snapToGrid w:val="0"/>
        <w:spacing w:line="400" w:lineRule="atLeast"/>
        <w:ind w:leftChars="300" w:left="1560" w:hangingChars="257" w:hanging="720"/>
        <w:contextualSpacing/>
        <w:jc w:val="both"/>
        <w:rPr>
          <w:rFonts w:cs="Times New Roman"/>
          <w:szCs w:val="28"/>
        </w:rPr>
      </w:pPr>
      <w:r w:rsidRPr="00D552EE">
        <w:rPr>
          <w:rFonts w:cs="Times New Roman" w:hint="eastAsia"/>
          <w:szCs w:val="28"/>
        </w:rPr>
        <w:t>(f)</w:t>
      </w:r>
      <w:r w:rsidRPr="00D552EE">
        <w:rPr>
          <w:rFonts w:cs="Times New Roman" w:hint="eastAsia"/>
          <w:szCs w:val="28"/>
        </w:rPr>
        <w:tab/>
      </w:r>
      <w:r w:rsidRPr="00D552EE">
        <w:rPr>
          <w:rFonts w:cs="Times New Roman" w:hint="eastAsia"/>
          <w:szCs w:val="28"/>
        </w:rPr>
        <w:t>透過社區參與和推廣項目，包括設立文物網頁</w:t>
      </w:r>
      <w:r w:rsidRPr="00E34305">
        <w:rPr>
          <w:rFonts w:cs="Times New Roman" w:hint="eastAsia"/>
          <w:spacing w:val="-2"/>
          <w:szCs w:val="28"/>
          <w:lang w:eastAsia="zh-HK"/>
        </w:rPr>
        <w:t>（</w:t>
      </w:r>
      <w:r w:rsidRPr="00E34305">
        <w:rPr>
          <w:rFonts w:cs="Times New Roman" w:hint="eastAsia"/>
          <w:spacing w:val="-2"/>
          <w:szCs w:val="28"/>
        </w:rPr>
        <w:t>www.heritage.gov.hk</w:t>
      </w:r>
      <w:r w:rsidRPr="00E34305">
        <w:rPr>
          <w:rFonts w:cs="Times New Roman" w:hint="eastAsia"/>
          <w:spacing w:val="-2"/>
          <w:szCs w:val="28"/>
          <w:lang w:eastAsia="zh-HK"/>
        </w:rPr>
        <w:t>）</w:t>
      </w:r>
      <w:r w:rsidRPr="00E34305">
        <w:rPr>
          <w:rFonts w:cs="Times New Roman" w:hint="eastAsia"/>
          <w:spacing w:val="-2"/>
          <w:szCs w:val="28"/>
        </w:rPr>
        <w:t>、出版通訊，及發放文物徑和文</w:t>
      </w:r>
      <w:r w:rsidRPr="00D552EE">
        <w:rPr>
          <w:rFonts w:cs="Times New Roman" w:hint="eastAsia"/>
          <w:szCs w:val="28"/>
        </w:rPr>
        <w:t>物地點的資訊，以提倡文物保育。</w:t>
      </w:r>
    </w:p>
    <w:p w:rsidR="00621DE3" w:rsidRPr="00D552EE" w:rsidRDefault="00621DE3" w:rsidP="00621DE3">
      <w:pPr>
        <w:tabs>
          <w:tab w:val="left" w:pos="1440"/>
        </w:tabs>
        <w:adjustRightInd w:val="0"/>
        <w:snapToGrid w:val="0"/>
        <w:spacing w:line="400" w:lineRule="atLeast"/>
        <w:contextualSpacing/>
        <w:jc w:val="both"/>
        <w:rPr>
          <w:rFonts w:cs="Times New Roman"/>
          <w:szCs w:val="28"/>
        </w:rPr>
      </w:pPr>
    </w:p>
    <w:p w:rsidR="00621DE3" w:rsidRDefault="00621DE3" w:rsidP="00F166AA">
      <w:pPr>
        <w:keepLines/>
        <w:tabs>
          <w:tab w:val="left" w:pos="1440"/>
        </w:tabs>
        <w:adjustRightInd w:val="0"/>
        <w:snapToGrid w:val="0"/>
        <w:spacing w:line="400" w:lineRule="atLeast"/>
        <w:contextualSpacing/>
        <w:jc w:val="both"/>
        <w:rPr>
          <w:rFonts w:cs="Times New Roman"/>
          <w:szCs w:val="28"/>
        </w:rPr>
      </w:pPr>
      <w:r>
        <w:rPr>
          <w:rFonts w:cs="Times New Roman" w:hint="eastAsia"/>
          <w:szCs w:val="28"/>
        </w:rPr>
        <w:lastRenderedPageBreak/>
        <w:t>3.</w:t>
      </w:r>
      <w:r w:rsidRPr="00D552EE">
        <w:rPr>
          <w:rFonts w:cs="Times New Roman" w:hint="eastAsia"/>
          <w:szCs w:val="28"/>
        </w:rPr>
        <w:tab/>
      </w:r>
      <w:r w:rsidRPr="00D552EE">
        <w:rPr>
          <w:rFonts w:cs="Times New Roman" w:hint="eastAsia"/>
          <w:szCs w:val="28"/>
        </w:rPr>
        <w:t>截至</w:t>
      </w:r>
      <w:r w:rsidRPr="00D552EE">
        <w:rPr>
          <w:rFonts w:cs="Times New Roman" w:hint="eastAsia"/>
          <w:szCs w:val="28"/>
        </w:rPr>
        <w:t>20</w:t>
      </w:r>
      <w:bookmarkStart w:id="13" w:name="_GoBack"/>
      <w:bookmarkEnd w:id="13"/>
      <w:r w:rsidRPr="00D552EE">
        <w:rPr>
          <w:rFonts w:cs="Times New Roman" w:hint="eastAsia"/>
          <w:szCs w:val="28"/>
        </w:rPr>
        <w:t>18</w:t>
      </w:r>
      <w:r w:rsidRPr="00D552EE">
        <w:rPr>
          <w:rFonts w:cs="Times New Roman" w:hint="eastAsia"/>
          <w:szCs w:val="28"/>
        </w:rPr>
        <w:t>年年底，五期共</w:t>
      </w:r>
      <w:r w:rsidRPr="00D552EE">
        <w:rPr>
          <w:rFonts w:cs="Times New Roman" w:hint="eastAsia"/>
          <w:szCs w:val="28"/>
        </w:rPr>
        <w:t>19</w:t>
      </w:r>
      <w:r w:rsidRPr="00D552EE">
        <w:rPr>
          <w:rFonts w:cs="Times New Roman" w:hint="eastAsia"/>
          <w:szCs w:val="28"/>
        </w:rPr>
        <w:t>幢政府擁有的歷史建築已被納入活化歷史建築伙伴計劃，當中</w:t>
      </w:r>
      <w:r w:rsidRPr="00D552EE">
        <w:rPr>
          <w:rFonts w:cs="Times New Roman" w:hint="eastAsia"/>
          <w:szCs w:val="28"/>
        </w:rPr>
        <w:t>12</w:t>
      </w:r>
      <w:r w:rsidRPr="00D552EE">
        <w:rPr>
          <w:rFonts w:cs="Times New Roman" w:hint="eastAsia"/>
          <w:szCs w:val="28"/>
        </w:rPr>
        <w:t>個項目已在營運；另有三個活化項目的翻新工程已展開，並預計於</w:t>
      </w:r>
      <w:r w:rsidRPr="00D552EE">
        <w:rPr>
          <w:rFonts w:cs="Times New Roman" w:hint="eastAsia"/>
          <w:szCs w:val="28"/>
        </w:rPr>
        <w:t>2020</w:t>
      </w:r>
      <w:r w:rsidRPr="00D552EE">
        <w:rPr>
          <w:rFonts w:cs="Times New Roman" w:hint="eastAsia"/>
          <w:szCs w:val="28"/>
        </w:rPr>
        <w:t>年開始營運。</w:t>
      </w:r>
    </w:p>
    <w:p w:rsidR="00621DE3" w:rsidRDefault="00621DE3" w:rsidP="00621DE3">
      <w:pPr>
        <w:tabs>
          <w:tab w:val="left" w:pos="1440"/>
        </w:tabs>
        <w:adjustRightInd w:val="0"/>
        <w:snapToGrid w:val="0"/>
        <w:spacing w:line="400" w:lineRule="atLeast"/>
        <w:contextualSpacing/>
        <w:jc w:val="both"/>
        <w:rPr>
          <w:rFonts w:cs="Times New Roman"/>
          <w:szCs w:val="28"/>
        </w:rPr>
      </w:pPr>
    </w:p>
    <w:p w:rsidR="00621DE3" w:rsidRPr="00D552EE" w:rsidRDefault="00621DE3" w:rsidP="00621DE3">
      <w:pPr>
        <w:tabs>
          <w:tab w:val="left" w:pos="1440"/>
        </w:tabs>
        <w:adjustRightInd w:val="0"/>
        <w:snapToGrid w:val="0"/>
        <w:spacing w:line="400" w:lineRule="atLeast"/>
        <w:contextualSpacing/>
        <w:jc w:val="both"/>
        <w:rPr>
          <w:rFonts w:cs="Times New Roman"/>
          <w:szCs w:val="28"/>
        </w:rPr>
      </w:pPr>
      <w:r>
        <w:rPr>
          <w:rFonts w:cs="Times New Roman" w:hint="eastAsia"/>
          <w:szCs w:val="28"/>
        </w:rPr>
        <w:t>4.</w:t>
      </w:r>
      <w:r>
        <w:rPr>
          <w:rFonts w:cs="Times New Roman"/>
          <w:szCs w:val="28"/>
        </w:rPr>
        <w:tab/>
      </w:r>
      <w:r w:rsidRPr="00D552EE">
        <w:rPr>
          <w:rFonts w:cs="Times New Roman" w:hint="eastAsia"/>
          <w:szCs w:val="28"/>
        </w:rPr>
        <w:t>古物諮詢委員會的成員由政府任命，現有</w:t>
      </w:r>
      <w:r w:rsidRPr="00D552EE">
        <w:rPr>
          <w:rFonts w:cs="Times New Roman"/>
          <w:szCs w:val="28"/>
        </w:rPr>
        <w:t>21</w:t>
      </w:r>
      <w:r w:rsidRPr="00D552EE">
        <w:rPr>
          <w:rFonts w:cs="Times New Roman" w:hint="eastAsia"/>
          <w:szCs w:val="28"/>
        </w:rPr>
        <w:t>名，他們來自多個專業範疇，包括歷史學家，建築業界專業人士和社會人士，負責就古物古蹟事宜，向政府提供意見。目前，香港法定古蹟的總數為</w:t>
      </w:r>
      <w:r w:rsidRPr="00D552EE">
        <w:rPr>
          <w:rFonts w:cs="Times New Roman"/>
          <w:szCs w:val="28"/>
        </w:rPr>
        <w:t>120</w:t>
      </w:r>
      <w:r w:rsidRPr="00D552EE">
        <w:rPr>
          <w:rFonts w:cs="Times New Roman" w:hint="eastAsia"/>
          <w:szCs w:val="28"/>
        </w:rPr>
        <w:t>項，包括</w:t>
      </w:r>
      <w:r w:rsidRPr="00D552EE">
        <w:rPr>
          <w:rFonts w:cs="Times New Roman"/>
          <w:szCs w:val="28"/>
        </w:rPr>
        <w:t>96</w:t>
      </w:r>
      <w:r w:rsidRPr="00D552EE">
        <w:rPr>
          <w:rFonts w:cs="Times New Roman" w:hint="eastAsia"/>
          <w:szCs w:val="28"/>
        </w:rPr>
        <w:t>幢建築物，</w:t>
      </w:r>
      <w:r w:rsidRPr="00D552EE">
        <w:rPr>
          <w:rFonts w:cs="Times New Roman"/>
          <w:szCs w:val="28"/>
        </w:rPr>
        <w:t>24</w:t>
      </w:r>
      <w:r w:rsidRPr="00D552EE">
        <w:rPr>
          <w:rFonts w:cs="Times New Roman" w:hint="eastAsia"/>
          <w:szCs w:val="28"/>
        </w:rPr>
        <w:t>項為石刻、炮台、考古遺址及水塘。另外，古物諮詢委員會亦負責推行屬行政性質的歷史建築評級制度，為保育工作的推展提供客觀基礎。截至</w:t>
      </w:r>
      <w:r w:rsidRPr="00D552EE">
        <w:rPr>
          <w:rFonts w:cs="Times New Roman"/>
          <w:szCs w:val="28"/>
        </w:rPr>
        <w:t>2018</w:t>
      </w:r>
      <w:r w:rsidRPr="00D552EE">
        <w:rPr>
          <w:rFonts w:cs="Times New Roman" w:hint="eastAsia"/>
          <w:szCs w:val="28"/>
        </w:rPr>
        <w:t>年年底，古物諮詢委員會已確定</w:t>
      </w:r>
      <w:r w:rsidRPr="00D552EE">
        <w:rPr>
          <w:rFonts w:cs="Times New Roman"/>
          <w:szCs w:val="28"/>
        </w:rPr>
        <w:t>1 451</w:t>
      </w:r>
      <w:r w:rsidRPr="00D552EE">
        <w:rPr>
          <w:rFonts w:cs="Times New Roman" w:hint="eastAsia"/>
          <w:szCs w:val="28"/>
        </w:rPr>
        <w:t>幢歷史建築的評級，當中</w:t>
      </w:r>
      <w:r w:rsidRPr="00D552EE">
        <w:rPr>
          <w:rFonts w:cs="Times New Roman"/>
          <w:szCs w:val="28"/>
        </w:rPr>
        <w:t>180</w:t>
      </w:r>
      <w:r w:rsidRPr="00D552EE">
        <w:rPr>
          <w:rFonts w:cs="Times New Roman" w:hint="eastAsia"/>
          <w:szCs w:val="28"/>
        </w:rPr>
        <w:t>幢為一級歷史建築，</w:t>
      </w:r>
      <w:r w:rsidRPr="00D552EE">
        <w:rPr>
          <w:rFonts w:cs="Times New Roman"/>
          <w:szCs w:val="28"/>
        </w:rPr>
        <w:t>373</w:t>
      </w:r>
      <w:r w:rsidRPr="00D552EE">
        <w:rPr>
          <w:rFonts w:cs="Times New Roman" w:hint="eastAsia"/>
          <w:szCs w:val="28"/>
        </w:rPr>
        <w:t>幢為二級歷史建築，</w:t>
      </w:r>
      <w:r w:rsidRPr="00D552EE">
        <w:rPr>
          <w:rFonts w:cs="Times New Roman"/>
          <w:szCs w:val="28"/>
        </w:rPr>
        <w:t>545</w:t>
      </w:r>
      <w:r w:rsidRPr="00D552EE">
        <w:rPr>
          <w:rFonts w:cs="Times New Roman" w:hint="eastAsia"/>
          <w:szCs w:val="28"/>
        </w:rPr>
        <w:t>幢為三級歷史建築，而餘下為不予評級。</w:t>
      </w:r>
    </w:p>
    <w:p w:rsidR="00621DE3" w:rsidRPr="00D552EE" w:rsidRDefault="00621DE3" w:rsidP="00621DE3">
      <w:pPr>
        <w:tabs>
          <w:tab w:val="left" w:pos="1440"/>
        </w:tabs>
        <w:adjustRightInd w:val="0"/>
        <w:snapToGrid w:val="0"/>
        <w:spacing w:line="400" w:lineRule="atLeast"/>
        <w:contextualSpacing/>
        <w:jc w:val="both"/>
        <w:rPr>
          <w:rFonts w:cs="Times New Roman"/>
          <w:szCs w:val="28"/>
        </w:rPr>
      </w:pPr>
    </w:p>
    <w:p w:rsidR="00621DE3" w:rsidRDefault="00621DE3" w:rsidP="00621DE3">
      <w:pPr>
        <w:tabs>
          <w:tab w:val="left" w:pos="1440"/>
        </w:tabs>
        <w:adjustRightInd w:val="0"/>
        <w:snapToGrid w:val="0"/>
        <w:spacing w:line="400" w:lineRule="atLeast"/>
        <w:contextualSpacing/>
        <w:jc w:val="both"/>
        <w:rPr>
          <w:rFonts w:cs="Times New Roman"/>
          <w:szCs w:val="28"/>
        </w:rPr>
      </w:pPr>
      <w:r>
        <w:rPr>
          <w:rFonts w:cs="Times New Roman" w:hint="eastAsia"/>
          <w:szCs w:val="28"/>
        </w:rPr>
        <w:t>5.</w:t>
      </w:r>
      <w:r>
        <w:rPr>
          <w:rFonts w:cs="Times New Roman"/>
          <w:szCs w:val="28"/>
        </w:rPr>
        <w:tab/>
      </w:r>
      <w:r w:rsidRPr="00790119">
        <w:rPr>
          <w:rFonts w:cs="Times New Roman" w:hint="eastAsia"/>
          <w:szCs w:val="28"/>
        </w:rPr>
        <w:t>自</w:t>
      </w:r>
      <w:r w:rsidRPr="00790119">
        <w:rPr>
          <w:rFonts w:cs="Times New Roman" w:hint="eastAsia"/>
          <w:szCs w:val="28"/>
        </w:rPr>
        <w:t>2000</w:t>
      </w:r>
      <w:r w:rsidRPr="00790119">
        <w:rPr>
          <w:rFonts w:cs="Times New Roman" w:hint="eastAsia"/>
          <w:szCs w:val="28"/>
        </w:rPr>
        <w:t>年聯合國教育、科學及文化組織亞太區文化遺產保護獎設立以來，香港共有</w:t>
      </w:r>
      <w:r w:rsidRPr="00790119">
        <w:rPr>
          <w:rFonts w:cs="Times New Roman" w:hint="eastAsia"/>
          <w:szCs w:val="28"/>
        </w:rPr>
        <w:t>18</w:t>
      </w:r>
      <w:r w:rsidRPr="00790119">
        <w:rPr>
          <w:rFonts w:cs="Times New Roman" w:hint="eastAsia"/>
          <w:szCs w:val="28"/>
        </w:rPr>
        <w:t>個文物項目獲獎。當中五個獲獎項目屬於活化歷史建築伙伴計劃，其中「</w:t>
      </w:r>
      <w:r w:rsidRPr="00790119">
        <w:rPr>
          <w:rFonts w:cs="Times New Roman" w:hint="eastAsia"/>
          <w:szCs w:val="28"/>
        </w:rPr>
        <w:t>We</w:t>
      </w:r>
      <w:r w:rsidRPr="00790119">
        <w:rPr>
          <w:rFonts w:cs="Times New Roman" w:hint="eastAsia"/>
          <w:szCs w:val="28"/>
        </w:rPr>
        <w:t>嘩藍屋」項目更在</w:t>
      </w:r>
      <w:r w:rsidRPr="00790119">
        <w:rPr>
          <w:rFonts w:cs="Times New Roman" w:hint="eastAsia"/>
          <w:szCs w:val="28"/>
        </w:rPr>
        <w:t>2017</w:t>
      </w:r>
      <w:r w:rsidRPr="00790119">
        <w:rPr>
          <w:rFonts w:cs="Times New Roman" w:hint="eastAsia"/>
          <w:szCs w:val="28"/>
        </w:rPr>
        <w:t>年獲取該獎項的最高榮譽「卓越獎項」。</w:t>
      </w:r>
    </w:p>
    <w:p w:rsidR="00621DE3" w:rsidRDefault="00621DE3" w:rsidP="00621DE3">
      <w:pPr>
        <w:snapToGrid w:val="0"/>
        <w:spacing w:line="400" w:lineRule="atLeast"/>
        <w:jc w:val="both"/>
        <w:rPr>
          <w:rFonts w:cs="Times New Roman"/>
          <w:szCs w:val="28"/>
        </w:rPr>
      </w:pPr>
    </w:p>
    <w:p w:rsidR="00621DE3" w:rsidRDefault="00621DE3" w:rsidP="00621DE3">
      <w:pPr>
        <w:tabs>
          <w:tab w:val="left" w:pos="1440"/>
        </w:tabs>
        <w:adjustRightInd w:val="0"/>
        <w:snapToGrid w:val="0"/>
        <w:spacing w:line="400" w:lineRule="atLeast"/>
        <w:contextualSpacing/>
        <w:jc w:val="both"/>
        <w:rPr>
          <w:rFonts w:cs="Times New Roman"/>
          <w:szCs w:val="28"/>
        </w:rPr>
      </w:pPr>
      <w:r>
        <w:rPr>
          <w:rFonts w:cs="Times New Roman" w:hint="eastAsia"/>
          <w:szCs w:val="28"/>
        </w:rPr>
        <w:t>6.</w:t>
      </w:r>
      <w:r>
        <w:rPr>
          <w:rFonts w:cs="Times New Roman"/>
          <w:szCs w:val="28"/>
        </w:rPr>
        <w:tab/>
      </w:r>
      <w:r w:rsidRPr="00790119">
        <w:rPr>
          <w:rFonts w:cs="Times New Roman" w:hint="eastAsia"/>
          <w:szCs w:val="28"/>
        </w:rPr>
        <w:t>此外，政府聯同香港賽馬會活化中區警署建築羣（三組法定古蹟）成為「大館」，並與同心教育文化慈善基金會合作，一同活化荷李活道前已婚警察宿舍（三級歷史建築）為「元創方」，成為充滿活力的創意中心。</w:t>
      </w:r>
    </w:p>
    <w:p w:rsidR="00621DE3" w:rsidRDefault="00621DE3" w:rsidP="00621DE3">
      <w:pPr>
        <w:snapToGrid w:val="0"/>
        <w:spacing w:line="400" w:lineRule="atLeast"/>
        <w:jc w:val="both"/>
        <w:rPr>
          <w:rFonts w:cs="Times New Roman"/>
          <w:szCs w:val="28"/>
        </w:rPr>
      </w:pPr>
    </w:p>
    <w:p w:rsidR="00621DE3" w:rsidRPr="00D552EE" w:rsidRDefault="00621DE3" w:rsidP="00621DE3">
      <w:pPr>
        <w:tabs>
          <w:tab w:val="left" w:pos="1440"/>
        </w:tabs>
        <w:snapToGrid w:val="0"/>
        <w:spacing w:line="400" w:lineRule="atLeast"/>
        <w:jc w:val="both"/>
      </w:pPr>
      <w:r w:rsidRPr="00812B53">
        <w:rPr>
          <w:szCs w:val="28"/>
        </w:rPr>
        <w:t>7.</w:t>
      </w:r>
      <w:r w:rsidRPr="00812B53">
        <w:rPr>
          <w:szCs w:val="28"/>
        </w:rPr>
        <w:tab/>
      </w:r>
      <w:r w:rsidRPr="00812B53">
        <w:rPr>
          <w:rFonts w:hint="eastAsia"/>
          <w:szCs w:val="28"/>
        </w:rPr>
        <w:t>在私人擁有的歷史建築方面，文物保育專員辦事處監察法定古蹟及已評級歷史建築的工程或發展計劃，並會與歷史建築的私人業主合作，共同探討保育方案。透過商討和提供各種經濟誘因，包括放寬地積比率及建築物高度限制等發展參數和非原址換地等，文物保育專員辦事處獲得私人業主的同意全面或局部保育他們的歷史建築。這些措施有效地保存了一些重要的歷史建築，包括景賢里（法定古蹟）、</w:t>
      </w:r>
      <w:r w:rsidRPr="00812B53">
        <w:rPr>
          <w:szCs w:val="28"/>
        </w:rPr>
        <w:t>Jessville</w:t>
      </w:r>
      <w:r w:rsidRPr="00812B53">
        <w:rPr>
          <w:rFonts w:hint="eastAsia"/>
          <w:szCs w:val="28"/>
        </w:rPr>
        <w:t>大宅（三級歷史建築）、中華電力有限公司行政辦事處的鐘樓（一級歷史建築）、甘道</w:t>
      </w:r>
      <w:r w:rsidRPr="00812B53">
        <w:rPr>
          <w:szCs w:val="28"/>
        </w:rPr>
        <w:t>23</w:t>
      </w:r>
      <w:r w:rsidRPr="00812B53">
        <w:rPr>
          <w:rFonts w:hint="eastAsia"/>
          <w:szCs w:val="28"/>
        </w:rPr>
        <w:t>號大宅（一級歷史建築），以及瑪利諾神父宿舍（一級歷史建築）。</w:t>
      </w:r>
    </w:p>
    <w:p w:rsidR="001324ED" w:rsidRDefault="001324ED" w:rsidP="001745ED">
      <w:pPr>
        <w:tabs>
          <w:tab w:val="left" w:pos="1440"/>
          <w:tab w:val="left" w:pos="1680"/>
        </w:tabs>
        <w:adjustRightInd w:val="0"/>
        <w:snapToGrid w:val="0"/>
        <w:spacing w:line="400" w:lineRule="atLeast"/>
        <w:ind w:right="-154"/>
        <w:jc w:val="both"/>
        <w:rPr>
          <w:rFonts w:cs="Times New Roman"/>
          <w:bCs/>
          <w:kern w:val="0"/>
          <w:szCs w:val="28"/>
        </w:rPr>
        <w:sectPr w:rsidR="001324ED" w:rsidSect="00BC3DC7">
          <w:footerReference w:type="default" r:id="rId86"/>
          <w:footerReference w:type="first" r:id="rId87"/>
          <w:pgSz w:w="11906" w:h="16838"/>
          <w:pgMar w:top="1440" w:right="1800" w:bottom="1440" w:left="1800" w:header="720" w:footer="720" w:gutter="0"/>
          <w:pgNumType w:start="1"/>
          <w:cols w:space="425"/>
          <w:titlePg/>
          <w:docGrid w:type="lines" w:linePitch="381"/>
        </w:sectPr>
      </w:pPr>
    </w:p>
    <w:p w:rsidR="00E01471" w:rsidRDefault="00E01471" w:rsidP="00E01471">
      <w:pPr>
        <w:snapToGrid w:val="0"/>
        <w:spacing w:line="400" w:lineRule="atLeast"/>
        <w:jc w:val="right"/>
        <w:rPr>
          <w:b/>
          <w:szCs w:val="28"/>
        </w:rPr>
      </w:pPr>
      <w:r w:rsidRPr="00C330D2">
        <w:rPr>
          <w:rFonts w:hint="eastAsia"/>
          <w:b/>
          <w:szCs w:val="28"/>
          <w:lang w:eastAsia="zh-HK"/>
        </w:rPr>
        <w:lastRenderedPageBreak/>
        <w:t>附件</w:t>
      </w:r>
      <w:r w:rsidRPr="00C330D2">
        <w:rPr>
          <w:rFonts w:hint="eastAsia"/>
          <w:b/>
          <w:szCs w:val="28"/>
        </w:rPr>
        <w:t>15</w:t>
      </w:r>
      <w:r>
        <w:rPr>
          <w:rFonts w:hint="eastAsia"/>
          <w:b/>
          <w:szCs w:val="28"/>
        </w:rPr>
        <w:t>C</w:t>
      </w:r>
    </w:p>
    <w:p w:rsidR="00E01471" w:rsidRDefault="00E01471" w:rsidP="00E01471">
      <w:pPr>
        <w:snapToGrid w:val="0"/>
        <w:spacing w:line="400" w:lineRule="atLeast"/>
        <w:jc w:val="center"/>
        <w:rPr>
          <w:b/>
          <w:szCs w:val="28"/>
        </w:rPr>
      </w:pPr>
    </w:p>
    <w:p w:rsidR="00E01471" w:rsidRDefault="00E01471" w:rsidP="00E01471">
      <w:pPr>
        <w:snapToGrid w:val="0"/>
        <w:spacing w:line="400" w:lineRule="atLeast"/>
        <w:jc w:val="center"/>
        <w:rPr>
          <w:b/>
          <w:szCs w:val="28"/>
        </w:rPr>
      </w:pPr>
      <w:r>
        <w:rPr>
          <w:rFonts w:hint="eastAsia"/>
          <w:b/>
          <w:szCs w:val="28"/>
          <w:lang w:eastAsia="zh-HK"/>
        </w:rPr>
        <w:t>推動創科</w:t>
      </w:r>
      <w:r>
        <w:rPr>
          <w:rFonts w:hint="eastAsia"/>
          <w:b/>
          <w:szCs w:val="28"/>
        </w:rPr>
        <w:t>發</w:t>
      </w:r>
      <w:r>
        <w:rPr>
          <w:rFonts w:hint="eastAsia"/>
          <w:b/>
          <w:szCs w:val="28"/>
          <w:lang w:eastAsia="zh-HK"/>
        </w:rPr>
        <w:t>展</w:t>
      </w:r>
    </w:p>
    <w:p w:rsidR="00E01471" w:rsidRPr="00D552EE" w:rsidRDefault="00E01471" w:rsidP="00E01471">
      <w:pPr>
        <w:adjustRightInd w:val="0"/>
        <w:snapToGrid w:val="0"/>
        <w:spacing w:line="400" w:lineRule="atLeast"/>
        <w:contextualSpacing/>
        <w:jc w:val="both"/>
        <w:rPr>
          <w:rFonts w:cs="Times New Roman"/>
          <w:szCs w:val="28"/>
        </w:rPr>
      </w:pPr>
    </w:p>
    <w:p w:rsidR="00E01471" w:rsidRDefault="00E01471" w:rsidP="00E01471">
      <w:pPr>
        <w:tabs>
          <w:tab w:val="left" w:pos="1440"/>
        </w:tabs>
        <w:adjustRightInd w:val="0"/>
        <w:snapToGrid w:val="0"/>
        <w:spacing w:line="400" w:lineRule="atLeast"/>
        <w:contextualSpacing/>
        <w:jc w:val="both"/>
        <w:rPr>
          <w:rFonts w:cs="Times New Roman"/>
          <w:szCs w:val="28"/>
        </w:rPr>
      </w:pPr>
      <w:r>
        <w:rPr>
          <w:rFonts w:cs="Times New Roman" w:hint="eastAsia"/>
          <w:szCs w:val="28"/>
        </w:rPr>
        <w:t>1.</w:t>
      </w:r>
      <w:r w:rsidRPr="00D552EE">
        <w:rPr>
          <w:rFonts w:cs="Times New Roman" w:hint="eastAsia"/>
          <w:szCs w:val="28"/>
        </w:rPr>
        <w:tab/>
      </w:r>
      <w:r w:rsidRPr="00E2779E">
        <w:rPr>
          <w:rFonts w:cs="Times New Roman" w:hint="eastAsia"/>
          <w:szCs w:val="28"/>
        </w:rPr>
        <w:t>新的創新及科技局於</w:t>
      </w:r>
      <w:r w:rsidRPr="00E2779E">
        <w:rPr>
          <w:rFonts w:cs="Times New Roman" w:hint="eastAsia"/>
          <w:szCs w:val="28"/>
        </w:rPr>
        <w:t>2015</w:t>
      </w:r>
      <w:r w:rsidRPr="00E2779E">
        <w:rPr>
          <w:rFonts w:cs="Times New Roman" w:hint="eastAsia"/>
          <w:szCs w:val="28"/>
        </w:rPr>
        <w:t>年</w:t>
      </w:r>
      <w:r w:rsidRPr="00E2779E">
        <w:rPr>
          <w:rFonts w:cs="Times New Roman" w:hint="eastAsia"/>
          <w:szCs w:val="28"/>
        </w:rPr>
        <w:t>11</w:t>
      </w:r>
      <w:r w:rsidRPr="00E2779E">
        <w:rPr>
          <w:rFonts w:cs="Times New Roman" w:hint="eastAsia"/>
          <w:szCs w:val="28"/>
        </w:rPr>
        <w:t>月成立，負責制訂全面的創科政策，以及加強包括「官產學研」在內各持分者的合作。目標是透過推動創科帶動經濟多元化發展，藉此提升香港的競爭力，以及改善市民的生活質素。</w:t>
      </w:r>
    </w:p>
    <w:p w:rsidR="00E01471" w:rsidRDefault="00E01471" w:rsidP="00E01471">
      <w:pPr>
        <w:tabs>
          <w:tab w:val="left" w:pos="1440"/>
        </w:tabs>
        <w:adjustRightInd w:val="0"/>
        <w:snapToGrid w:val="0"/>
        <w:spacing w:line="400" w:lineRule="atLeast"/>
        <w:contextualSpacing/>
        <w:jc w:val="both"/>
        <w:rPr>
          <w:rFonts w:cs="Times New Roman"/>
          <w:szCs w:val="28"/>
        </w:rPr>
      </w:pPr>
    </w:p>
    <w:p w:rsidR="00E01471" w:rsidRPr="00D552EE" w:rsidRDefault="00E01471" w:rsidP="00E01471">
      <w:pPr>
        <w:tabs>
          <w:tab w:val="left" w:pos="1440"/>
        </w:tabs>
        <w:adjustRightInd w:val="0"/>
        <w:snapToGrid w:val="0"/>
        <w:spacing w:line="400" w:lineRule="atLeast"/>
        <w:contextualSpacing/>
        <w:jc w:val="both"/>
        <w:rPr>
          <w:rFonts w:cs="Times New Roman"/>
          <w:szCs w:val="28"/>
        </w:rPr>
      </w:pPr>
      <w:r>
        <w:rPr>
          <w:rFonts w:cs="Times New Roman" w:hint="eastAsia"/>
          <w:szCs w:val="28"/>
        </w:rPr>
        <w:t>2.</w:t>
      </w:r>
      <w:r>
        <w:rPr>
          <w:rFonts w:cs="Times New Roman"/>
          <w:szCs w:val="28"/>
        </w:rPr>
        <w:tab/>
      </w:r>
      <w:r w:rsidRPr="00E2779E">
        <w:rPr>
          <w:rFonts w:cs="Times New Roman" w:hint="eastAsia"/>
          <w:szCs w:val="28"/>
        </w:rPr>
        <w:t>創新及科技局下設創新科技署、政府資訊科技總監辦公室，以及效率促進辦公室（自</w:t>
      </w:r>
      <w:r w:rsidRPr="00E2779E">
        <w:rPr>
          <w:rFonts w:cs="Times New Roman" w:hint="eastAsia"/>
          <w:szCs w:val="28"/>
        </w:rPr>
        <w:t>2018</w:t>
      </w:r>
      <w:r w:rsidRPr="00E2779E">
        <w:rPr>
          <w:rFonts w:cs="Times New Roman" w:hint="eastAsia"/>
          <w:szCs w:val="28"/>
        </w:rPr>
        <w:t>年</w:t>
      </w:r>
      <w:r w:rsidRPr="00E2779E">
        <w:rPr>
          <w:rFonts w:cs="Times New Roman" w:hint="eastAsia"/>
          <w:szCs w:val="28"/>
        </w:rPr>
        <w:t>4</w:t>
      </w:r>
      <w:r w:rsidRPr="00E2779E">
        <w:rPr>
          <w:rFonts w:cs="Times New Roman" w:hint="eastAsia"/>
          <w:szCs w:val="28"/>
        </w:rPr>
        <w:t>月起）。創新科技署主要推動和支援研究及發展、科技轉移及應用、科技基礎設施，以及培育創科人才。創新科技署亦管理「創新及科技基金」。政府資訊科技總監辦公室負責推動資訊及通訊科技和智慧城市的發展，以及在政府內部提供資訊科技支援。效率促進辦公室透過推動應用科技和促進創新及協作，協助各政府部門提升運作效率和改善公共服務。</w:t>
      </w:r>
    </w:p>
    <w:p w:rsidR="00E01471" w:rsidRPr="00D552EE" w:rsidRDefault="00E01471" w:rsidP="00E01471">
      <w:pPr>
        <w:tabs>
          <w:tab w:val="left" w:pos="1440"/>
        </w:tabs>
        <w:adjustRightInd w:val="0"/>
        <w:snapToGrid w:val="0"/>
        <w:spacing w:line="400" w:lineRule="atLeast"/>
        <w:contextualSpacing/>
        <w:jc w:val="both"/>
        <w:rPr>
          <w:rFonts w:cs="Times New Roman"/>
          <w:szCs w:val="28"/>
        </w:rPr>
      </w:pPr>
    </w:p>
    <w:p w:rsidR="00E01471" w:rsidRPr="00D552EE" w:rsidRDefault="00E01471" w:rsidP="00E01471">
      <w:pPr>
        <w:tabs>
          <w:tab w:val="left" w:pos="1440"/>
        </w:tabs>
        <w:adjustRightInd w:val="0"/>
        <w:snapToGrid w:val="0"/>
        <w:spacing w:line="400" w:lineRule="atLeast"/>
        <w:contextualSpacing/>
        <w:jc w:val="both"/>
        <w:rPr>
          <w:rFonts w:cs="Times New Roman"/>
          <w:szCs w:val="28"/>
        </w:rPr>
      </w:pPr>
      <w:r>
        <w:rPr>
          <w:rFonts w:cs="Times New Roman" w:hint="eastAsia"/>
          <w:szCs w:val="28"/>
        </w:rPr>
        <w:t>3.</w:t>
      </w:r>
      <w:r>
        <w:rPr>
          <w:rFonts w:cs="Times New Roman"/>
          <w:szCs w:val="28"/>
        </w:rPr>
        <w:tab/>
      </w:r>
      <w:r w:rsidRPr="00E2779E">
        <w:rPr>
          <w:rFonts w:cs="Times New Roman" w:hint="eastAsia"/>
          <w:szCs w:val="28"/>
        </w:rPr>
        <w:t>行政長官在</w:t>
      </w:r>
      <w:r w:rsidRPr="00E2779E">
        <w:rPr>
          <w:rFonts w:cs="Times New Roman" w:hint="eastAsia"/>
          <w:szCs w:val="28"/>
        </w:rPr>
        <w:t>2017</w:t>
      </w:r>
      <w:r w:rsidRPr="00E2779E">
        <w:rPr>
          <w:rFonts w:cs="Times New Roman" w:hint="eastAsia"/>
          <w:szCs w:val="28"/>
        </w:rPr>
        <w:t>年</w:t>
      </w:r>
      <w:r w:rsidRPr="00E2779E">
        <w:rPr>
          <w:rFonts w:cs="Times New Roman" w:hint="eastAsia"/>
          <w:szCs w:val="28"/>
        </w:rPr>
        <w:t>10</w:t>
      </w:r>
      <w:r w:rsidRPr="00E2779E">
        <w:rPr>
          <w:rFonts w:cs="Times New Roman" w:hint="eastAsia"/>
          <w:szCs w:val="28"/>
        </w:rPr>
        <w:t>月發表的《施政報告》訂下推動創科發展的八大方向，包括增加研發資源、匯聚科技人才、提供創投資金、提供科研基建、檢視現行法例及法規、開放政府數據、優化政府採購安排，以及推動科普教育。由行政長官主持的創新及科技督導委員會已經成立，循八大方向督導創科發展。</w:t>
      </w:r>
    </w:p>
    <w:p w:rsidR="00E01471" w:rsidRDefault="00E01471" w:rsidP="00E01471">
      <w:pPr>
        <w:snapToGrid w:val="0"/>
        <w:spacing w:line="400" w:lineRule="atLeast"/>
        <w:jc w:val="both"/>
        <w:rPr>
          <w:b/>
          <w:szCs w:val="28"/>
        </w:rPr>
      </w:pPr>
    </w:p>
    <w:p w:rsidR="00E01471" w:rsidRPr="00D552EE" w:rsidRDefault="00E01471" w:rsidP="00E01471">
      <w:pPr>
        <w:tabs>
          <w:tab w:val="left" w:pos="1440"/>
        </w:tabs>
        <w:adjustRightInd w:val="0"/>
        <w:snapToGrid w:val="0"/>
        <w:spacing w:line="400" w:lineRule="atLeast"/>
        <w:contextualSpacing/>
        <w:jc w:val="both"/>
        <w:rPr>
          <w:rFonts w:cs="Times New Roman"/>
          <w:szCs w:val="28"/>
        </w:rPr>
      </w:pPr>
      <w:r>
        <w:rPr>
          <w:rFonts w:cs="Times New Roman" w:hint="eastAsia"/>
          <w:szCs w:val="28"/>
        </w:rPr>
        <w:t>4.</w:t>
      </w:r>
      <w:r>
        <w:rPr>
          <w:rFonts w:cs="Times New Roman"/>
          <w:szCs w:val="28"/>
        </w:rPr>
        <w:tab/>
      </w:r>
      <w:r w:rsidRPr="00652E60">
        <w:rPr>
          <w:rFonts w:cs="Times New Roman" w:hint="eastAsia"/>
          <w:szCs w:val="28"/>
        </w:rPr>
        <w:t>我們已推出多項針對性措施。例如：為合資格研發開支提供高達</w:t>
      </w:r>
      <w:r w:rsidRPr="00652E60">
        <w:rPr>
          <w:rFonts w:cs="Times New Roman" w:hint="eastAsia"/>
          <w:szCs w:val="28"/>
        </w:rPr>
        <w:t>300%</w:t>
      </w:r>
      <w:r w:rsidRPr="00652E60">
        <w:rPr>
          <w:rFonts w:cs="Times New Roman" w:hint="eastAsia"/>
          <w:szCs w:val="28"/>
        </w:rPr>
        <w:t>額外稅務扣減；建設兩個世界級的科技創新平台，專注於醫療科技，以及人工智能及機械人科技；發展「港深創新及科技園」為重點科研合作基地；推出「科技人才入境計劃」加快輸入非本地科技人才及「科技專才培育計劃」培育本地科技人才；推出「創科創投基金」帶動風險投資基金投資本地創科初創企業；推行新的開放政府數據政策；發表「智慧城市藍圖」等。政府已投放超過</w:t>
      </w:r>
      <w:r w:rsidRPr="00652E60">
        <w:rPr>
          <w:rFonts w:cs="Times New Roman" w:hint="eastAsia"/>
          <w:szCs w:val="28"/>
        </w:rPr>
        <w:t>1,000</w:t>
      </w:r>
      <w:r w:rsidRPr="00652E60">
        <w:rPr>
          <w:rFonts w:cs="Times New Roman" w:hint="eastAsia"/>
          <w:szCs w:val="28"/>
        </w:rPr>
        <w:t>億元推展各項措施。</w:t>
      </w:r>
    </w:p>
    <w:p w:rsidR="00E01471" w:rsidRDefault="00E01471" w:rsidP="00E01471">
      <w:pPr>
        <w:snapToGrid w:val="0"/>
        <w:spacing w:line="400" w:lineRule="atLeast"/>
        <w:jc w:val="both"/>
        <w:rPr>
          <w:b/>
          <w:szCs w:val="28"/>
        </w:rPr>
      </w:pPr>
    </w:p>
    <w:p w:rsidR="00BC2CCC" w:rsidRPr="00E01471" w:rsidRDefault="00E01471" w:rsidP="0096475F">
      <w:pPr>
        <w:tabs>
          <w:tab w:val="left" w:pos="1440"/>
        </w:tabs>
        <w:adjustRightInd w:val="0"/>
        <w:snapToGrid w:val="0"/>
        <w:spacing w:line="400" w:lineRule="atLeast"/>
        <w:contextualSpacing/>
        <w:jc w:val="both"/>
        <w:rPr>
          <w:rFonts w:cs="Times New Roman"/>
          <w:bCs/>
          <w:kern w:val="0"/>
          <w:szCs w:val="28"/>
        </w:rPr>
      </w:pPr>
      <w:r>
        <w:rPr>
          <w:rFonts w:cs="Times New Roman" w:hint="eastAsia"/>
          <w:szCs w:val="28"/>
        </w:rPr>
        <w:t>5.</w:t>
      </w:r>
      <w:r>
        <w:rPr>
          <w:rFonts w:cs="Times New Roman"/>
          <w:szCs w:val="28"/>
        </w:rPr>
        <w:tab/>
      </w:r>
      <w:r w:rsidRPr="00652E60">
        <w:rPr>
          <w:rFonts w:cs="Times New Roman" w:hint="eastAsia"/>
          <w:szCs w:val="28"/>
        </w:rPr>
        <w:t>前兩次報告提及的「創新及科技基金」繼續是政府資助創科發展的主要工具。基金目前設有</w:t>
      </w:r>
      <w:r w:rsidRPr="00652E60">
        <w:rPr>
          <w:rFonts w:cs="Times New Roman" w:hint="eastAsia"/>
          <w:szCs w:val="28"/>
        </w:rPr>
        <w:t>15</w:t>
      </w:r>
      <w:r w:rsidRPr="00652E60">
        <w:rPr>
          <w:rFonts w:cs="Times New Roman" w:hint="eastAsia"/>
          <w:szCs w:val="28"/>
        </w:rPr>
        <w:t>項資助計劃，各有不同的目的、</w:t>
      </w:r>
      <w:r w:rsidRPr="00652E60">
        <w:rPr>
          <w:rFonts w:cs="Times New Roman" w:hint="eastAsia"/>
          <w:szCs w:val="28"/>
        </w:rPr>
        <w:lastRenderedPageBreak/>
        <w:t>範圍及運作模式，分別用以支持研發、推動科技應用、培育科技人才、支援科技初創企業，以及培養創科文化。基金每年的資助額已由</w:t>
      </w:r>
      <w:r w:rsidRPr="00652E60">
        <w:rPr>
          <w:rFonts w:cs="Times New Roman" w:hint="eastAsia"/>
          <w:szCs w:val="28"/>
        </w:rPr>
        <w:t>2013-14</w:t>
      </w:r>
      <w:r w:rsidRPr="00652E60">
        <w:rPr>
          <w:rFonts w:cs="Times New Roman" w:hint="eastAsia"/>
          <w:szCs w:val="28"/>
        </w:rPr>
        <w:t>財政年度的</w:t>
      </w:r>
      <w:r w:rsidRPr="00652E60">
        <w:rPr>
          <w:rFonts w:cs="Times New Roman" w:hint="eastAsia"/>
          <w:szCs w:val="28"/>
        </w:rPr>
        <w:t>7.3</w:t>
      </w:r>
      <w:r w:rsidRPr="00652E60">
        <w:rPr>
          <w:rFonts w:cs="Times New Roman" w:hint="eastAsia"/>
          <w:szCs w:val="28"/>
        </w:rPr>
        <w:t>億元，倍增至</w:t>
      </w:r>
      <w:r w:rsidRPr="00652E60">
        <w:rPr>
          <w:rFonts w:cs="Times New Roman" w:hint="eastAsia"/>
          <w:szCs w:val="28"/>
        </w:rPr>
        <w:t>2017-18</w:t>
      </w:r>
      <w:r w:rsidRPr="00652E60">
        <w:rPr>
          <w:rFonts w:cs="Times New Roman" w:hint="eastAsia"/>
          <w:szCs w:val="28"/>
        </w:rPr>
        <w:t>財政年度的</w:t>
      </w:r>
      <w:r w:rsidRPr="00652E60">
        <w:rPr>
          <w:rFonts w:cs="Times New Roman" w:hint="eastAsia"/>
          <w:szCs w:val="28"/>
        </w:rPr>
        <w:t>15</w:t>
      </w:r>
      <w:r w:rsidRPr="00652E60">
        <w:rPr>
          <w:rFonts w:cs="Times New Roman" w:hint="eastAsia"/>
          <w:szCs w:val="28"/>
        </w:rPr>
        <w:t>億元。政府最近公布向基金注資</w:t>
      </w:r>
      <w:r w:rsidRPr="00652E60">
        <w:rPr>
          <w:rFonts w:cs="Times New Roman" w:hint="eastAsia"/>
          <w:szCs w:val="28"/>
        </w:rPr>
        <w:t>100</w:t>
      </w:r>
      <w:r w:rsidRPr="00652E60">
        <w:rPr>
          <w:rFonts w:cs="Times New Roman" w:hint="eastAsia"/>
          <w:szCs w:val="28"/>
        </w:rPr>
        <w:t>億元，支援基金持續運作，以及推行各項新措施。</w:t>
      </w:r>
    </w:p>
    <w:sectPr w:rsidR="00BC2CCC" w:rsidRPr="00E01471" w:rsidSect="00E01471">
      <w:footerReference w:type="default" r:id="rId88"/>
      <w:footerReference w:type="first" r:id="rId89"/>
      <w:pgSz w:w="11906" w:h="16838"/>
      <w:pgMar w:top="1440" w:right="1800" w:bottom="1440" w:left="1800" w:header="720" w:footer="720" w:gutter="0"/>
      <w:pgNumType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88" w:rsidRDefault="00E22C88" w:rsidP="006D2061">
      <w:r>
        <w:separator/>
      </w:r>
    </w:p>
  </w:endnote>
  <w:endnote w:type="continuationSeparator" w:id="0">
    <w:p w:rsidR="00E22C88" w:rsidRDefault="00E22C88" w:rsidP="006D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ew Gulim">
    <w:charset w:val="81"/>
    <w:family w:val="roman"/>
    <w:pitch w:val="variable"/>
    <w:sig w:usb0="B00002AF" w:usb1="7F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0" w:usb2="00000016" w:usb3="00000000" w:csb0="0004001F" w:csb1="00000000"/>
  </w:font>
  <w:font w:name="華康香港標準楷書">
    <w:panose1 w:val="03000509000000000000"/>
    <w:charset w:val="88"/>
    <w:family w:val="script"/>
    <w:pitch w:val="fixed"/>
    <w:sig w:usb0="A00002FF" w:usb1="38CFFDFA" w:usb2="00000016" w:usb3="00000000" w:csb0="001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rsidP="007F7E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E22C88" w:rsidRDefault="00E22C88">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35675"/>
      <w:docPartObj>
        <w:docPartGallery w:val="Page Numbers (Bottom of Page)"/>
        <w:docPartUnique/>
      </w:docPartObj>
    </w:sdtPr>
    <w:sdtEndPr>
      <w:rPr>
        <w:rFonts w:ascii="Times New Roman" w:hAnsi="Times New Roman" w:cs="Times New Roman"/>
        <w:sz w:val="24"/>
      </w:rPr>
    </w:sdtEndPr>
    <w:sdtContent>
      <w:p w:rsidR="00E22C88" w:rsidRPr="00864159" w:rsidRDefault="00E22C88" w:rsidP="005C4451">
        <w:pPr>
          <w:pStyle w:val="a3"/>
          <w:jc w:val="center"/>
          <w:rPr>
            <w:rFonts w:ascii="Times New Roman" w:hAnsi="Times New Roman" w:cs="Times New Roman"/>
            <w:sz w:val="24"/>
          </w:rPr>
        </w:pPr>
        <w:r w:rsidRPr="00602382">
          <w:rPr>
            <w:rFonts w:ascii="Times New Roman" w:hAnsi="Times New Roman" w:cs="Times New Roman"/>
            <w:sz w:val="24"/>
          </w:rPr>
          <w:fldChar w:fldCharType="begin"/>
        </w:r>
        <w:r w:rsidRPr="00602382">
          <w:rPr>
            <w:rFonts w:ascii="Times New Roman" w:hAnsi="Times New Roman" w:cs="Times New Roman"/>
            <w:sz w:val="24"/>
          </w:rPr>
          <w:instrText>PAGE   \* MERGEFORMAT</w:instrText>
        </w:r>
        <w:r w:rsidRPr="00602382">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602382">
          <w:rPr>
            <w:rFonts w:ascii="Times New Roman" w:hAnsi="Times New Roman" w:cs="Times New Roman"/>
            <w:sz w:val="24"/>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697705"/>
      <w:docPartObj>
        <w:docPartGallery w:val="Page Numbers (Bottom of Page)"/>
        <w:docPartUnique/>
      </w:docPartObj>
    </w:sdtPr>
    <w:sdtEndPr>
      <w:rPr>
        <w:rFonts w:ascii="Times New Roman" w:hAnsi="Times New Roman"/>
        <w:sz w:val="24"/>
      </w:rPr>
    </w:sdtEndPr>
    <w:sdtContent>
      <w:p w:rsidR="00E22C88" w:rsidRPr="00CE1446" w:rsidRDefault="00E22C88" w:rsidP="005C4451">
        <w:pPr>
          <w:pStyle w:val="a3"/>
          <w:jc w:val="center"/>
          <w:rPr>
            <w:rFonts w:ascii="Times New Roman" w:hAnsi="Times New Roman"/>
            <w:sz w:val="24"/>
          </w:rPr>
        </w:pPr>
        <w:r w:rsidRPr="004B0BB2">
          <w:rPr>
            <w:rFonts w:ascii="Times New Roman" w:hAnsi="Times New Roman"/>
            <w:sz w:val="24"/>
          </w:rPr>
          <w:fldChar w:fldCharType="begin"/>
        </w:r>
        <w:r w:rsidRPr="004B0BB2">
          <w:rPr>
            <w:rFonts w:ascii="Times New Roman" w:hAnsi="Times New Roman"/>
            <w:sz w:val="24"/>
          </w:rPr>
          <w:instrText>PAGE   \* MERGEFORMAT</w:instrText>
        </w:r>
        <w:r w:rsidRPr="004B0BB2">
          <w:rPr>
            <w:rFonts w:ascii="Times New Roman" w:hAnsi="Times New Roman"/>
            <w:sz w:val="24"/>
          </w:rPr>
          <w:fldChar w:fldCharType="separate"/>
        </w:r>
        <w:r w:rsidR="00B658E3" w:rsidRPr="00B658E3">
          <w:rPr>
            <w:rFonts w:ascii="Times New Roman" w:hAnsi="Times New Roman"/>
            <w:noProof/>
            <w:sz w:val="24"/>
            <w:lang w:val="zh-TW"/>
          </w:rPr>
          <w:t>1</w:t>
        </w:r>
        <w:r w:rsidRPr="004B0BB2">
          <w:rPr>
            <w:rFonts w:ascii="Times New Roman" w:hAnsi="Times New Roman"/>
            <w:sz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79967"/>
      <w:docPartObj>
        <w:docPartGallery w:val="Page Numbers (Bottom of Page)"/>
        <w:docPartUnique/>
      </w:docPartObj>
    </w:sdtPr>
    <w:sdtEndPr>
      <w:rPr>
        <w:rFonts w:ascii="Times New Roman" w:hAnsi="Times New Roman"/>
        <w:sz w:val="24"/>
      </w:rPr>
    </w:sdtEndPr>
    <w:sdtContent>
      <w:p w:rsidR="00E22C88" w:rsidRPr="005F5AFE" w:rsidRDefault="00E22C88" w:rsidP="005C4451">
        <w:pPr>
          <w:pStyle w:val="a3"/>
          <w:jc w:val="center"/>
          <w:rPr>
            <w:rFonts w:ascii="Times New Roman" w:hAnsi="Times New Roman"/>
            <w:sz w:val="24"/>
          </w:rPr>
        </w:pPr>
        <w:r w:rsidRPr="00E03BB8">
          <w:rPr>
            <w:rFonts w:ascii="Times New Roman" w:hAnsi="Times New Roman"/>
            <w:sz w:val="24"/>
          </w:rPr>
          <w:fldChar w:fldCharType="begin"/>
        </w:r>
        <w:r w:rsidRPr="00E03BB8">
          <w:rPr>
            <w:rFonts w:ascii="Times New Roman" w:hAnsi="Times New Roman"/>
            <w:sz w:val="24"/>
          </w:rPr>
          <w:instrText>PAGE   \* MERGEFORMAT</w:instrText>
        </w:r>
        <w:r w:rsidRPr="00E03BB8">
          <w:rPr>
            <w:rFonts w:ascii="Times New Roman" w:hAnsi="Times New Roman"/>
            <w:sz w:val="24"/>
          </w:rPr>
          <w:fldChar w:fldCharType="separate"/>
        </w:r>
        <w:r w:rsidR="00B658E3" w:rsidRPr="00B658E3">
          <w:rPr>
            <w:rFonts w:ascii="Times New Roman" w:hAnsi="Times New Roman"/>
            <w:noProof/>
            <w:sz w:val="24"/>
            <w:lang w:val="zh-TW"/>
          </w:rPr>
          <w:t>1</w:t>
        </w:r>
        <w:r w:rsidRPr="00E03BB8">
          <w:rPr>
            <w:rFonts w:ascii="Times New Roman" w:hAnsi="Times New Roman"/>
            <w:sz w:val="24"/>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51741893"/>
      <w:docPartObj>
        <w:docPartGallery w:val="Page Numbers (Bottom of Page)"/>
        <w:docPartUnique/>
      </w:docPartObj>
    </w:sdtPr>
    <w:sdtEndPr/>
    <w:sdtContent>
      <w:p w:rsidR="00E22C88" w:rsidRDefault="00E22C88" w:rsidP="005C4451">
        <w:pPr>
          <w:pStyle w:val="a3"/>
          <w:jc w:val="center"/>
        </w:pPr>
        <w:r w:rsidRPr="00FE6DD2">
          <w:rPr>
            <w:rFonts w:ascii="Times New Roman" w:hAnsi="Times New Roman"/>
            <w:sz w:val="24"/>
          </w:rPr>
          <w:fldChar w:fldCharType="begin"/>
        </w:r>
        <w:r w:rsidRPr="00FE6DD2">
          <w:rPr>
            <w:rFonts w:ascii="Times New Roman" w:hAnsi="Times New Roman"/>
            <w:sz w:val="24"/>
          </w:rPr>
          <w:instrText>PAGE   \* MERGEFORMAT</w:instrText>
        </w:r>
        <w:r w:rsidRPr="00FE6DD2">
          <w:rPr>
            <w:rFonts w:ascii="Times New Roman" w:hAnsi="Times New Roman"/>
            <w:sz w:val="24"/>
          </w:rPr>
          <w:fldChar w:fldCharType="separate"/>
        </w:r>
        <w:r w:rsidR="00B658E3" w:rsidRPr="00B658E3">
          <w:rPr>
            <w:rFonts w:ascii="Times New Roman" w:hAnsi="Times New Roman"/>
            <w:noProof/>
            <w:sz w:val="24"/>
            <w:lang w:val="zh-TW"/>
          </w:rPr>
          <w:t>1</w:t>
        </w:r>
        <w:r w:rsidRPr="00FE6DD2">
          <w:rPr>
            <w:rFonts w:ascii="Times New Roman" w:hAnsi="Times New Roman"/>
            <w:sz w:val="24"/>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FE6DD2" w:rsidRDefault="00E22C88">
    <w:pPr>
      <w:pStyle w:val="a3"/>
      <w:jc w:val="center"/>
      <w:rPr>
        <w:rFonts w:ascii="Times New Roman" w:hAnsi="Times New Roman"/>
        <w:sz w:val="24"/>
      </w:rPr>
    </w:pPr>
  </w:p>
  <w:p w:rsidR="00E22C88" w:rsidRDefault="00E22C88">
    <w:pPr>
      <w:pStyle w:val="a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059276"/>
      <w:docPartObj>
        <w:docPartGallery w:val="Page Numbers (Bottom of Page)"/>
        <w:docPartUnique/>
      </w:docPartObj>
    </w:sdtPr>
    <w:sdtEndPr>
      <w:rPr>
        <w:rFonts w:ascii="Times New Roman" w:hAnsi="Times New Roman" w:cs="Times New Roman"/>
        <w:sz w:val="24"/>
      </w:rPr>
    </w:sdtEndPr>
    <w:sdtContent>
      <w:p w:rsidR="00E22C88" w:rsidRPr="009D4CDE" w:rsidRDefault="00E22C88" w:rsidP="005C4451">
        <w:pPr>
          <w:pStyle w:val="a3"/>
          <w:jc w:val="center"/>
          <w:rPr>
            <w:rFonts w:ascii="Times New Roman" w:hAnsi="Times New Roman" w:cs="Times New Roman"/>
            <w:sz w:val="24"/>
          </w:rPr>
        </w:pPr>
        <w:r w:rsidRPr="009D4CDE">
          <w:rPr>
            <w:rFonts w:ascii="Times New Roman" w:hAnsi="Times New Roman" w:cs="Times New Roman"/>
            <w:sz w:val="24"/>
          </w:rPr>
          <w:fldChar w:fldCharType="begin"/>
        </w:r>
        <w:r w:rsidRPr="009D4CDE">
          <w:rPr>
            <w:rFonts w:ascii="Times New Roman" w:hAnsi="Times New Roman" w:cs="Times New Roman"/>
            <w:sz w:val="24"/>
          </w:rPr>
          <w:instrText>PAGE   \* MERGEFORMAT</w:instrText>
        </w:r>
        <w:r w:rsidRPr="009D4CDE">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9D4CDE">
          <w:rPr>
            <w:rFonts w:ascii="Times New Roman" w:hAnsi="Times New Roman" w:cs="Times New Roman"/>
            <w:sz w:val="24"/>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rsidP="005C4451">
    <w:pPr>
      <w:pStyle w:val="a3"/>
      <w:jc w:val="center"/>
    </w:pPr>
    <w:r w:rsidRPr="00AF5B7B">
      <w:rPr>
        <w:rFonts w:ascii="Times New Roman" w:hAnsi="Times New Roman"/>
        <w:sz w:val="24"/>
        <w:szCs w:val="24"/>
      </w:rPr>
      <w:fldChar w:fldCharType="begin"/>
    </w:r>
    <w:r w:rsidRPr="00AF5B7B">
      <w:rPr>
        <w:rFonts w:ascii="Times New Roman" w:hAnsi="Times New Roman"/>
        <w:sz w:val="24"/>
        <w:szCs w:val="24"/>
      </w:rPr>
      <w:instrText>PAGE   \* MERGEFORMAT</w:instrText>
    </w:r>
    <w:r w:rsidRPr="00AF5B7B">
      <w:rPr>
        <w:rFonts w:ascii="Times New Roman" w:hAnsi="Times New Roman"/>
        <w:sz w:val="24"/>
        <w:szCs w:val="24"/>
      </w:rPr>
      <w:fldChar w:fldCharType="separate"/>
    </w:r>
    <w:r w:rsidR="00B658E3" w:rsidRPr="00B658E3">
      <w:rPr>
        <w:rFonts w:ascii="Times New Roman" w:hAnsi="Times New Roman"/>
        <w:noProof/>
        <w:sz w:val="24"/>
        <w:szCs w:val="24"/>
        <w:lang w:val="zh-TW"/>
      </w:rPr>
      <w:t>2</w:t>
    </w:r>
    <w:r w:rsidRPr="00AF5B7B">
      <w:rPr>
        <w:rFonts w:ascii="Times New Roman" w:hAnsi="Times New Roman"/>
        <w:sz w:val="24"/>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13871"/>
      <w:docPartObj>
        <w:docPartGallery w:val="Page Numbers (Bottom of Page)"/>
        <w:docPartUnique/>
      </w:docPartObj>
    </w:sdtPr>
    <w:sdtEndPr>
      <w:rPr>
        <w:rFonts w:ascii="Times New Roman" w:hAnsi="Times New Roman" w:cs="Times New Roman"/>
        <w:sz w:val="24"/>
      </w:rPr>
    </w:sdtEndPr>
    <w:sdtContent>
      <w:p w:rsidR="00E22C88" w:rsidRPr="008F1AC8" w:rsidRDefault="00E22C88" w:rsidP="008F1AC8">
        <w:pPr>
          <w:pStyle w:val="a3"/>
          <w:jc w:val="center"/>
          <w:rPr>
            <w:rFonts w:ascii="Times New Roman" w:hAnsi="Times New Roman" w:cs="Times New Roman"/>
            <w:sz w:val="24"/>
          </w:rPr>
        </w:pPr>
        <w:r w:rsidRPr="008F1AC8">
          <w:rPr>
            <w:rFonts w:ascii="Times New Roman" w:hAnsi="Times New Roman" w:cs="Times New Roman"/>
            <w:sz w:val="24"/>
          </w:rPr>
          <w:fldChar w:fldCharType="begin"/>
        </w:r>
        <w:r w:rsidRPr="008F1AC8">
          <w:rPr>
            <w:rFonts w:ascii="Times New Roman" w:hAnsi="Times New Roman" w:cs="Times New Roman"/>
            <w:sz w:val="24"/>
          </w:rPr>
          <w:instrText>PAGE   \* MERGEFORMAT</w:instrText>
        </w:r>
        <w:r w:rsidRPr="008F1AC8">
          <w:rPr>
            <w:rFonts w:ascii="Times New Roman" w:hAnsi="Times New Roman" w:cs="Times New Roman"/>
            <w:sz w:val="24"/>
          </w:rPr>
          <w:fldChar w:fldCharType="separate"/>
        </w:r>
        <w:r w:rsidR="00B658E3">
          <w:rPr>
            <w:rFonts w:ascii="Times New Roman" w:hAnsi="Times New Roman" w:cs="Times New Roman"/>
            <w:noProof/>
            <w:sz w:val="24"/>
          </w:rPr>
          <w:t>2</w:t>
        </w:r>
        <w:r w:rsidRPr="008F1AC8">
          <w:rPr>
            <w:rFonts w:ascii="Times New Roman" w:hAnsi="Times New Roman" w:cs="Times New Roman"/>
            <w:sz w:val="24"/>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41615"/>
      <w:docPartObj>
        <w:docPartGallery w:val="Page Numbers (Bottom of Page)"/>
        <w:docPartUnique/>
      </w:docPartObj>
    </w:sdtPr>
    <w:sdtEndPr/>
    <w:sdtContent>
      <w:p w:rsidR="00E22C88" w:rsidRDefault="00E22C88" w:rsidP="00E22C88">
        <w:pPr>
          <w:pStyle w:val="a3"/>
          <w:jc w:val="center"/>
        </w:pPr>
        <w:r w:rsidRPr="00D373FF">
          <w:rPr>
            <w:rFonts w:ascii="Times New Roman" w:hAnsi="Times New Roman" w:cs="Times New Roman"/>
            <w:sz w:val="24"/>
          </w:rPr>
          <w:fldChar w:fldCharType="begin"/>
        </w:r>
        <w:r w:rsidRPr="00D373FF">
          <w:rPr>
            <w:rFonts w:ascii="Times New Roman" w:hAnsi="Times New Roman" w:cs="Times New Roman"/>
            <w:sz w:val="24"/>
          </w:rPr>
          <w:instrText>PAGE   \* MERGEFORMAT</w:instrText>
        </w:r>
        <w:r w:rsidRPr="00D373FF">
          <w:rPr>
            <w:rFonts w:ascii="Times New Roman" w:hAnsi="Times New Roman" w:cs="Times New Roman"/>
            <w:sz w:val="24"/>
          </w:rPr>
          <w:fldChar w:fldCharType="separate"/>
        </w:r>
        <w:r w:rsidR="00B658E3" w:rsidRPr="00B658E3">
          <w:rPr>
            <w:rFonts w:ascii="Times New Roman" w:hAnsi="Times New Roman" w:cs="Times New Roman"/>
            <w:noProof/>
            <w:sz w:val="24"/>
            <w:lang w:val="zh-TW"/>
          </w:rPr>
          <w:t>2</w:t>
        </w:r>
        <w:r w:rsidRPr="00D373FF">
          <w:rPr>
            <w:rFonts w:ascii="Times New Roman" w:hAnsi="Times New Roman" w:cs="Times New Roman"/>
            <w:sz w:val="24"/>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73779"/>
      <w:docPartObj>
        <w:docPartGallery w:val="Page Numbers (Bottom of Page)"/>
        <w:docPartUnique/>
      </w:docPartObj>
    </w:sdtPr>
    <w:sdtEndPr>
      <w:rPr>
        <w:rFonts w:ascii="Times New Roman" w:hAnsi="Times New Roman" w:cs="Times New Roman"/>
        <w:sz w:val="24"/>
      </w:rPr>
    </w:sdtEndPr>
    <w:sdtContent>
      <w:p w:rsidR="00E22C88" w:rsidRPr="004809B7" w:rsidRDefault="00E22C88" w:rsidP="00E22C88">
        <w:pPr>
          <w:pStyle w:val="a3"/>
          <w:jc w:val="center"/>
          <w:rPr>
            <w:rFonts w:ascii="Times New Roman" w:hAnsi="Times New Roman" w:cs="Times New Roman"/>
            <w:sz w:val="24"/>
          </w:rPr>
        </w:pPr>
        <w:r w:rsidRPr="00D373FF">
          <w:rPr>
            <w:rFonts w:ascii="Times New Roman" w:hAnsi="Times New Roman" w:cs="Times New Roman"/>
            <w:sz w:val="24"/>
          </w:rPr>
          <w:fldChar w:fldCharType="begin"/>
        </w:r>
        <w:r w:rsidRPr="00D373FF">
          <w:rPr>
            <w:rFonts w:ascii="Times New Roman" w:hAnsi="Times New Roman" w:cs="Times New Roman"/>
            <w:sz w:val="24"/>
          </w:rPr>
          <w:instrText>PAGE   \* MERGEFORMAT</w:instrText>
        </w:r>
        <w:r w:rsidRPr="00D373FF">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D373FF">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738197"/>
      <w:docPartObj>
        <w:docPartGallery w:val="Page Numbers (Bottom of Page)"/>
        <w:docPartUnique/>
      </w:docPartObj>
    </w:sdtPr>
    <w:sdtEndPr>
      <w:rPr>
        <w:rFonts w:ascii="Times New Roman" w:hAnsi="Times New Roman" w:cs="Times New Roman"/>
        <w:sz w:val="24"/>
        <w:szCs w:val="24"/>
      </w:rPr>
    </w:sdtEndPr>
    <w:sdtContent>
      <w:p w:rsidR="00E22C88" w:rsidRPr="007F7E98" w:rsidRDefault="00E22C88" w:rsidP="007F7E98">
        <w:pPr>
          <w:pStyle w:val="a3"/>
          <w:jc w:val="center"/>
          <w:rPr>
            <w:rFonts w:ascii="Times New Roman" w:hAnsi="Times New Roman" w:cs="Times New Roman"/>
            <w:sz w:val="24"/>
            <w:szCs w:val="24"/>
          </w:rPr>
        </w:pPr>
        <w:r w:rsidRPr="007F7E98">
          <w:rPr>
            <w:rFonts w:ascii="Times New Roman" w:hAnsi="Times New Roman" w:cs="Times New Roman"/>
            <w:sz w:val="24"/>
            <w:szCs w:val="24"/>
          </w:rPr>
          <w:fldChar w:fldCharType="begin"/>
        </w:r>
        <w:r w:rsidRPr="007F7E98">
          <w:rPr>
            <w:rFonts w:ascii="Times New Roman" w:hAnsi="Times New Roman" w:cs="Times New Roman"/>
            <w:sz w:val="24"/>
            <w:szCs w:val="24"/>
          </w:rPr>
          <w:instrText xml:space="preserve"> PAGE  \* roman  \* MERGEFORMAT </w:instrText>
        </w:r>
        <w:r w:rsidRPr="007F7E98">
          <w:rPr>
            <w:rFonts w:ascii="Times New Roman" w:hAnsi="Times New Roman" w:cs="Times New Roman"/>
            <w:sz w:val="24"/>
            <w:szCs w:val="24"/>
          </w:rPr>
          <w:fldChar w:fldCharType="separate"/>
        </w:r>
        <w:r w:rsidR="00B658E3">
          <w:rPr>
            <w:rFonts w:ascii="Times New Roman" w:hAnsi="Times New Roman" w:cs="Times New Roman"/>
            <w:noProof/>
            <w:sz w:val="24"/>
            <w:szCs w:val="24"/>
          </w:rPr>
          <w:t>vii</w:t>
        </w:r>
        <w:r w:rsidRPr="007F7E98">
          <w:rPr>
            <w:rFonts w:ascii="Times New Roman" w:hAnsi="Times New Roman" w:cs="Times New Roman"/>
            <w:sz w:val="24"/>
            <w:szCs w:val="24"/>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99543"/>
      <w:docPartObj>
        <w:docPartGallery w:val="Page Numbers (Bottom of Page)"/>
        <w:docPartUnique/>
      </w:docPartObj>
    </w:sdtPr>
    <w:sdtEndPr>
      <w:rPr>
        <w:rFonts w:ascii="Times New Roman" w:hAnsi="Times New Roman"/>
        <w:sz w:val="24"/>
      </w:rPr>
    </w:sdtEndPr>
    <w:sdtContent>
      <w:p w:rsidR="00E22C88" w:rsidRPr="0007125E" w:rsidRDefault="00E22C88" w:rsidP="00E22C88">
        <w:pPr>
          <w:pStyle w:val="a3"/>
          <w:jc w:val="center"/>
          <w:rPr>
            <w:rFonts w:ascii="Times New Roman" w:hAnsi="Times New Roman"/>
            <w:sz w:val="24"/>
          </w:rPr>
        </w:pPr>
        <w:r w:rsidRPr="00B409D3">
          <w:rPr>
            <w:rFonts w:ascii="Times New Roman" w:hAnsi="Times New Roman"/>
            <w:sz w:val="24"/>
          </w:rPr>
          <w:fldChar w:fldCharType="begin"/>
        </w:r>
        <w:r w:rsidRPr="00B409D3">
          <w:rPr>
            <w:rFonts w:ascii="Times New Roman" w:hAnsi="Times New Roman"/>
            <w:sz w:val="24"/>
          </w:rPr>
          <w:instrText>PAGE   \* MERGEFORMAT</w:instrText>
        </w:r>
        <w:r w:rsidRPr="00B409D3">
          <w:rPr>
            <w:rFonts w:ascii="Times New Roman" w:hAnsi="Times New Roman"/>
            <w:sz w:val="24"/>
          </w:rPr>
          <w:fldChar w:fldCharType="separate"/>
        </w:r>
        <w:r w:rsidR="00B658E3" w:rsidRPr="00B658E3">
          <w:rPr>
            <w:rFonts w:ascii="Times New Roman" w:hAnsi="Times New Roman"/>
            <w:noProof/>
            <w:sz w:val="24"/>
            <w:lang w:val="zh-TW"/>
          </w:rPr>
          <w:t>1</w:t>
        </w:r>
        <w:r w:rsidRPr="00B409D3">
          <w:rPr>
            <w:rFonts w:ascii="Times New Roman" w:hAnsi="Times New Roman"/>
            <w:sz w:val="24"/>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78468593"/>
      <w:docPartObj>
        <w:docPartGallery w:val="Page Numbers (Bottom of Page)"/>
        <w:docPartUnique/>
      </w:docPartObj>
    </w:sdtPr>
    <w:sdtEndPr/>
    <w:sdtContent>
      <w:p w:rsidR="00E22C88" w:rsidRDefault="00E22C88" w:rsidP="00E22C88">
        <w:pPr>
          <w:pStyle w:val="a3"/>
          <w:jc w:val="center"/>
        </w:pPr>
        <w:r w:rsidRPr="007D30C0">
          <w:rPr>
            <w:rFonts w:ascii="Times New Roman" w:hAnsi="Times New Roman"/>
            <w:sz w:val="24"/>
          </w:rPr>
          <w:fldChar w:fldCharType="begin"/>
        </w:r>
        <w:r w:rsidRPr="007D30C0">
          <w:rPr>
            <w:rFonts w:ascii="Times New Roman" w:hAnsi="Times New Roman"/>
            <w:sz w:val="24"/>
          </w:rPr>
          <w:instrText>PAGE   \* MERGEFORMAT</w:instrText>
        </w:r>
        <w:r w:rsidRPr="007D30C0">
          <w:rPr>
            <w:rFonts w:ascii="Times New Roman" w:hAnsi="Times New Roman"/>
            <w:sz w:val="24"/>
          </w:rPr>
          <w:fldChar w:fldCharType="separate"/>
        </w:r>
        <w:r w:rsidR="00B658E3" w:rsidRPr="00B658E3">
          <w:rPr>
            <w:rFonts w:ascii="Times New Roman" w:hAnsi="Times New Roman"/>
            <w:noProof/>
            <w:sz w:val="24"/>
            <w:lang w:val="zh-TW"/>
          </w:rPr>
          <w:t>2</w:t>
        </w:r>
        <w:r w:rsidRPr="007D30C0">
          <w:rPr>
            <w:rFonts w:ascii="Times New Roman" w:hAnsi="Times New Roman"/>
            <w:sz w:val="24"/>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49317"/>
      <w:docPartObj>
        <w:docPartGallery w:val="Page Numbers (Bottom of Page)"/>
        <w:docPartUnique/>
      </w:docPartObj>
    </w:sdtPr>
    <w:sdtEndPr>
      <w:rPr>
        <w:rFonts w:ascii="Times New Roman" w:hAnsi="Times New Roman"/>
        <w:sz w:val="24"/>
      </w:rPr>
    </w:sdtEndPr>
    <w:sdtContent>
      <w:p w:rsidR="00E22C88" w:rsidRPr="007D30C0" w:rsidRDefault="00E22C88" w:rsidP="00E22C88">
        <w:pPr>
          <w:pStyle w:val="a3"/>
          <w:jc w:val="center"/>
          <w:rPr>
            <w:rFonts w:ascii="Times New Roman" w:hAnsi="Times New Roman"/>
            <w:sz w:val="24"/>
          </w:rPr>
        </w:pPr>
        <w:r w:rsidRPr="007D30C0">
          <w:rPr>
            <w:rFonts w:ascii="Times New Roman" w:hAnsi="Times New Roman"/>
            <w:sz w:val="24"/>
          </w:rPr>
          <w:fldChar w:fldCharType="begin"/>
        </w:r>
        <w:r w:rsidRPr="007D30C0">
          <w:rPr>
            <w:rFonts w:ascii="Times New Roman" w:hAnsi="Times New Roman"/>
            <w:sz w:val="24"/>
          </w:rPr>
          <w:instrText>PAGE   \* MERGEFORMAT</w:instrText>
        </w:r>
        <w:r w:rsidRPr="007D30C0">
          <w:rPr>
            <w:rFonts w:ascii="Times New Roman" w:hAnsi="Times New Roman"/>
            <w:sz w:val="24"/>
          </w:rPr>
          <w:fldChar w:fldCharType="separate"/>
        </w:r>
        <w:r w:rsidR="00B658E3" w:rsidRPr="00B658E3">
          <w:rPr>
            <w:rFonts w:ascii="Times New Roman" w:hAnsi="Times New Roman"/>
            <w:noProof/>
            <w:sz w:val="24"/>
            <w:lang w:val="zh-TW"/>
          </w:rPr>
          <w:t>1</w:t>
        </w:r>
        <w:r w:rsidRPr="007D30C0">
          <w:rPr>
            <w:rFonts w:ascii="Times New Roman" w:hAnsi="Times New Roman"/>
            <w:sz w:val="24"/>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rsidP="00E22C88">
    <w:pPr>
      <w:pStyle w:val="a3"/>
      <w:jc w:val="center"/>
    </w:pPr>
    <w:r w:rsidRPr="009622E8">
      <w:rPr>
        <w:rFonts w:ascii="Times New Roman" w:hAnsi="Times New Roman"/>
        <w:sz w:val="24"/>
        <w:szCs w:val="24"/>
      </w:rPr>
      <w:fldChar w:fldCharType="begin"/>
    </w:r>
    <w:r w:rsidRPr="009622E8">
      <w:rPr>
        <w:rFonts w:ascii="Times New Roman" w:hAnsi="Times New Roman"/>
        <w:sz w:val="24"/>
        <w:szCs w:val="24"/>
      </w:rPr>
      <w:instrText>PAGE   \* MERGEFORMAT</w:instrText>
    </w:r>
    <w:r w:rsidRPr="009622E8">
      <w:rPr>
        <w:rFonts w:ascii="Times New Roman" w:hAnsi="Times New Roman"/>
        <w:sz w:val="24"/>
        <w:szCs w:val="24"/>
      </w:rPr>
      <w:fldChar w:fldCharType="separate"/>
    </w:r>
    <w:r w:rsidR="00B658E3" w:rsidRPr="00B658E3">
      <w:rPr>
        <w:rFonts w:ascii="Times New Roman" w:hAnsi="Times New Roman"/>
        <w:noProof/>
        <w:sz w:val="24"/>
        <w:szCs w:val="24"/>
        <w:lang w:val="zh-TW"/>
      </w:rPr>
      <w:t>2</w:t>
    </w:r>
    <w:r w:rsidRPr="009622E8">
      <w:rPr>
        <w:rFonts w:ascii="Times New Roman" w:hAnsi="Times New Roman"/>
        <w:sz w:val="24"/>
        <w:szCs w:val="2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600777"/>
      <w:docPartObj>
        <w:docPartGallery w:val="Page Numbers (Bottom of Page)"/>
        <w:docPartUnique/>
      </w:docPartObj>
    </w:sdtPr>
    <w:sdtEndPr>
      <w:rPr>
        <w:rFonts w:ascii="Times New Roman" w:hAnsi="Times New Roman" w:cs="Times New Roman"/>
        <w:sz w:val="24"/>
      </w:rPr>
    </w:sdtEndPr>
    <w:sdtContent>
      <w:p w:rsidR="00E22C88" w:rsidRPr="001F1AF8" w:rsidRDefault="00E22C88" w:rsidP="00E22C88">
        <w:pPr>
          <w:pStyle w:val="a3"/>
          <w:jc w:val="center"/>
          <w:rPr>
            <w:rFonts w:ascii="Times New Roman" w:hAnsi="Times New Roman" w:cs="Times New Roman"/>
            <w:sz w:val="24"/>
          </w:rPr>
        </w:pPr>
        <w:r w:rsidRPr="004A3632">
          <w:rPr>
            <w:rFonts w:ascii="Times New Roman" w:hAnsi="Times New Roman" w:cs="Times New Roman"/>
            <w:sz w:val="24"/>
          </w:rPr>
          <w:fldChar w:fldCharType="begin"/>
        </w:r>
        <w:r w:rsidRPr="004A3632">
          <w:rPr>
            <w:rFonts w:ascii="Times New Roman" w:hAnsi="Times New Roman" w:cs="Times New Roman"/>
            <w:sz w:val="24"/>
          </w:rPr>
          <w:instrText>PAGE   \* MERGEFORMAT</w:instrText>
        </w:r>
        <w:r w:rsidRPr="004A3632">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4A3632">
          <w:rPr>
            <w:rFonts w:ascii="Times New Roman" w:hAnsi="Times New Roman" w:cs="Times New Roman"/>
            <w:sz w:val="24"/>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736687"/>
      <w:docPartObj>
        <w:docPartGallery w:val="Page Numbers (Bottom of Page)"/>
        <w:docPartUnique/>
      </w:docPartObj>
    </w:sdtPr>
    <w:sdtEndPr>
      <w:rPr>
        <w:rFonts w:ascii="Times New Roman" w:hAnsi="Times New Roman" w:cs="Times New Roman"/>
        <w:sz w:val="24"/>
      </w:rPr>
    </w:sdtEndPr>
    <w:sdtContent>
      <w:p w:rsidR="00E22C88" w:rsidRPr="005846D1" w:rsidRDefault="00E22C88" w:rsidP="00E22C88">
        <w:pPr>
          <w:pStyle w:val="a3"/>
          <w:jc w:val="center"/>
          <w:rPr>
            <w:rFonts w:ascii="Times New Roman" w:hAnsi="Times New Roman" w:cs="Times New Roman"/>
            <w:sz w:val="24"/>
          </w:rPr>
        </w:pPr>
        <w:r w:rsidRPr="00397F62">
          <w:rPr>
            <w:rFonts w:ascii="Times New Roman" w:hAnsi="Times New Roman" w:cs="Times New Roman"/>
            <w:sz w:val="24"/>
          </w:rPr>
          <w:fldChar w:fldCharType="begin"/>
        </w:r>
        <w:r w:rsidRPr="00397F62">
          <w:rPr>
            <w:rFonts w:ascii="Times New Roman" w:hAnsi="Times New Roman" w:cs="Times New Roman"/>
            <w:sz w:val="24"/>
          </w:rPr>
          <w:instrText>PAGE   \* MERGEFORMAT</w:instrText>
        </w:r>
        <w:r w:rsidRPr="00397F62">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397F62">
          <w:rPr>
            <w:rFonts w:ascii="Times New Roman" w:hAnsi="Times New Roman" w:cs="Times New Roman"/>
            <w:sz w:val="24"/>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38687532"/>
      <w:docPartObj>
        <w:docPartGallery w:val="Page Numbers (Bottom of Page)"/>
        <w:docPartUnique/>
      </w:docPartObj>
    </w:sdtPr>
    <w:sdtEndPr/>
    <w:sdtContent>
      <w:p w:rsidR="00E22C88" w:rsidRPr="00D62B04" w:rsidRDefault="00E22C88" w:rsidP="00D62B04">
        <w:pPr>
          <w:pStyle w:val="a3"/>
          <w:jc w:val="center"/>
          <w:rPr>
            <w:rFonts w:ascii="Times New Roman" w:hAnsi="Times New Roman" w:cs="Times New Roman"/>
            <w:sz w:val="24"/>
            <w:szCs w:val="24"/>
          </w:rPr>
        </w:pPr>
        <w:r w:rsidRPr="000718AB">
          <w:rPr>
            <w:rFonts w:ascii="Times New Roman" w:hAnsi="Times New Roman" w:cs="Times New Roman"/>
            <w:sz w:val="24"/>
            <w:szCs w:val="24"/>
          </w:rPr>
          <w:fldChar w:fldCharType="begin"/>
        </w:r>
        <w:r w:rsidRPr="000718AB">
          <w:rPr>
            <w:rFonts w:ascii="Times New Roman" w:hAnsi="Times New Roman" w:cs="Times New Roman"/>
            <w:sz w:val="24"/>
            <w:szCs w:val="24"/>
          </w:rPr>
          <w:instrText>PAGE   \* MERGEFORMAT</w:instrText>
        </w:r>
        <w:r w:rsidRPr="000718AB">
          <w:rPr>
            <w:rFonts w:ascii="Times New Roman" w:hAnsi="Times New Roman" w:cs="Times New Roman"/>
            <w:sz w:val="24"/>
            <w:szCs w:val="24"/>
          </w:rPr>
          <w:fldChar w:fldCharType="separate"/>
        </w:r>
        <w:r w:rsidR="00B658E3" w:rsidRPr="00B658E3">
          <w:rPr>
            <w:rFonts w:ascii="Times New Roman" w:hAnsi="Times New Roman" w:cs="Times New Roman"/>
            <w:noProof/>
            <w:sz w:val="24"/>
            <w:szCs w:val="24"/>
            <w:lang w:val="zh-TW"/>
          </w:rPr>
          <w:t>1</w:t>
        </w:r>
        <w:r w:rsidRPr="000718AB">
          <w:rPr>
            <w:rFonts w:ascii="Times New Roman" w:hAnsi="Times New Roman" w:cs="Times New Roman"/>
            <w:sz w:val="24"/>
            <w:szCs w:val="24"/>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71881"/>
      <w:docPartObj>
        <w:docPartGallery w:val="Page Numbers (Bottom of Page)"/>
        <w:docPartUnique/>
      </w:docPartObj>
    </w:sdtPr>
    <w:sdtEndPr>
      <w:rPr>
        <w:rFonts w:ascii="Times New Roman" w:hAnsi="Times New Roman" w:cs="Times New Roman"/>
        <w:sz w:val="24"/>
      </w:rPr>
    </w:sdtEndPr>
    <w:sdtContent>
      <w:p w:rsidR="00E22C88" w:rsidRPr="00072812" w:rsidRDefault="00E22C88" w:rsidP="00E22C88">
        <w:pPr>
          <w:pStyle w:val="a3"/>
          <w:jc w:val="center"/>
          <w:rPr>
            <w:rFonts w:ascii="Times New Roman" w:hAnsi="Times New Roman" w:cs="Times New Roman"/>
            <w:sz w:val="24"/>
          </w:rPr>
        </w:pPr>
        <w:r w:rsidRPr="00EA2DB3">
          <w:rPr>
            <w:rFonts w:ascii="Times New Roman" w:hAnsi="Times New Roman" w:cs="Times New Roman"/>
            <w:sz w:val="24"/>
          </w:rPr>
          <w:fldChar w:fldCharType="begin"/>
        </w:r>
        <w:r w:rsidRPr="00EA2DB3">
          <w:rPr>
            <w:rFonts w:ascii="Times New Roman" w:hAnsi="Times New Roman" w:cs="Times New Roman"/>
            <w:sz w:val="24"/>
          </w:rPr>
          <w:instrText>PAGE   \* MERGEFORMAT</w:instrText>
        </w:r>
        <w:r w:rsidRPr="00EA2DB3">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EA2DB3">
          <w:rPr>
            <w:rFonts w:ascii="Times New Roman" w:hAnsi="Times New Roman" w:cs="Times New Roman"/>
            <w:sz w:val="24"/>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38942"/>
      <w:docPartObj>
        <w:docPartGallery w:val="Page Numbers (Bottom of Page)"/>
        <w:docPartUnique/>
      </w:docPartObj>
    </w:sdtPr>
    <w:sdtEndPr/>
    <w:sdtContent>
      <w:p w:rsidR="00E22C88" w:rsidRDefault="00E22C88" w:rsidP="00E22C88">
        <w:pPr>
          <w:pStyle w:val="a3"/>
          <w:jc w:val="center"/>
        </w:pPr>
        <w:r w:rsidRPr="00004C15">
          <w:rPr>
            <w:rFonts w:ascii="Times New Roman" w:hAnsi="Times New Roman"/>
            <w:sz w:val="24"/>
          </w:rPr>
          <w:fldChar w:fldCharType="begin"/>
        </w:r>
        <w:r w:rsidRPr="00004C15">
          <w:rPr>
            <w:rFonts w:ascii="Times New Roman" w:hAnsi="Times New Roman"/>
            <w:sz w:val="24"/>
          </w:rPr>
          <w:instrText>PAGE   \* MERGEFORMAT</w:instrText>
        </w:r>
        <w:r w:rsidRPr="00004C15">
          <w:rPr>
            <w:rFonts w:ascii="Times New Roman" w:hAnsi="Times New Roman"/>
            <w:sz w:val="24"/>
          </w:rPr>
          <w:fldChar w:fldCharType="separate"/>
        </w:r>
        <w:r w:rsidR="00B658E3" w:rsidRPr="00B658E3">
          <w:rPr>
            <w:rFonts w:ascii="Times New Roman" w:hAnsi="Times New Roman"/>
            <w:noProof/>
            <w:sz w:val="24"/>
            <w:lang w:val="zh-TW"/>
          </w:rPr>
          <w:t>1</w:t>
        </w:r>
        <w:r w:rsidRPr="00004C15">
          <w:rPr>
            <w:rFonts w:ascii="Times New Roman" w:hAnsi="Times New Roman"/>
            <w:sz w:val="24"/>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76548"/>
      <w:docPartObj>
        <w:docPartGallery w:val="Page Numbers (Bottom of Page)"/>
        <w:docPartUnique/>
      </w:docPartObj>
    </w:sdtPr>
    <w:sdtEndPr>
      <w:rPr>
        <w:rFonts w:ascii="Times New Roman" w:hAnsi="Times New Roman" w:cs="Times New Roman"/>
        <w:sz w:val="24"/>
      </w:rPr>
    </w:sdtEndPr>
    <w:sdtContent>
      <w:p w:rsidR="00E22C88" w:rsidRPr="002D083A" w:rsidRDefault="00E22C88" w:rsidP="002D083A">
        <w:pPr>
          <w:pStyle w:val="a3"/>
          <w:jc w:val="center"/>
          <w:rPr>
            <w:rFonts w:ascii="Times New Roman" w:hAnsi="Times New Roman" w:cs="Times New Roman"/>
            <w:sz w:val="24"/>
          </w:rPr>
        </w:pPr>
        <w:r w:rsidRPr="00835612">
          <w:rPr>
            <w:rFonts w:ascii="Times New Roman" w:hAnsi="Times New Roman" w:cs="Times New Roman"/>
            <w:sz w:val="24"/>
          </w:rPr>
          <w:fldChar w:fldCharType="begin"/>
        </w:r>
        <w:r w:rsidRPr="00835612">
          <w:rPr>
            <w:rFonts w:ascii="Times New Roman" w:hAnsi="Times New Roman" w:cs="Times New Roman"/>
            <w:sz w:val="24"/>
          </w:rPr>
          <w:instrText>PAGE   \* MERGEFORMAT</w:instrText>
        </w:r>
        <w:r w:rsidRPr="00835612">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835612">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rsidP="007F7E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E22C88" w:rsidRDefault="00E22C88">
    <w:pPr>
      <w:pStyle w:val="a3"/>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0486"/>
      <w:docPartObj>
        <w:docPartGallery w:val="Page Numbers (Bottom of Page)"/>
        <w:docPartUnique/>
      </w:docPartObj>
    </w:sdtPr>
    <w:sdtEndPr>
      <w:rPr>
        <w:rFonts w:ascii="Times New Roman" w:hAnsi="Times New Roman" w:cs="Times New Roman"/>
        <w:sz w:val="24"/>
      </w:rPr>
    </w:sdtEndPr>
    <w:sdtContent>
      <w:p w:rsidR="00E22C88" w:rsidRPr="005C6C6A" w:rsidRDefault="00E22C88" w:rsidP="00E22C88">
        <w:pPr>
          <w:pStyle w:val="a3"/>
          <w:jc w:val="center"/>
          <w:rPr>
            <w:rFonts w:ascii="Times New Roman" w:hAnsi="Times New Roman" w:cs="Times New Roman"/>
            <w:sz w:val="24"/>
          </w:rPr>
        </w:pPr>
        <w:r w:rsidRPr="005C6C6A">
          <w:rPr>
            <w:rFonts w:ascii="Times New Roman" w:hAnsi="Times New Roman" w:cs="Times New Roman"/>
            <w:sz w:val="24"/>
          </w:rPr>
          <w:fldChar w:fldCharType="begin"/>
        </w:r>
        <w:r w:rsidRPr="005C6C6A">
          <w:rPr>
            <w:rFonts w:ascii="Times New Roman" w:hAnsi="Times New Roman" w:cs="Times New Roman"/>
            <w:sz w:val="24"/>
          </w:rPr>
          <w:instrText>PAGE   \* MERGEFORMAT</w:instrText>
        </w:r>
        <w:r w:rsidRPr="005C6C6A">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5C6C6A">
          <w:rPr>
            <w:rFonts w:ascii="Times New Roman" w:hAnsi="Times New Roman" w:cs="Times New Roman"/>
            <w:sz w:val="24"/>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D330E3" w:rsidRDefault="00E22C88" w:rsidP="00E22C88">
    <w:pPr>
      <w:pStyle w:val="a3"/>
      <w:jc w:val="center"/>
      <w:rPr>
        <w:rFonts w:ascii="Times New Roman" w:hAnsi="Times New Roman" w:cs="Times New Roman"/>
      </w:rPr>
    </w:pPr>
    <w:r w:rsidRPr="00D330E3">
      <w:rPr>
        <w:rFonts w:ascii="Times New Roman" w:hAnsi="Times New Roman" w:cs="Times New Roman"/>
        <w:sz w:val="24"/>
      </w:rPr>
      <w:fldChar w:fldCharType="begin"/>
    </w:r>
    <w:r w:rsidRPr="00D330E3">
      <w:rPr>
        <w:rFonts w:ascii="Times New Roman" w:hAnsi="Times New Roman" w:cs="Times New Roman"/>
        <w:sz w:val="24"/>
      </w:rPr>
      <w:instrText>PAGE   \* MERGEFORMAT</w:instrText>
    </w:r>
    <w:r w:rsidRPr="00D330E3">
      <w:rPr>
        <w:rFonts w:ascii="Times New Roman" w:hAnsi="Times New Roman" w:cs="Times New Roman"/>
        <w:sz w:val="24"/>
      </w:rPr>
      <w:fldChar w:fldCharType="separate"/>
    </w:r>
    <w:r w:rsidR="00B658E3" w:rsidRPr="00B658E3">
      <w:rPr>
        <w:rFonts w:ascii="Times New Roman" w:hAnsi="Times New Roman" w:cs="Times New Roman"/>
        <w:noProof/>
        <w:sz w:val="24"/>
        <w:lang w:val="zh-TW"/>
      </w:rPr>
      <w:t>2</w:t>
    </w:r>
    <w:r w:rsidRPr="00D330E3">
      <w:rPr>
        <w:rFonts w:ascii="Times New Roman" w:hAnsi="Times New Roman" w:cs="Times New Roman"/>
        <w:sz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77589"/>
      <w:docPartObj>
        <w:docPartGallery w:val="Page Numbers (Bottom of Page)"/>
        <w:docPartUnique/>
      </w:docPartObj>
    </w:sdtPr>
    <w:sdtEndPr>
      <w:rPr>
        <w:rFonts w:ascii="Times New Roman" w:hAnsi="Times New Roman" w:cs="Times New Roman"/>
        <w:sz w:val="24"/>
      </w:rPr>
    </w:sdtEndPr>
    <w:sdtContent>
      <w:p w:rsidR="00E22C88" w:rsidRPr="00F85DC6" w:rsidRDefault="00E22C88" w:rsidP="00E22C88">
        <w:pPr>
          <w:pStyle w:val="a3"/>
          <w:jc w:val="center"/>
          <w:rPr>
            <w:rFonts w:ascii="Times New Roman" w:hAnsi="Times New Roman" w:cs="Times New Roman"/>
            <w:sz w:val="24"/>
          </w:rPr>
        </w:pPr>
        <w:r w:rsidRPr="00ED178D">
          <w:rPr>
            <w:rFonts w:ascii="Times New Roman" w:hAnsi="Times New Roman" w:cs="Times New Roman"/>
            <w:sz w:val="24"/>
          </w:rPr>
          <w:fldChar w:fldCharType="begin"/>
        </w:r>
        <w:r w:rsidRPr="00ED178D">
          <w:rPr>
            <w:rFonts w:ascii="Times New Roman" w:hAnsi="Times New Roman" w:cs="Times New Roman"/>
            <w:sz w:val="24"/>
          </w:rPr>
          <w:instrText>PAGE   \* MERGEFORMAT</w:instrText>
        </w:r>
        <w:r w:rsidRPr="00ED178D">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ED178D">
          <w:rPr>
            <w:rFonts w:ascii="Times New Roman" w:hAnsi="Times New Roman" w:cs="Times New Roman"/>
            <w:sz w:val="24"/>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975505"/>
      <w:docPartObj>
        <w:docPartGallery w:val="Page Numbers (Bottom of Page)"/>
        <w:docPartUnique/>
      </w:docPartObj>
    </w:sdtPr>
    <w:sdtEndPr>
      <w:rPr>
        <w:rFonts w:ascii="Times New Roman" w:hAnsi="Times New Roman" w:cs="Times New Roman"/>
        <w:sz w:val="24"/>
      </w:rPr>
    </w:sdtEndPr>
    <w:sdtContent>
      <w:p w:rsidR="00E22C88" w:rsidRPr="00C93985" w:rsidRDefault="00E22C88" w:rsidP="00E22C88">
        <w:pPr>
          <w:pStyle w:val="a3"/>
          <w:jc w:val="center"/>
          <w:rPr>
            <w:rFonts w:ascii="Times New Roman" w:hAnsi="Times New Roman" w:cs="Times New Roman"/>
            <w:sz w:val="24"/>
          </w:rPr>
        </w:pPr>
        <w:r w:rsidRPr="007B3912">
          <w:rPr>
            <w:rFonts w:ascii="Times New Roman" w:hAnsi="Times New Roman" w:cs="Times New Roman"/>
            <w:sz w:val="24"/>
          </w:rPr>
          <w:fldChar w:fldCharType="begin"/>
        </w:r>
        <w:r w:rsidRPr="007B3912">
          <w:rPr>
            <w:rFonts w:ascii="Times New Roman" w:hAnsi="Times New Roman" w:cs="Times New Roman"/>
            <w:sz w:val="24"/>
          </w:rPr>
          <w:instrText>PAGE   \* MERGEFORMAT</w:instrText>
        </w:r>
        <w:r w:rsidRPr="007B3912">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7B3912">
          <w:rPr>
            <w:rFonts w:ascii="Times New Roman" w:hAnsi="Times New Roman" w:cs="Times New Roman"/>
            <w:sz w:val="24"/>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89100"/>
      <w:docPartObj>
        <w:docPartGallery w:val="Page Numbers (Bottom of Page)"/>
        <w:docPartUnique/>
      </w:docPartObj>
    </w:sdtPr>
    <w:sdtEndPr>
      <w:rPr>
        <w:rFonts w:ascii="Times New Roman" w:hAnsi="Times New Roman" w:cs="Times New Roman"/>
        <w:sz w:val="24"/>
      </w:rPr>
    </w:sdtEndPr>
    <w:sdtContent>
      <w:p w:rsidR="00E22C88" w:rsidRPr="00FA132A" w:rsidRDefault="00E22C88" w:rsidP="00E22C88">
        <w:pPr>
          <w:pStyle w:val="a3"/>
          <w:jc w:val="center"/>
          <w:rPr>
            <w:rFonts w:ascii="Times New Roman" w:hAnsi="Times New Roman" w:cs="Times New Roman"/>
            <w:sz w:val="24"/>
          </w:rPr>
        </w:pPr>
        <w:r w:rsidRPr="00197EC7">
          <w:rPr>
            <w:rFonts w:ascii="Times New Roman" w:hAnsi="Times New Roman" w:cs="Times New Roman"/>
            <w:sz w:val="24"/>
          </w:rPr>
          <w:fldChar w:fldCharType="begin"/>
        </w:r>
        <w:r w:rsidRPr="00197EC7">
          <w:rPr>
            <w:rFonts w:ascii="Times New Roman" w:hAnsi="Times New Roman" w:cs="Times New Roman"/>
            <w:sz w:val="24"/>
          </w:rPr>
          <w:instrText>PAGE   \* MERGEFORMAT</w:instrText>
        </w:r>
        <w:r w:rsidRPr="00197EC7">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197EC7">
          <w:rPr>
            <w:rFonts w:ascii="Times New Roman" w:hAnsi="Times New Roman" w:cs="Times New Roman"/>
            <w:sz w:val="24"/>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971146"/>
      <w:docPartObj>
        <w:docPartGallery w:val="Page Numbers (Bottom of Page)"/>
        <w:docPartUnique/>
      </w:docPartObj>
    </w:sdtPr>
    <w:sdtEndPr>
      <w:rPr>
        <w:rFonts w:ascii="Times New Roman" w:hAnsi="Times New Roman" w:cs="Times New Roman"/>
        <w:sz w:val="24"/>
      </w:rPr>
    </w:sdtEndPr>
    <w:sdtContent>
      <w:p w:rsidR="00E22C88" w:rsidRPr="00101DE8" w:rsidRDefault="00E22C88" w:rsidP="00E22C88">
        <w:pPr>
          <w:pStyle w:val="a3"/>
          <w:jc w:val="center"/>
          <w:rPr>
            <w:rFonts w:ascii="Times New Roman" w:hAnsi="Times New Roman" w:cs="Times New Roman"/>
            <w:sz w:val="24"/>
          </w:rPr>
        </w:pPr>
        <w:r w:rsidRPr="00101DE8">
          <w:rPr>
            <w:rFonts w:ascii="Times New Roman" w:hAnsi="Times New Roman" w:cs="Times New Roman"/>
            <w:sz w:val="24"/>
          </w:rPr>
          <w:fldChar w:fldCharType="begin"/>
        </w:r>
        <w:r w:rsidRPr="00101DE8">
          <w:rPr>
            <w:rFonts w:ascii="Times New Roman" w:hAnsi="Times New Roman" w:cs="Times New Roman"/>
            <w:sz w:val="24"/>
          </w:rPr>
          <w:instrText>PAGE   \* MERGEFORMAT</w:instrText>
        </w:r>
        <w:r w:rsidRPr="00101DE8">
          <w:rPr>
            <w:rFonts w:ascii="Times New Roman" w:hAnsi="Times New Roman" w:cs="Times New Roman"/>
            <w:sz w:val="24"/>
          </w:rPr>
          <w:fldChar w:fldCharType="separate"/>
        </w:r>
        <w:r w:rsidR="00B658E3" w:rsidRPr="00B658E3">
          <w:rPr>
            <w:rFonts w:ascii="Times New Roman" w:hAnsi="Times New Roman" w:cs="Times New Roman"/>
            <w:noProof/>
            <w:sz w:val="24"/>
            <w:lang w:val="zh-TW"/>
          </w:rPr>
          <w:t>6</w:t>
        </w:r>
        <w:r w:rsidRPr="00101DE8">
          <w:rPr>
            <w:rFonts w:ascii="Times New Roman" w:hAnsi="Times New Roman" w:cs="Times New Roman"/>
            <w:sz w:val="24"/>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9382"/>
      <w:docPartObj>
        <w:docPartGallery w:val="Page Numbers (Bottom of Page)"/>
        <w:docPartUnique/>
      </w:docPartObj>
    </w:sdtPr>
    <w:sdtEndPr>
      <w:rPr>
        <w:rFonts w:ascii="Times New Roman" w:hAnsi="Times New Roman" w:cs="Times New Roman"/>
        <w:sz w:val="24"/>
      </w:rPr>
    </w:sdtEndPr>
    <w:sdtContent>
      <w:p w:rsidR="00E22C88" w:rsidRPr="00101DE8" w:rsidRDefault="00E22C88" w:rsidP="00E22C88">
        <w:pPr>
          <w:pStyle w:val="a3"/>
          <w:jc w:val="center"/>
          <w:rPr>
            <w:rFonts w:ascii="Times New Roman" w:hAnsi="Times New Roman" w:cs="Times New Roman"/>
            <w:sz w:val="24"/>
          </w:rPr>
        </w:pPr>
        <w:r w:rsidRPr="00101DE8">
          <w:rPr>
            <w:rFonts w:ascii="Times New Roman" w:hAnsi="Times New Roman" w:cs="Times New Roman"/>
            <w:sz w:val="24"/>
          </w:rPr>
          <w:fldChar w:fldCharType="begin"/>
        </w:r>
        <w:r w:rsidRPr="00101DE8">
          <w:rPr>
            <w:rFonts w:ascii="Times New Roman" w:hAnsi="Times New Roman" w:cs="Times New Roman"/>
            <w:sz w:val="24"/>
          </w:rPr>
          <w:instrText>PAGE   \* MERGEFORMAT</w:instrText>
        </w:r>
        <w:r w:rsidRPr="00101DE8">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101DE8">
          <w:rPr>
            <w:rFonts w:ascii="Times New Roman" w:hAnsi="Times New Roman" w:cs="Times New Roman"/>
            <w:sz w:val="24"/>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913826"/>
      <w:docPartObj>
        <w:docPartGallery w:val="Page Numbers (Bottom of Page)"/>
        <w:docPartUnique/>
      </w:docPartObj>
    </w:sdtPr>
    <w:sdtEndPr>
      <w:rPr>
        <w:rFonts w:ascii="Times New Roman" w:hAnsi="Times New Roman" w:cs="Times New Roman"/>
        <w:sz w:val="24"/>
      </w:rPr>
    </w:sdtEndPr>
    <w:sdtContent>
      <w:p w:rsidR="00E22C88" w:rsidRPr="00E76FBB" w:rsidRDefault="00E22C88" w:rsidP="00E22C88">
        <w:pPr>
          <w:pStyle w:val="a3"/>
          <w:jc w:val="center"/>
          <w:rPr>
            <w:rFonts w:ascii="Times New Roman" w:hAnsi="Times New Roman" w:cs="Times New Roman"/>
            <w:sz w:val="24"/>
          </w:rPr>
        </w:pPr>
        <w:r w:rsidRPr="00E76FBB">
          <w:rPr>
            <w:rFonts w:ascii="Times New Roman" w:hAnsi="Times New Roman" w:cs="Times New Roman"/>
            <w:sz w:val="24"/>
          </w:rPr>
          <w:fldChar w:fldCharType="begin"/>
        </w:r>
        <w:r w:rsidRPr="00E76FBB">
          <w:rPr>
            <w:rFonts w:ascii="Times New Roman" w:hAnsi="Times New Roman" w:cs="Times New Roman"/>
            <w:sz w:val="24"/>
          </w:rPr>
          <w:instrText>PAGE   \* MERGEFORMAT</w:instrText>
        </w:r>
        <w:r w:rsidRPr="00E76FBB">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E76FBB">
          <w:rPr>
            <w:rFonts w:ascii="Times New Roman" w:hAnsi="Times New Roman" w:cs="Times New Roman"/>
            <w:sz w:val="24"/>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14378"/>
      <w:docPartObj>
        <w:docPartGallery w:val="Page Numbers (Bottom of Page)"/>
        <w:docPartUnique/>
      </w:docPartObj>
    </w:sdtPr>
    <w:sdtEndPr>
      <w:rPr>
        <w:rFonts w:ascii="Times New Roman" w:hAnsi="Times New Roman" w:cs="Times New Roman"/>
        <w:sz w:val="24"/>
      </w:rPr>
    </w:sdtEndPr>
    <w:sdtContent>
      <w:p w:rsidR="00E22C88" w:rsidRPr="001567CD" w:rsidRDefault="00E22C88" w:rsidP="00E22C88">
        <w:pPr>
          <w:pStyle w:val="a3"/>
          <w:jc w:val="center"/>
          <w:rPr>
            <w:rFonts w:ascii="Times New Roman" w:hAnsi="Times New Roman" w:cs="Times New Roman"/>
            <w:sz w:val="24"/>
          </w:rPr>
        </w:pPr>
        <w:r w:rsidRPr="001567CD">
          <w:rPr>
            <w:rFonts w:ascii="Times New Roman" w:hAnsi="Times New Roman" w:cs="Times New Roman"/>
            <w:sz w:val="24"/>
          </w:rPr>
          <w:fldChar w:fldCharType="begin"/>
        </w:r>
        <w:r w:rsidRPr="001567CD">
          <w:rPr>
            <w:rFonts w:ascii="Times New Roman" w:hAnsi="Times New Roman" w:cs="Times New Roman"/>
            <w:sz w:val="24"/>
          </w:rPr>
          <w:instrText>PAGE   \* MERGEFORMAT</w:instrText>
        </w:r>
        <w:r w:rsidRPr="001567CD">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1567CD">
          <w:rPr>
            <w:rFonts w:ascii="Times New Roman" w:hAnsi="Times New Roman" w:cs="Times New Roman"/>
            <w:sz w:val="24"/>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74896"/>
      <w:docPartObj>
        <w:docPartGallery w:val="Page Numbers (Bottom of Page)"/>
        <w:docPartUnique/>
      </w:docPartObj>
    </w:sdtPr>
    <w:sdtEndPr>
      <w:rPr>
        <w:rFonts w:ascii="Times New Roman" w:hAnsi="Times New Roman" w:cs="Times New Roman"/>
        <w:sz w:val="24"/>
      </w:rPr>
    </w:sdtEndPr>
    <w:sdtContent>
      <w:p w:rsidR="00E22C88" w:rsidRPr="00BB3EB3" w:rsidRDefault="00E22C88" w:rsidP="00E22C88">
        <w:pPr>
          <w:pStyle w:val="a3"/>
          <w:jc w:val="center"/>
          <w:rPr>
            <w:rFonts w:ascii="Times New Roman" w:hAnsi="Times New Roman" w:cs="Times New Roman"/>
            <w:sz w:val="24"/>
          </w:rPr>
        </w:pPr>
        <w:r w:rsidRPr="00C71DE0">
          <w:rPr>
            <w:rFonts w:ascii="Times New Roman" w:hAnsi="Times New Roman" w:cs="Times New Roman"/>
            <w:sz w:val="24"/>
          </w:rPr>
          <w:fldChar w:fldCharType="begin"/>
        </w:r>
        <w:r w:rsidRPr="00C71DE0">
          <w:rPr>
            <w:rFonts w:ascii="Times New Roman" w:hAnsi="Times New Roman" w:cs="Times New Roman"/>
            <w:sz w:val="24"/>
          </w:rPr>
          <w:instrText>PAGE   \* MERGEFORMAT</w:instrText>
        </w:r>
        <w:r w:rsidRPr="00C71DE0">
          <w:rPr>
            <w:rFonts w:ascii="Times New Roman" w:hAnsi="Times New Roman" w:cs="Times New Roman"/>
            <w:sz w:val="24"/>
          </w:rPr>
          <w:fldChar w:fldCharType="separate"/>
        </w:r>
        <w:r w:rsidR="00B658E3" w:rsidRPr="00B658E3">
          <w:rPr>
            <w:rFonts w:ascii="Times New Roman" w:hAnsi="Times New Roman" w:cs="Times New Roman"/>
            <w:noProof/>
            <w:sz w:val="24"/>
            <w:lang w:val="zh-TW"/>
          </w:rPr>
          <w:t>2</w:t>
        </w:r>
        <w:r w:rsidRPr="00C71DE0">
          <w:rPr>
            <w:rFonts w:ascii="Times New Roman" w:hAnsi="Times New Roman" w:cs="Times New Roma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609175"/>
      <w:docPartObj>
        <w:docPartGallery w:val="Page Numbers (Bottom of Page)"/>
        <w:docPartUnique/>
      </w:docPartObj>
    </w:sdtPr>
    <w:sdtEndPr>
      <w:rPr>
        <w:rFonts w:ascii="Times New Roman" w:hAnsi="Times New Roman" w:cs="Times New Roman"/>
        <w:sz w:val="24"/>
        <w:szCs w:val="24"/>
      </w:rPr>
    </w:sdtEndPr>
    <w:sdtContent>
      <w:p w:rsidR="00E22C88" w:rsidRPr="007F7E98" w:rsidRDefault="00E22C88" w:rsidP="007F7E98">
        <w:pPr>
          <w:pStyle w:val="a3"/>
          <w:jc w:val="center"/>
          <w:rPr>
            <w:rFonts w:ascii="Times New Roman" w:hAnsi="Times New Roman" w:cs="Times New Roman"/>
            <w:sz w:val="24"/>
            <w:szCs w:val="24"/>
          </w:rPr>
        </w:pPr>
        <w:r w:rsidRPr="007F7E98">
          <w:rPr>
            <w:rFonts w:ascii="Times New Roman" w:hAnsi="Times New Roman" w:cs="Times New Roman"/>
            <w:sz w:val="24"/>
            <w:szCs w:val="24"/>
          </w:rPr>
          <w:fldChar w:fldCharType="begin"/>
        </w:r>
        <w:r w:rsidRPr="007F7E98">
          <w:rPr>
            <w:rFonts w:ascii="Times New Roman" w:hAnsi="Times New Roman" w:cs="Times New Roman"/>
            <w:sz w:val="24"/>
            <w:szCs w:val="24"/>
          </w:rPr>
          <w:instrText xml:space="preserve"> PAGE  \* roman  \* MERGEFORMAT </w:instrText>
        </w:r>
        <w:r w:rsidRPr="007F7E98">
          <w:rPr>
            <w:rFonts w:ascii="Times New Roman" w:hAnsi="Times New Roman" w:cs="Times New Roman"/>
            <w:sz w:val="24"/>
            <w:szCs w:val="24"/>
          </w:rPr>
          <w:fldChar w:fldCharType="separate"/>
        </w:r>
        <w:r w:rsidR="00B658E3">
          <w:rPr>
            <w:rFonts w:ascii="Times New Roman" w:hAnsi="Times New Roman" w:cs="Times New Roman"/>
            <w:noProof/>
            <w:sz w:val="24"/>
            <w:szCs w:val="24"/>
          </w:rPr>
          <w:t>xi</w:t>
        </w:r>
        <w:r w:rsidRPr="007F7E98">
          <w:rPr>
            <w:rFonts w:ascii="Times New Roman" w:hAnsi="Times New Roman" w:cs="Times New Roman"/>
            <w:sz w:val="24"/>
            <w:szCs w:val="24"/>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33596"/>
      <w:docPartObj>
        <w:docPartGallery w:val="Page Numbers (Bottom of Page)"/>
        <w:docPartUnique/>
      </w:docPartObj>
    </w:sdtPr>
    <w:sdtEndPr>
      <w:rPr>
        <w:rFonts w:ascii="Times New Roman" w:hAnsi="Times New Roman" w:cs="Times New Roman"/>
        <w:sz w:val="24"/>
      </w:rPr>
    </w:sdtEndPr>
    <w:sdtContent>
      <w:p w:rsidR="00E22C88" w:rsidRPr="007721B9" w:rsidRDefault="00E22C88" w:rsidP="00E22C88">
        <w:pPr>
          <w:pStyle w:val="a3"/>
          <w:jc w:val="center"/>
          <w:rPr>
            <w:rFonts w:ascii="Times New Roman" w:hAnsi="Times New Roman" w:cs="Times New Roman"/>
            <w:sz w:val="24"/>
          </w:rPr>
        </w:pPr>
        <w:r w:rsidRPr="007721B9">
          <w:rPr>
            <w:rFonts w:ascii="Times New Roman" w:hAnsi="Times New Roman" w:cs="Times New Roman"/>
            <w:sz w:val="24"/>
          </w:rPr>
          <w:fldChar w:fldCharType="begin"/>
        </w:r>
        <w:r w:rsidRPr="007721B9">
          <w:rPr>
            <w:rFonts w:ascii="Times New Roman" w:hAnsi="Times New Roman" w:cs="Times New Roman"/>
            <w:sz w:val="24"/>
          </w:rPr>
          <w:instrText>PAGE   \* MERGEFORMAT</w:instrText>
        </w:r>
        <w:r w:rsidRPr="007721B9">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7721B9">
          <w:rPr>
            <w:rFonts w:ascii="Times New Roman" w:hAnsi="Times New Roman" w:cs="Times New Roman"/>
            <w:sz w:val="24"/>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6450"/>
      <w:docPartObj>
        <w:docPartGallery w:val="Page Numbers (Bottom of Page)"/>
        <w:docPartUnique/>
      </w:docPartObj>
    </w:sdtPr>
    <w:sdtEndPr>
      <w:rPr>
        <w:rFonts w:ascii="Times New Roman" w:hAnsi="Times New Roman" w:cs="Times New Roman"/>
        <w:sz w:val="24"/>
      </w:rPr>
    </w:sdtEndPr>
    <w:sdtContent>
      <w:p w:rsidR="00E22C88" w:rsidRPr="00674C6C" w:rsidRDefault="00E22C88" w:rsidP="00E22C88">
        <w:pPr>
          <w:pStyle w:val="a3"/>
          <w:jc w:val="center"/>
          <w:rPr>
            <w:rFonts w:ascii="Times New Roman" w:hAnsi="Times New Roman" w:cs="Times New Roman"/>
            <w:sz w:val="24"/>
          </w:rPr>
        </w:pPr>
        <w:r w:rsidRPr="00674C6C">
          <w:rPr>
            <w:rFonts w:ascii="Times New Roman" w:hAnsi="Times New Roman" w:cs="Times New Roman"/>
            <w:sz w:val="24"/>
          </w:rPr>
          <w:fldChar w:fldCharType="begin"/>
        </w:r>
        <w:r w:rsidRPr="00674C6C">
          <w:rPr>
            <w:rFonts w:ascii="Times New Roman" w:hAnsi="Times New Roman" w:cs="Times New Roman"/>
            <w:sz w:val="24"/>
          </w:rPr>
          <w:instrText>PAGE   \* MERGEFORMAT</w:instrText>
        </w:r>
        <w:r w:rsidRPr="00674C6C">
          <w:rPr>
            <w:rFonts w:ascii="Times New Roman" w:hAnsi="Times New Roman" w:cs="Times New Roman"/>
            <w:sz w:val="24"/>
          </w:rPr>
          <w:fldChar w:fldCharType="separate"/>
        </w:r>
        <w:r w:rsidR="00B658E3" w:rsidRPr="00B658E3">
          <w:rPr>
            <w:rFonts w:ascii="Times New Roman" w:hAnsi="Times New Roman" w:cs="Times New Roman"/>
            <w:noProof/>
            <w:sz w:val="24"/>
            <w:lang w:val="zh-TW"/>
          </w:rPr>
          <w:t>8</w:t>
        </w:r>
        <w:r w:rsidRPr="00674C6C">
          <w:rPr>
            <w:rFonts w:ascii="Times New Roman" w:hAnsi="Times New Roman" w:cs="Times New Roman"/>
            <w:sz w:val="24"/>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842237"/>
      <w:docPartObj>
        <w:docPartGallery w:val="Page Numbers (Bottom of Page)"/>
        <w:docPartUnique/>
      </w:docPartObj>
    </w:sdtPr>
    <w:sdtEndPr>
      <w:rPr>
        <w:rFonts w:ascii="Times New Roman" w:hAnsi="Times New Roman" w:cs="Times New Roman"/>
        <w:sz w:val="24"/>
      </w:rPr>
    </w:sdtEndPr>
    <w:sdtContent>
      <w:p w:rsidR="00E22C88" w:rsidRPr="00674C6C" w:rsidRDefault="00E22C88" w:rsidP="00E22C88">
        <w:pPr>
          <w:pStyle w:val="a3"/>
          <w:jc w:val="center"/>
          <w:rPr>
            <w:rFonts w:ascii="Times New Roman" w:hAnsi="Times New Roman" w:cs="Times New Roman"/>
            <w:sz w:val="24"/>
          </w:rPr>
        </w:pPr>
        <w:r w:rsidRPr="00674C6C">
          <w:rPr>
            <w:rFonts w:ascii="Times New Roman" w:hAnsi="Times New Roman" w:cs="Times New Roman"/>
            <w:sz w:val="24"/>
          </w:rPr>
          <w:fldChar w:fldCharType="begin"/>
        </w:r>
        <w:r w:rsidRPr="00674C6C">
          <w:rPr>
            <w:rFonts w:ascii="Times New Roman" w:hAnsi="Times New Roman" w:cs="Times New Roman"/>
            <w:sz w:val="24"/>
          </w:rPr>
          <w:instrText>PAGE   \* MERGEFORMAT</w:instrText>
        </w:r>
        <w:r w:rsidRPr="00674C6C">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674C6C">
          <w:rPr>
            <w:rFonts w:ascii="Times New Roman" w:hAnsi="Times New Roman" w:cs="Times New Roman"/>
            <w:sz w:val="24"/>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77262"/>
      <w:docPartObj>
        <w:docPartGallery w:val="Page Numbers (Bottom of Page)"/>
        <w:docPartUnique/>
      </w:docPartObj>
    </w:sdtPr>
    <w:sdtEndPr>
      <w:rPr>
        <w:rFonts w:ascii="Times New Roman" w:hAnsi="Times New Roman" w:cs="Times New Roman"/>
        <w:sz w:val="24"/>
      </w:rPr>
    </w:sdtEndPr>
    <w:sdtContent>
      <w:p w:rsidR="00E22C88" w:rsidRPr="00CD524D" w:rsidRDefault="00E22C88" w:rsidP="00E22C88">
        <w:pPr>
          <w:pStyle w:val="a3"/>
          <w:jc w:val="center"/>
          <w:rPr>
            <w:rFonts w:ascii="Times New Roman" w:hAnsi="Times New Roman" w:cs="Times New Roman"/>
            <w:sz w:val="24"/>
          </w:rPr>
        </w:pPr>
        <w:r w:rsidRPr="00CD524D">
          <w:rPr>
            <w:rFonts w:ascii="Times New Roman" w:hAnsi="Times New Roman" w:cs="Times New Roman"/>
            <w:sz w:val="24"/>
          </w:rPr>
          <w:fldChar w:fldCharType="begin"/>
        </w:r>
        <w:r w:rsidRPr="00CD524D">
          <w:rPr>
            <w:rFonts w:ascii="Times New Roman" w:hAnsi="Times New Roman" w:cs="Times New Roman"/>
            <w:sz w:val="24"/>
          </w:rPr>
          <w:instrText>PAGE   \* MERGEFORMAT</w:instrText>
        </w:r>
        <w:r w:rsidRPr="00CD524D">
          <w:rPr>
            <w:rFonts w:ascii="Times New Roman" w:hAnsi="Times New Roman" w:cs="Times New Roman"/>
            <w:sz w:val="24"/>
          </w:rPr>
          <w:fldChar w:fldCharType="separate"/>
        </w:r>
        <w:r w:rsidR="00B658E3" w:rsidRPr="00B658E3">
          <w:rPr>
            <w:rFonts w:ascii="Times New Roman" w:hAnsi="Times New Roman" w:cs="Times New Roman"/>
            <w:noProof/>
            <w:sz w:val="24"/>
            <w:lang w:val="zh-TW"/>
          </w:rPr>
          <w:t>3</w:t>
        </w:r>
        <w:r w:rsidRPr="00CD524D">
          <w:rPr>
            <w:rFonts w:ascii="Times New Roman" w:hAnsi="Times New Roman" w:cs="Times New Roman"/>
            <w:sz w:val="24"/>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5400389"/>
      <w:docPartObj>
        <w:docPartGallery w:val="Page Numbers (Bottom of Page)"/>
        <w:docPartUnique/>
      </w:docPartObj>
    </w:sdtPr>
    <w:sdtEndPr>
      <w:rPr>
        <w:sz w:val="24"/>
      </w:rPr>
    </w:sdtEndPr>
    <w:sdtContent>
      <w:p w:rsidR="00E22C88" w:rsidRPr="00CD524D" w:rsidRDefault="00E22C88" w:rsidP="00E22C88">
        <w:pPr>
          <w:pStyle w:val="a3"/>
          <w:jc w:val="center"/>
          <w:rPr>
            <w:rFonts w:ascii="Times New Roman" w:hAnsi="Times New Roman" w:cs="Times New Roman"/>
            <w:sz w:val="24"/>
          </w:rPr>
        </w:pPr>
        <w:r w:rsidRPr="00CD524D">
          <w:rPr>
            <w:rFonts w:ascii="Times New Roman" w:hAnsi="Times New Roman" w:cs="Times New Roman"/>
            <w:sz w:val="24"/>
          </w:rPr>
          <w:fldChar w:fldCharType="begin"/>
        </w:r>
        <w:r w:rsidRPr="00CD524D">
          <w:rPr>
            <w:rFonts w:ascii="Times New Roman" w:hAnsi="Times New Roman" w:cs="Times New Roman"/>
            <w:sz w:val="24"/>
          </w:rPr>
          <w:instrText>PAGE   \* MERGEFORMAT</w:instrText>
        </w:r>
        <w:r w:rsidRPr="00CD524D">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CD524D">
          <w:rPr>
            <w:rFonts w:ascii="Times New Roman" w:hAnsi="Times New Roman" w:cs="Times New Roman"/>
            <w:sz w:val="24"/>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30090"/>
      <w:docPartObj>
        <w:docPartGallery w:val="Page Numbers (Bottom of Page)"/>
        <w:docPartUnique/>
      </w:docPartObj>
    </w:sdtPr>
    <w:sdtEndPr>
      <w:rPr>
        <w:rFonts w:ascii="Times New Roman" w:hAnsi="Times New Roman" w:cs="Times New Roman"/>
        <w:sz w:val="24"/>
      </w:rPr>
    </w:sdtEndPr>
    <w:sdtContent>
      <w:p w:rsidR="00E22C88" w:rsidRPr="0037513D" w:rsidRDefault="00E22C88" w:rsidP="00E22C88">
        <w:pPr>
          <w:pStyle w:val="a3"/>
          <w:jc w:val="center"/>
          <w:rPr>
            <w:rFonts w:ascii="Times New Roman" w:hAnsi="Times New Roman" w:cs="Times New Roman"/>
            <w:sz w:val="24"/>
          </w:rPr>
        </w:pPr>
        <w:r w:rsidRPr="0037513D">
          <w:rPr>
            <w:rFonts w:ascii="Times New Roman" w:hAnsi="Times New Roman" w:cs="Times New Roman"/>
            <w:sz w:val="24"/>
          </w:rPr>
          <w:fldChar w:fldCharType="begin"/>
        </w:r>
        <w:r w:rsidRPr="0037513D">
          <w:rPr>
            <w:rFonts w:ascii="Times New Roman" w:hAnsi="Times New Roman" w:cs="Times New Roman"/>
            <w:sz w:val="24"/>
          </w:rPr>
          <w:instrText>PAGE   \* MERGEFORMAT</w:instrText>
        </w:r>
        <w:r w:rsidRPr="0037513D">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37513D">
          <w:rPr>
            <w:rFonts w:ascii="Times New Roman" w:hAnsi="Times New Roman" w:cs="Times New Roman"/>
            <w:sz w:val="24"/>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3"/>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553261"/>
      <w:docPartObj>
        <w:docPartGallery w:val="Page Numbers (Bottom of Page)"/>
        <w:docPartUnique/>
      </w:docPartObj>
    </w:sdtPr>
    <w:sdtEndPr>
      <w:rPr>
        <w:rFonts w:ascii="Times New Roman" w:hAnsi="Times New Roman" w:cs="Times New Roman"/>
        <w:sz w:val="24"/>
      </w:rPr>
    </w:sdtEndPr>
    <w:sdtContent>
      <w:p w:rsidR="00E22C88" w:rsidRPr="00CE0549" w:rsidRDefault="00E22C88" w:rsidP="00E22C88">
        <w:pPr>
          <w:pStyle w:val="a3"/>
          <w:jc w:val="center"/>
          <w:rPr>
            <w:rFonts w:ascii="Times New Roman" w:hAnsi="Times New Roman" w:cs="Times New Roman"/>
            <w:sz w:val="24"/>
          </w:rPr>
        </w:pPr>
        <w:r w:rsidRPr="00CE0549">
          <w:rPr>
            <w:rFonts w:ascii="Times New Roman" w:hAnsi="Times New Roman" w:cs="Times New Roman"/>
            <w:sz w:val="24"/>
          </w:rPr>
          <w:fldChar w:fldCharType="begin"/>
        </w:r>
        <w:r w:rsidRPr="00CE0549">
          <w:rPr>
            <w:rFonts w:ascii="Times New Roman" w:hAnsi="Times New Roman" w:cs="Times New Roman"/>
            <w:sz w:val="24"/>
          </w:rPr>
          <w:instrText>PAGE   \* MERGEFORMAT</w:instrText>
        </w:r>
        <w:r w:rsidRPr="00CE0549">
          <w:rPr>
            <w:rFonts w:ascii="Times New Roman" w:hAnsi="Times New Roman" w:cs="Times New Roman"/>
            <w:sz w:val="24"/>
          </w:rPr>
          <w:fldChar w:fldCharType="separate"/>
        </w:r>
        <w:r w:rsidR="00B658E3" w:rsidRPr="00B658E3">
          <w:rPr>
            <w:rFonts w:ascii="Times New Roman" w:hAnsi="Times New Roman" w:cs="Times New Roman"/>
            <w:noProof/>
            <w:sz w:val="24"/>
            <w:lang w:val="zh-TW"/>
          </w:rPr>
          <w:t>5</w:t>
        </w:r>
        <w:r w:rsidRPr="00CE0549">
          <w:rPr>
            <w:rFonts w:ascii="Times New Roman" w:hAnsi="Times New Roman" w:cs="Times New Roman"/>
            <w:sz w:val="24"/>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41996"/>
      <w:docPartObj>
        <w:docPartGallery w:val="Page Numbers (Bottom of Page)"/>
        <w:docPartUnique/>
      </w:docPartObj>
    </w:sdtPr>
    <w:sdtEndPr>
      <w:rPr>
        <w:rFonts w:ascii="Times New Roman" w:hAnsi="Times New Roman" w:cs="Times New Roman"/>
        <w:sz w:val="24"/>
      </w:rPr>
    </w:sdtEndPr>
    <w:sdtContent>
      <w:p w:rsidR="00E22C88" w:rsidRPr="00CE0549" w:rsidRDefault="00E22C88" w:rsidP="00E22C88">
        <w:pPr>
          <w:pStyle w:val="a3"/>
          <w:jc w:val="center"/>
          <w:rPr>
            <w:rFonts w:ascii="Times New Roman" w:hAnsi="Times New Roman" w:cs="Times New Roman"/>
            <w:sz w:val="24"/>
          </w:rPr>
        </w:pPr>
        <w:r w:rsidRPr="00CE0549">
          <w:rPr>
            <w:rFonts w:ascii="Times New Roman" w:hAnsi="Times New Roman" w:cs="Times New Roman"/>
            <w:sz w:val="24"/>
          </w:rPr>
          <w:fldChar w:fldCharType="begin"/>
        </w:r>
        <w:r w:rsidRPr="00CE0549">
          <w:rPr>
            <w:rFonts w:ascii="Times New Roman" w:hAnsi="Times New Roman" w:cs="Times New Roman"/>
            <w:sz w:val="24"/>
          </w:rPr>
          <w:instrText>PAGE   \* MERGEFORMAT</w:instrText>
        </w:r>
        <w:r w:rsidRPr="00CE0549">
          <w:rPr>
            <w:rFonts w:ascii="Times New Roman" w:hAnsi="Times New Roman" w:cs="Times New Roman"/>
            <w:sz w:val="24"/>
          </w:rPr>
          <w:fldChar w:fldCharType="separate"/>
        </w:r>
        <w:r w:rsidR="00B658E3" w:rsidRPr="00B658E3">
          <w:rPr>
            <w:rFonts w:ascii="Times New Roman" w:hAnsi="Times New Roman" w:cs="Times New Roman"/>
            <w:noProof/>
            <w:sz w:val="24"/>
            <w:lang w:val="zh-TW"/>
          </w:rPr>
          <w:t>2</w:t>
        </w:r>
        <w:r w:rsidRPr="00CE0549">
          <w:rPr>
            <w:rFonts w:ascii="Times New Roman" w:hAnsi="Times New Roman" w:cs="Times New Roman"/>
            <w:sz w:val="24"/>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609781"/>
      <w:docPartObj>
        <w:docPartGallery w:val="Page Numbers (Bottom of Page)"/>
        <w:docPartUnique/>
      </w:docPartObj>
    </w:sdtPr>
    <w:sdtEndPr>
      <w:rPr>
        <w:rFonts w:ascii="Times New Roman" w:hAnsi="Times New Roman" w:cs="Times New Roman"/>
        <w:sz w:val="24"/>
      </w:rPr>
    </w:sdtEndPr>
    <w:sdtContent>
      <w:p w:rsidR="00E22C88" w:rsidRPr="00685F12" w:rsidRDefault="00E22C88" w:rsidP="00E22C88">
        <w:pPr>
          <w:pStyle w:val="a3"/>
          <w:jc w:val="center"/>
          <w:rPr>
            <w:rFonts w:ascii="Times New Roman" w:hAnsi="Times New Roman" w:cs="Times New Roman"/>
            <w:sz w:val="24"/>
          </w:rPr>
        </w:pPr>
        <w:r w:rsidRPr="00685F12">
          <w:rPr>
            <w:rFonts w:ascii="Times New Roman" w:hAnsi="Times New Roman" w:cs="Times New Roman"/>
            <w:sz w:val="24"/>
          </w:rPr>
          <w:fldChar w:fldCharType="begin"/>
        </w:r>
        <w:r w:rsidRPr="00685F12">
          <w:rPr>
            <w:rFonts w:ascii="Times New Roman" w:hAnsi="Times New Roman" w:cs="Times New Roman"/>
            <w:sz w:val="24"/>
          </w:rPr>
          <w:instrText>PAGE   \* MERGEFORMAT</w:instrText>
        </w:r>
        <w:r w:rsidRPr="00685F12">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685F12">
          <w:rPr>
            <w:rFonts w:ascii="Times New Roman" w:hAnsi="Times New Roman" w:cs="Times New Roman"/>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rsidP="007F7E98">
    <w:pPr>
      <w:pStyle w:val="a3"/>
      <w:jc w:val="righ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78999142"/>
      <w:docPartObj>
        <w:docPartGallery w:val="Page Numbers (Bottom of Page)"/>
        <w:docPartUnique/>
      </w:docPartObj>
    </w:sdtPr>
    <w:sdtEndPr/>
    <w:sdtContent>
      <w:p w:rsidR="00E22C88" w:rsidRPr="00024DAC" w:rsidRDefault="00E22C88" w:rsidP="00E22C88">
        <w:pPr>
          <w:pStyle w:val="a3"/>
          <w:jc w:val="center"/>
          <w:rPr>
            <w:sz w:val="24"/>
          </w:rPr>
        </w:pPr>
        <w:r w:rsidRPr="00024DAC">
          <w:rPr>
            <w:rFonts w:ascii="Times New Roman" w:hAnsi="Times New Roman" w:cs="Times New Roman"/>
            <w:sz w:val="24"/>
          </w:rPr>
          <w:fldChar w:fldCharType="begin"/>
        </w:r>
        <w:r w:rsidRPr="00024DAC">
          <w:rPr>
            <w:rFonts w:ascii="Times New Roman" w:hAnsi="Times New Roman" w:cs="Times New Roman"/>
            <w:sz w:val="24"/>
          </w:rPr>
          <w:instrText>PAGE   \* MERGEFORMAT</w:instrText>
        </w:r>
        <w:r w:rsidRPr="00024DAC">
          <w:rPr>
            <w:rFonts w:ascii="Times New Roman" w:hAnsi="Times New Roman" w:cs="Times New Roman"/>
            <w:sz w:val="24"/>
          </w:rPr>
          <w:fldChar w:fldCharType="separate"/>
        </w:r>
        <w:r w:rsidR="006977CC" w:rsidRPr="006977CC">
          <w:rPr>
            <w:rFonts w:ascii="Times New Roman" w:hAnsi="Times New Roman" w:cs="Times New Roman"/>
            <w:noProof/>
            <w:sz w:val="24"/>
            <w:lang w:val="zh-TW"/>
          </w:rPr>
          <w:t>11</w:t>
        </w:r>
        <w:r w:rsidRPr="00024DAC">
          <w:rPr>
            <w:rFonts w:ascii="Times New Roman" w:hAnsi="Times New Roman" w:cs="Times New Roman"/>
            <w:sz w:val="24"/>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84814"/>
      <w:docPartObj>
        <w:docPartGallery w:val="Page Numbers (Bottom of Page)"/>
        <w:docPartUnique/>
      </w:docPartObj>
    </w:sdtPr>
    <w:sdtEndPr>
      <w:rPr>
        <w:rFonts w:ascii="Times New Roman" w:hAnsi="Times New Roman" w:cs="Times New Roman"/>
        <w:sz w:val="24"/>
      </w:rPr>
    </w:sdtEndPr>
    <w:sdtContent>
      <w:p w:rsidR="00E22C88" w:rsidRPr="00024DAC" w:rsidRDefault="00E22C88" w:rsidP="00E22C88">
        <w:pPr>
          <w:pStyle w:val="a3"/>
          <w:jc w:val="center"/>
          <w:rPr>
            <w:rFonts w:ascii="Times New Roman" w:hAnsi="Times New Roman" w:cs="Times New Roman"/>
            <w:sz w:val="24"/>
          </w:rPr>
        </w:pPr>
        <w:r w:rsidRPr="00024DAC">
          <w:rPr>
            <w:rFonts w:ascii="Times New Roman" w:hAnsi="Times New Roman" w:cs="Times New Roman"/>
            <w:sz w:val="24"/>
          </w:rPr>
          <w:fldChar w:fldCharType="begin"/>
        </w:r>
        <w:r w:rsidRPr="00024DAC">
          <w:rPr>
            <w:rFonts w:ascii="Times New Roman" w:hAnsi="Times New Roman" w:cs="Times New Roman"/>
            <w:sz w:val="24"/>
          </w:rPr>
          <w:instrText>PAGE   \* MERGEFORMAT</w:instrText>
        </w:r>
        <w:r w:rsidRPr="00024DAC">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024DAC">
          <w:rPr>
            <w:rFonts w:ascii="Times New Roman" w:hAnsi="Times New Roman" w:cs="Times New Roman"/>
            <w:sz w:val="24"/>
          </w:rPr>
          <w:fldChar w:fldCharType="end"/>
        </w:r>
      </w:p>
    </w:sdtContent>
  </w:sdt>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473528"/>
      <w:docPartObj>
        <w:docPartGallery w:val="Page Numbers (Bottom of Page)"/>
        <w:docPartUnique/>
      </w:docPartObj>
    </w:sdtPr>
    <w:sdtEndPr>
      <w:rPr>
        <w:rFonts w:ascii="Times New Roman" w:hAnsi="Times New Roman" w:cs="Times New Roman"/>
        <w:sz w:val="24"/>
      </w:rPr>
    </w:sdtEndPr>
    <w:sdtContent>
      <w:p w:rsidR="00E22C88" w:rsidRPr="00520131" w:rsidRDefault="00E22C88" w:rsidP="00E22C88">
        <w:pPr>
          <w:pStyle w:val="a3"/>
          <w:jc w:val="center"/>
          <w:rPr>
            <w:rFonts w:ascii="Times New Roman" w:hAnsi="Times New Roman" w:cs="Times New Roman"/>
            <w:sz w:val="24"/>
          </w:rPr>
        </w:pPr>
        <w:r w:rsidRPr="00520131">
          <w:rPr>
            <w:rFonts w:ascii="Times New Roman" w:hAnsi="Times New Roman" w:cs="Times New Roman"/>
            <w:sz w:val="24"/>
          </w:rPr>
          <w:fldChar w:fldCharType="begin"/>
        </w:r>
        <w:r w:rsidRPr="00520131">
          <w:rPr>
            <w:rFonts w:ascii="Times New Roman" w:hAnsi="Times New Roman" w:cs="Times New Roman"/>
            <w:sz w:val="24"/>
          </w:rPr>
          <w:instrText>PAGE   \* MERGEFORMAT</w:instrText>
        </w:r>
        <w:r w:rsidRPr="00520131">
          <w:rPr>
            <w:rFonts w:ascii="Times New Roman" w:hAnsi="Times New Roman" w:cs="Times New Roman"/>
            <w:sz w:val="24"/>
          </w:rPr>
          <w:fldChar w:fldCharType="separate"/>
        </w:r>
        <w:r w:rsidR="006977CC" w:rsidRPr="006977CC">
          <w:rPr>
            <w:rFonts w:ascii="Times New Roman" w:hAnsi="Times New Roman" w:cs="Times New Roman"/>
            <w:noProof/>
            <w:sz w:val="24"/>
            <w:lang w:val="zh-TW"/>
          </w:rPr>
          <w:t>6</w:t>
        </w:r>
        <w:r w:rsidRPr="00520131">
          <w:rPr>
            <w:rFonts w:ascii="Times New Roman" w:hAnsi="Times New Roman" w:cs="Times New Roman"/>
            <w:sz w:val="24"/>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56161"/>
      <w:docPartObj>
        <w:docPartGallery w:val="Page Numbers (Bottom of Page)"/>
        <w:docPartUnique/>
      </w:docPartObj>
    </w:sdtPr>
    <w:sdtEndPr>
      <w:rPr>
        <w:rFonts w:ascii="Times New Roman" w:hAnsi="Times New Roman" w:cs="Times New Roman"/>
        <w:sz w:val="24"/>
      </w:rPr>
    </w:sdtEndPr>
    <w:sdtContent>
      <w:p w:rsidR="00E22C88" w:rsidRPr="00520131" w:rsidRDefault="00E22C88" w:rsidP="00E22C88">
        <w:pPr>
          <w:pStyle w:val="a3"/>
          <w:jc w:val="center"/>
          <w:rPr>
            <w:rFonts w:ascii="Times New Roman" w:hAnsi="Times New Roman" w:cs="Times New Roman"/>
            <w:sz w:val="24"/>
          </w:rPr>
        </w:pPr>
        <w:r w:rsidRPr="00520131">
          <w:rPr>
            <w:rFonts w:ascii="Times New Roman" w:hAnsi="Times New Roman" w:cs="Times New Roman"/>
            <w:sz w:val="24"/>
          </w:rPr>
          <w:fldChar w:fldCharType="begin"/>
        </w:r>
        <w:r w:rsidRPr="00520131">
          <w:rPr>
            <w:rFonts w:ascii="Times New Roman" w:hAnsi="Times New Roman" w:cs="Times New Roman"/>
            <w:sz w:val="24"/>
          </w:rPr>
          <w:instrText>PAGE   \* MERGEFORMAT</w:instrText>
        </w:r>
        <w:r w:rsidRPr="00520131">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520131">
          <w:rPr>
            <w:rFonts w:ascii="Times New Roman" w:hAnsi="Times New Roman" w:cs="Times New Roman"/>
            <w:sz w:val="24"/>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334295"/>
      <w:docPartObj>
        <w:docPartGallery w:val="Page Numbers (Bottom of Page)"/>
        <w:docPartUnique/>
      </w:docPartObj>
    </w:sdtPr>
    <w:sdtEndPr/>
    <w:sdtContent>
      <w:p w:rsidR="00E22C88" w:rsidRPr="00520131" w:rsidRDefault="00E22C88" w:rsidP="00E22C88">
        <w:pPr>
          <w:pStyle w:val="a3"/>
          <w:jc w:val="center"/>
        </w:pPr>
        <w:r w:rsidRPr="00520131">
          <w:rPr>
            <w:rFonts w:ascii="Times New Roman" w:hAnsi="Times New Roman" w:cs="Times New Roman"/>
            <w:sz w:val="24"/>
          </w:rPr>
          <w:fldChar w:fldCharType="begin"/>
        </w:r>
        <w:r w:rsidRPr="00520131">
          <w:rPr>
            <w:rFonts w:ascii="Times New Roman" w:hAnsi="Times New Roman" w:cs="Times New Roman"/>
            <w:sz w:val="24"/>
          </w:rPr>
          <w:instrText>PAGE   \* MERGEFORMAT</w:instrText>
        </w:r>
        <w:r w:rsidRPr="00520131">
          <w:rPr>
            <w:rFonts w:ascii="Times New Roman" w:hAnsi="Times New Roman" w:cs="Times New Roman"/>
            <w:sz w:val="24"/>
          </w:rPr>
          <w:fldChar w:fldCharType="separate"/>
        </w:r>
        <w:r w:rsidR="006977CC" w:rsidRPr="006977CC">
          <w:rPr>
            <w:rFonts w:ascii="Times New Roman" w:hAnsi="Times New Roman" w:cs="Times New Roman"/>
            <w:noProof/>
            <w:sz w:val="24"/>
            <w:lang w:val="zh-TW"/>
          </w:rPr>
          <w:t>5</w:t>
        </w:r>
        <w:r w:rsidRPr="00520131">
          <w:rPr>
            <w:rFonts w:ascii="Times New Roman" w:hAnsi="Times New Roman" w:cs="Times New Roman"/>
            <w:sz w:val="24"/>
          </w:rP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569147"/>
      <w:docPartObj>
        <w:docPartGallery w:val="Page Numbers (Bottom of Page)"/>
        <w:docPartUnique/>
      </w:docPartObj>
    </w:sdtPr>
    <w:sdtEndPr/>
    <w:sdtContent>
      <w:p w:rsidR="00E22C88" w:rsidRPr="00520131" w:rsidRDefault="00E22C88" w:rsidP="00E22C88">
        <w:pPr>
          <w:pStyle w:val="a3"/>
          <w:jc w:val="center"/>
        </w:pPr>
        <w:r w:rsidRPr="00520131">
          <w:rPr>
            <w:rFonts w:ascii="Times New Roman" w:hAnsi="Times New Roman" w:cs="Times New Roman"/>
            <w:sz w:val="24"/>
          </w:rPr>
          <w:fldChar w:fldCharType="begin"/>
        </w:r>
        <w:r w:rsidRPr="00520131">
          <w:rPr>
            <w:rFonts w:ascii="Times New Roman" w:hAnsi="Times New Roman" w:cs="Times New Roman"/>
            <w:sz w:val="24"/>
          </w:rPr>
          <w:instrText>PAGE   \* MERGEFORMAT</w:instrText>
        </w:r>
        <w:r w:rsidRPr="00520131">
          <w:rPr>
            <w:rFonts w:ascii="Times New Roman" w:hAnsi="Times New Roman" w:cs="Times New Roman"/>
            <w:sz w:val="24"/>
          </w:rPr>
          <w:fldChar w:fldCharType="separate"/>
        </w:r>
        <w:r w:rsidR="006977CC" w:rsidRPr="006977CC">
          <w:rPr>
            <w:rFonts w:ascii="Times New Roman" w:hAnsi="Times New Roman" w:cs="Times New Roman"/>
            <w:noProof/>
            <w:sz w:val="24"/>
            <w:lang w:val="zh-TW"/>
          </w:rPr>
          <w:t>1</w:t>
        </w:r>
        <w:r w:rsidRPr="00520131">
          <w:rPr>
            <w:rFonts w:ascii="Times New Roman" w:hAnsi="Times New Roman" w:cs="Times New Roman"/>
            <w:sz w:val="24"/>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97332"/>
      <w:docPartObj>
        <w:docPartGallery w:val="Page Numbers (Bottom of Page)"/>
        <w:docPartUnique/>
      </w:docPartObj>
    </w:sdtPr>
    <w:sdtEndPr>
      <w:rPr>
        <w:rFonts w:ascii="Times New Roman" w:hAnsi="Times New Roman" w:cs="Times New Roman"/>
        <w:sz w:val="24"/>
      </w:rPr>
    </w:sdtEndPr>
    <w:sdtContent>
      <w:p w:rsidR="00E22C88" w:rsidRPr="00742BCD" w:rsidRDefault="00E22C88" w:rsidP="00E22C88">
        <w:pPr>
          <w:pStyle w:val="a3"/>
          <w:jc w:val="center"/>
          <w:rPr>
            <w:rFonts w:ascii="Times New Roman" w:hAnsi="Times New Roman" w:cs="Times New Roman"/>
            <w:sz w:val="24"/>
          </w:rPr>
        </w:pPr>
        <w:r w:rsidRPr="00742BCD">
          <w:rPr>
            <w:rFonts w:ascii="Times New Roman" w:hAnsi="Times New Roman" w:cs="Times New Roman"/>
            <w:sz w:val="24"/>
          </w:rPr>
          <w:fldChar w:fldCharType="begin"/>
        </w:r>
        <w:r w:rsidRPr="00742BCD">
          <w:rPr>
            <w:rFonts w:ascii="Times New Roman" w:hAnsi="Times New Roman" w:cs="Times New Roman"/>
            <w:sz w:val="24"/>
          </w:rPr>
          <w:instrText>PAGE   \* MERGEFORMAT</w:instrText>
        </w:r>
        <w:r w:rsidRPr="00742BCD">
          <w:rPr>
            <w:rFonts w:ascii="Times New Roman" w:hAnsi="Times New Roman" w:cs="Times New Roman"/>
            <w:sz w:val="24"/>
          </w:rPr>
          <w:fldChar w:fldCharType="separate"/>
        </w:r>
        <w:r w:rsidR="006977CC" w:rsidRPr="006977CC">
          <w:rPr>
            <w:rFonts w:ascii="Times New Roman" w:hAnsi="Times New Roman" w:cs="Times New Roman"/>
            <w:noProof/>
            <w:sz w:val="24"/>
            <w:lang w:val="zh-TW"/>
          </w:rPr>
          <w:t>2</w:t>
        </w:r>
        <w:r w:rsidRPr="00742BCD">
          <w:rPr>
            <w:rFonts w:ascii="Times New Roman" w:hAnsi="Times New Roman" w:cs="Times New Roman"/>
            <w:sz w:val="24"/>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391902"/>
      <w:docPartObj>
        <w:docPartGallery w:val="Page Numbers (Bottom of Page)"/>
        <w:docPartUnique/>
      </w:docPartObj>
    </w:sdtPr>
    <w:sdtEndPr>
      <w:rPr>
        <w:rFonts w:ascii="Times New Roman" w:hAnsi="Times New Roman" w:cs="Times New Roman"/>
        <w:sz w:val="24"/>
      </w:rPr>
    </w:sdtEndPr>
    <w:sdtContent>
      <w:p w:rsidR="00E22C88" w:rsidRPr="00520131" w:rsidRDefault="00E22C88" w:rsidP="00E22C88">
        <w:pPr>
          <w:pStyle w:val="a3"/>
          <w:jc w:val="center"/>
          <w:rPr>
            <w:rFonts w:ascii="Times New Roman" w:hAnsi="Times New Roman" w:cs="Times New Roman"/>
            <w:sz w:val="24"/>
          </w:rPr>
        </w:pPr>
        <w:r w:rsidRPr="00520131">
          <w:rPr>
            <w:rFonts w:ascii="Times New Roman" w:hAnsi="Times New Roman" w:cs="Times New Roman"/>
            <w:sz w:val="24"/>
          </w:rPr>
          <w:fldChar w:fldCharType="begin"/>
        </w:r>
        <w:r w:rsidRPr="00520131">
          <w:rPr>
            <w:rFonts w:ascii="Times New Roman" w:hAnsi="Times New Roman" w:cs="Times New Roman"/>
            <w:sz w:val="24"/>
          </w:rPr>
          <w:instrText>PAGE   \* MERGEFORMAT</w:instrText>
        </w:r>
        <w:r w:rsidRPr="00520131">
          <w:rPr>
            <w:rFonts w:ascii="Times New Roman" w:hAnsi="Times New Roman" w:cs="Times New Roman"/>
            <w:sz w:val="24"/>
          </w:rPr>
          <w:fldChar w:fldCharType="separate"/>
        </w:r>
        <w:r w:rsidR="006977CC" w:rsidRPr="006977CC">
          <w:rPr>
            <w:rFonts w:ascii="Times New Roman" w:hAnsi="Times New Roman" w:cs="Times New Roman"/>
            <w:noProof/>
            <w:sz w:val="24"/>
            <w:lang w:val="zh-TW"/>
          </w:rPr>
          <w:t>1</w:t>
        </w:r>
        <w:r w:rsidRPr="00520131">
          <w:rPr>
            <w:rFonts w:ascii="Times New Roman" w:hAnsi="Times New Roman" w:cs="Times New Roman"/>
            <w:sz w:val="24"/>
          </w:rP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76336"/>
      <w:docPartObj>
        <w:docPartGallery w:val="Page Numbers (Bottom of Page)"/>
        <w:docPartUnique/>
      </w:docPartObj>
    </w:sdtPr>
    <w:sdtEndPr>
      <w:rPr>
        <w:rFonts w:ascii="Times New Roman" w:hAnsi="Times New Roman" w:cs="Times New Roman"/>
        <w:sz w:val="24"/>
      </w:rPr>
    </w:sdtEndPr>
    <w:sdtContent>
      <w:p w:rsidR="00E22C88" w:rsidRPr="00520131" w:rsidRDefault="00E22C88" w:rsidP="00E22C88">
        <w:pPr>
          <w:pStyle w:val="a3"/>
          <w:jc w:val="center"/>
          <w:rPr>
            <w:rFonts w:ascii="Times New Roman" w:hAnsi="Times New Roman" w:cs="Times New Roman"/>
            <w:sz w:val="24"/>
          </w:rPr>
        </w:pPr>
        <w:r w:rsidRPr="00520131">
          <w:rPr>
            <w:rFonts w:ascii="Times New Roman" w:hAnsi="Times New Roman" w:cs="Times New Roman"/>
            <w:sz w:val="24"/>
          </w:rPr>
          <w:fldChar w:fldCharType="begin"/>
        </w:r>
        <w:r w:rsidRPr="00520131">
          <w:rPr>
            <w:rFonts w:ascii="Times New Roman" w:hAnsi="Times New Roman" w:cs="Times New Roman"/>
            <w:sz w:val="24"/>
          </w:rPr>
          <w:instrText>PAGE   \* MERGEFORMAT</w:instrText>
        </w:r>
        <w:r w:rsidRPr="00520131">
          <w:rPr>
            <w:rFonts w:ascii="Times New Roman" w:hAnsi="Times New Roman" w:cs="Times New Roman"/>
            <w:sz w:val="24"/>
          </w:rPr>
          <w:fldChar w:fldCharType="separate"/>
        </w:r>
        <w:r w:rsidR="009E4825" w:rsidRPr="009E4825">
          <w:rPr>
            <w:rFonts w:ascii="Times New Roman" w:hAnsi="Times New Roman" w:cs="Times New Roman"/>
            <w:noProof/>
            <w:sz w:val="24"/>
            <w:lang w:val="zh-TW"/>
          </w:rPr>
          <w:t>8</w:t>
        </w:r>
        <w:r w:rsidRPr="00520131">
          <w:rPr>
            <w:rFonts w:ascii="Times New Roman" w:hAnsi="Times New Roman" w:cs="Times New Roman"/>
            <w:sz w:val="24"/>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6010"/>
      <w:docPartObj>
        <w:docPartGallery w:val="Page Numbers (Bottom of Page)"/>
        <w:docPartUnique/>
      </w:docPartObj>
    </w:sdtPr>
    <w:sdtEndPr/>
    <w:sdtContent>
      <w:p w:rsidR="00E22C88" w:rsidRPr="00412758" w:rsidRDefault="00E22C88" w:rsidP="00E22C88">
        <w:pPr>
          <w:pStyle w:val="a3"/>
          <w:jc w:val="center"/>
        </w:pPr>
        <w:r w:rsidRPr="00412758">
          <w:rPr>
            <w:rFonts w:ascii="Times New Roman" w:hAnsi="Times New Roman" w:cs="Times New Roman"/>
            <w:sz w:val="24"/>
          </w:rPr>
          <w:fldChar w:fldCharType="begin"/>
        </w:r>
        <w:r w:rsidRPr="00412758">
          <w:rPr>
            <w:rFonts w:ascii="Times New Roman" w:hAnsi="Times New Roman" w:cs="Times New Roman"/>
            <w:sz w:val="24"/>
          </w:rPr>
          <w:instrText>PAGE   \* MERGEFORMAT</w:instrText>
        </w:r>
        <w:r w:rsidRPr="00412758">
          <w:rPr>
            <w:rFonts w:ascii="Times New Roman" w:hAnsi="Times New Roman" w:cs="Times New Roman"/>
            <w:sz w:val="24"/>
          </w:rPr>
          <w:fldChar w:fldCharType="separate"/>
        </w:r>
        <w:r w:rsidR="009E4825" w:rsidRPr="009E4825">
          <w:rPr>
            <w:rFonts w:ascii="Times New Roman" w:hAnsi="Times New Roman" w:cs="Times New Roman"/>
            <w:noProof/>
            <w:sz w:val="24"/>
            <w:lang w:val="zh-TW"/>
          </w:rPr>
          <w:t>1</w:t>
        </w:r>
        <w:r w:rsidRPr="00412758">
          <w:rPr>
            <w:rFonts w:ascii="Times New Roman" w:hAnsi="Times New Roman" w:cs="Times New Roman"/>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71002"/>
      <w:docPartObj>
        <w:docPartGallery w:val="Page Numbers (Bottom of Page)"/>
        <w:docPartUnique/>
      </w:docPartObj>
    </w:sdtPr>
    <w:sdtEndPr>
      <w:rPr>
        <w:rFonts w:ascii="Times New Roman" w:hAnsi="Times New Roman" w:cs="Times New Roman"/>
        <w:sz w:val="24"/>
        <w:szCs w:val="24"/>
      </w:rPr>
    </w:sdtEndPr>
    <w:sdtContent>
      <w:p w:rsidR="00E22C88" w:rsidRPr="00402F3C" w:rsidRDefault="00E22C88" w:rsidP="00402F3C">
        <w:pPr>
          <w:pStyle w:val="a3"/>
          <w:jc w:val="center"/>
          <w:rPr>
            <w:rFonts w:ascii="Times New Roman" w:hAnsi="Times New Roman" w:cs="Times New Roman"/>
            <w:sz w:val="24"/>
            <w:szCs w:val="24"/>
          </w:rPr>
        </w:pPr>
        <w:r w:rsidRPr="00402F3C">
          <w:rPr>
            <w:rFonts w:ascii="Times New Roman" w:hAnsi="Times New Roman" w:cs="Times New Roman"/>
            <w:sz w:val="24"/>
            <w:szCs w:val="24"/>
          </w:rPr>
          <w:fldChar w:fldCharType="begin"/>
        </w:r>
        <w:r w:rsidRPr="00402F3C">
          <w:rPr>
            <w:rFonts w:ascii="Times New Roman" w:hAnsi="Times New Roman" w:cs="Times New Roman"/>
            <w:sz w:val="24"/>
            <w:szCs w:val="24"/>
          </w:rPr>
          <w:instrText>PAGE   \* MERGEFORMAT</w:instrText>
        </w:r>
        <w:r w:rsidRPr="00402F3C">
          <w:rPr>
            <w:rFonts w:ascii="Times New Roman" w:hAnsi="Times New Roman" w:cs="Times New Roman"/>
            <w:sz w:val="24"/>
            <w:szCs w:val="24"/>
          </w:rPr>
          <w:fldChar w:fldCharType="separate"/>
        </w:r>
        <w:r w:rsidR="00B658E3" w:rsidRPr="00B658E3">
          <w:rPr>
            <w:rFonts w:ascii="Times New Roman" w:hAnsi="Times New Roman" w:cs="Times New Roman"/>
            <w:noProof/>
            <w:sz w:val="24"/>
            <w:szCs w:val="24"/>
            <w:lang w:val="zh-TW"/>
          </w:rPr>
          <w:t>50</w:t>
        </w:r>
        <w:r w:rsidRPr="00402F3C">
          <w:rPr>
            <w:rFonts w:ascii="Times New Roman" w:hAnsi="Times New Roman" w:cs="Times New Roman"/>
            <w:sz w:val="24"/>
            <w:szCs w:val="24"/>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074496"/>
      <w:docPartObj>
        <w:docPartGallery w:val="Page Numbers (Bottom of Page)"/>
        <w:docPartUnique/>
      </w:docPartObj>
    </w:sdtPr>
    <w:sdtEndPr>
      <w:rPr>
        <w:rFonts w:ascii="Times New Roman" w:hAnsi="Times New Roman" w:cs="Times New Roman"/>
        <w:sz w:val="24"/>
      </w:rPr>
    </w:sdtEndPr>
    <w:sdtContent>
      <w:p w:rsidR="00E22C88" w:rsidRPr="00ED0005" w:rsidRDefault="00E22C88" w:rsidP="00E22C88">
        <w:pPr>
          <w:pStyle w:val="a3"/>
          <w:jc w:val="center"/>
          <w:rPr>
            <w:rFonts w:ascii="Times New Roman" w:hAnsi="Times New Roman" w:cs="Times New Roman"/>
            <w:sz w:val="24"/>
          </w:rPr>
        </w:pPr>
        <w:r w:rsidRPr="00ED0005">
          <w:rPr>
            <w:rFonts w:ascii="Times New Roman" w:hAnsi="Times New Roman" w:cs="Times New Roman"/>
            <w:sz w:val="24"/>
          </w:rPr>
          <w:fldChar w:fldCharType="begin"/>
        </w:r>
        <w:r w:rsidRPr="00ED0005">
          <w:rPr>
            <w:rFonts w:ascii="Times New Roman" w:hAnsi="Times New Roman" w:cs="Times New Roman"/>
            <w:sz w:val="24"/>
          </w:rPr>
          <w:instrText>PAGE   \* MERGEFORMAT</w:instrText>
        </w:r>
        <w:r w:rsidRPr="00ED0005">
          <w:rPr>
            <w:rFonts w:ascii="Times New Roman" w:hAnsi="Times New Roman" w:cs="Times New Roman"/>
            <w:sz w:val="24"/>
          </w:rPr>
          <w:fldChar w:fldCharType="separate"/>
        </w:r>
        <w:r w:rsidR="009E4825" w:rsidRPr="009E4825">
          <w:rPr>
            <w:rFonts w:ascii="Times New Roman" w:hAnsi="Times New Roman" w:cs="Times New Roman"/>
            <w:noProof/>
            <w:sz w:val="24"/>
            <w:lang w:val="zh-TW"/>
          </w:rPr>
          <w:t>1</w:t>
        </w:r>
        <w:r w:rsidRPr="00ED0005">
          <w:rPr>
            <w:rFonts w:ascii="Times New Roman" w:hAnsi="Times New Roman" w:cs="Times New Roman"/>
            <w:sz w:val="24"/>
          </w:rPr>
          <w:fldChar w:fldCharType="end"/>
        </w:r>
      </w:p>
    </w:sdtContent>
  </w:sdt>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60362E" w:rsidRDefault="00E22C88" w:rsidP="00E22C88">
    <w:pPr>
      <w:pStyle w:val="a3"/>
      <w:jc w:val="center"/>
      <w:rPr>
        <w:rFonts w:ascii="Times New Roman" w:hAnsi="Times New Roman" w:cs="Times New Roman"/>
      </w:rPr>
    </w:pPr>
    <w:r w:rsidRPr="0060362E">
      <w:rPr>
        <w:rFonts w:ascii="Times New Roman" w:hAnsi="Times New Roman" w:cs="Times New Roman"/>
        <w:sz w:val="24"/>
      </w:rPr>
      <w:fldChar w:fldCharType="begin"/>
    </w:r>
    <w:r w:rsidRPr="0060362E">
      <w:rPr>
        <w:rFonts w:ascii="Times New Roman" w:hAnsi="Times New Roman" w:cs="Times New Roman"/>
        <w:sz w:val="24"/>
      </w:rPr>
      <w:instrText>PAGE   \* MERGEFORMAT</w:instrText>
    </w:r>
    <w:r w:rsidRPr="0060362E">
      <w:rPr>
        <w:rFonts w:ascii="Times New Roman" w:hAnsi="Times New Roman" w:cs="Times New Roman"/>
        <w:sz w:val="24"/>
      </w:rPr>
      <w:fldChar w:fldCharType="separate"/>
    </w:r>
    <w:r w:rsidR="009E4825" w:rsidRPr="009E4825">
      <w:rPr>
        <w:rFonts w:ascii="Times New Roman" w:hAnsi="Times New Roman" w:cs="Times New Roman"/>
        <w:noProof/>
        <w:sz w:val="24"/>
        <w:lang w:val="zh-TW"/>
      </w:rPr>
      <w:t>1</w:t>
    </w:r>
    <w:r w:rsidRPr="0060362E">
      <w:rPr>
        <w:rFonts w:ascii="Times New Roman" w:hAnsi="Times New Roman" w:cs="Times New Roman"/>
        <w:sz w:val="24"/>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51510920"/>
      <w:docPartObj>
        <w:docPartGallery w:val="Page Numbers (Bottom of Page)"/>
        <w:docPartUnique/>
      </w:docPartObj>
    </w:sdtPr>
    <w:sdtEndPr/>
    <w:sdtContent>
      <w:p w:rsidR="00E22C88" w:rsidRPr="00441097" w:rsidRDefault="00E22C88" w:rsidP="00E22C88">
        <w:pPr>
          <w:pStyle w:val="a3"/>
          <w:jc w:val="center"/>
          <w:rPr>
            <w:rFonts w:ascii="Times New Roman" w:hAnsi="Times New Roman" w:cs="Times New Roman"/>
          </w:rPr>
        </w:pPr>
        <w:r w:rsidRPr="00E05AD9">
          <w:rPr>
            <w:rFonts w:ascii="Times New Roman" w:hAnsi="Times New Roman" w:cs="Times New Roman"/>
            <w:sz w:val="24"/>
            <w:szCs w:val="24"/>
          </w:rPr>
          <w:fldChar w:fldCharType="begin"/>
        </w:r>
        <w:r w:rsidRPr="00E05AD9">
          <w:rPr>
            <w:rFonts w:ascii="Times New Roman" w:hAnsi="Times New Roman" w:cs="Times New Roman"/>
            <w:sz w:val="24"/>
            <w:szCs w:val="24"/>
          </w:rPr>
          <w:instrText>PAGE   \* MERGEFORMAT</w:instrText>
        </w:r>
        <w:r w:rsidRPr="00E05AD9">
          <w:rPr>
            <w:rFonts w:ascii="Times New Roman" w:hAnsi="Times New Roman" w:cs="Times New Roman"/>
            <w:sz w:val="24"/>
            <w:szCs w:val="24"/>
          </w:rPr>
          <w:fldChar w:fldCharType="separate"/>
        </w:r>
        <w:r w:rsidR="009E4825" w:rsidRPr="009E4825">
          <w:rPr>
            <w:rFonts w:ascii="Times New Roman" w:hAnsi="Times New Roman" w:cs="Times New Roman"/>
            <w:noProof/>
            <w:sz w:val="24"/>
            <w:szCs w:val="24"/>
            <w:lang w:val="zh-TW"/>
          </w:rPr>
          <w:t>2</w:t>
        </w:r>
        <w:r w:rsidRPr="00E05AD9">
          <w:rPr>
            <w:rFonts w:ascii="Times New Roman" w:hAnsi="Times New Roman" w:cs="Times New Roman"/>
            <w:sz w:val="24"/>
            <w:szCs w:val="24"/>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554219"/>
      <w:docPartObj>
        <w:docPartGallery w:val="Page Numbers (Bottom of Page)"/>
        <w:docPartUnique/>
      </w:docPartObj>
    </w:sdtPr>
    <w:sdtEndPr>
      <w:rPr>
        <w:rFonts w:ascii="Times New Roman" w:hAnsi="Times New Roman" w:cs="Times New Roman"/>
        <w:sz w:val="24"/>
      </w:rPr>
    </w:sdtEndPr>
    <w:sdtContent>
      <w:p w:rsidR="00E22C88" w:rsidRPr="00C01D80" w:rsidRDefault="00E22C88" w:rsidP="00E22C88">
        <w:pPr>
          <w:pStyle w:val="a3"/>
          <w:jc w:val="center"/>
          <w:rPr>
            <w:rFonts w:ascii="Times New Roman" w:hAnsi="Times New Roman" w:cs="Times New Roman"/>
            <w:sz w:val="24"/>
          </w:rPr>
        </w:pPr>
        <w:r w:rsidRPr="00C01D80">
          <w:rPr>
            <w:rFonts w:ascii="Times New Roman" w:hAnsi="Times New Roman" w:cs="Times New Roman"/>
            <w:sz w:val="24"/>
          </w:rPr>
          <w:fldChar w:fldCharType="begin"/>
        </w:r>
        <w:r w:rsidRPr="00C01D80">
          <w:rPr>
            <w:rFonts w:ascii="Times New Roman" w:hAnsi="Times New Roman" w:cs="Times New Roman"/>
            <w:sz w:val="24"/>
          </w:rPr>
          <w:instrText>PAGE   \* MERGEFORMAT</w:instrText>
        </w:r>
        <w:r w:rsidRPr="00C01D80">
          <w:rPr>
            <w:rFonts w:ascii="Times New Roman" w:hAnsi="Times New Roman" w:cs="Times New Roman"/>
            <w:sz w:val="24"/>
          </w:rPr>
          <w:fldChar w:fldCharType="separate"/>
        </w:r>
        <w:r w:rsidR="009E4825" w:rsidRPr="009E4825">
          <w:rPr>
            <w:rFonts w:ascii="Times New Roman" w:hAnsi="Times New Roman" w:cs="Times New Roman"/>
            <w:noProof/>
            <w:sz w:val="24"/>
            <w:lang w:val="zh-TW"/>
          </w:rPr>
          <w:t>7</w:t>
        </w:r>
        <w:r w:rsidRPr="00C01D80">
          <w:rPr>
            <w:rFonts w:ascii="Times New Roman" w:hAnsi="Times New Roman" w:cs="Times New Roman"/>
            <w:sz w:val="24"/>
          </w:rPr>
          <w:fldChar w:fldCharType="end"/>
        </w:r>
      </w:p>
    </w:sdtContent>
  </w:sdt>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DB339E" w:rsidRDefault="00E22C88" w:rsidP="00E22C88">
    <w:pPr>
      <w:pStyle w:val="a3"/>
      <w:jc w:val="center"/>
      <w:rPr>
        <w:rFonts w:ascii="Times New Roman" w:eastAsia="新細明體" w:hAnsi="Times New Roman" w:cs="Times New Roman"/>
        <w:sz w:val="24"/>
        <w:szCs w:val="24"/>
      </w:rPr>
    </w:pPr>
    <w:r w:rsidRPr="00DB339E">
      <w:rPr>
        <w:rStyle w:val="a5"/>
        <w:rFonts w:ascii="Times New Roman" w:hAnsi="Times New Roman" w:cs="Times New Roman"/>
        <w:sz w:val="24"/>
        <w:szCs w:val="24"/>
      </w:rPr>
      <w:fldChar w:fldCharType="begin"/>
    </w:r>
    <w:r w:rsidRPr="00DB339E">
      <w:rPr>
        <w:rStyle w:val="a5"/>
        <w:rFonts w:ascii="Times New Roman" w:hAnsi="Times New Roman" w:cs="Times New Roman"/>
        <w:sz w:val="24"/>
        <w:szCs w:val="24"/>
      </w:rPr>
      <w:instrText xml:space="preserve"> PAGE </w:instrText>
    </w:r>
    <w:r w:rsidRPr="00DB339E">
      <w:rPr>
        <w:rStyle w:val="a5"/>
        <w:rFonts w:ascii="Times New Roman" w:hAnsi="Times New Roman" w:cs="Times New Roman"/>
        <w:sz w:val="24"/>
        <w:szCs w:val="24"/>
      </w:rPr>
      <w:fldChar w:fldCharType="separate"/>
    </w:r>
    <w:r w:rsidR="009E4825">
      <w:rPr>
        <w:rStyle w:val="a5"/>
        <w:rFonts w:ascii="Times New Roman" w:hAnsi="Times New Roman" w:cs="Times New Roman"/>
        <w:noProof/>
        <w:sz w:val="24"/>
        <w:szCs w:val="24"/>
      </w:rPr>
      <w:t>2</w:t>
    </w:r>
    <w:r w:rsidRPr="00DB339E">
      <w:rPr>
        <w:rStyle w:val="a5"/>
        <w:rFonts w:ascii="Times New Roman" w:hAnsi="Times New Roman" w:cs="Times New Roman"/>
        <w:sz w:val="24"/>
        <w:szCs w:val="24"/>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4671E8" w:rsidRDefault="00E22C88" w:rsidP="00E22C88">
    <w:pPr>
      <w:pStyle w:val="a3"/>
      <w:jc w:val="center"/>
      <w:rPr>
        <w:rFonts w:ascii="Times New Roman" w:eastAsia="新細明體" w:hAnsi="Times New Roman" w:cs="Times New Roman"/>
        <w:sz w:val="24"/>
      </w:rPr>
    </w:pPr>
    <w:r w:rsidRPr="004671E8">
      <w:rPr>
        <w:rFonts w:ascii="Times New Roman" w:hAnsi="Times New Roman" w:cs="Times New Roman"/>
        <w:sz w:val="24"/>
      </w:rPr>
      <w:fldChar w:fldCharType="begin"/>
    </w:r>
    <w:r w:rsidRPr="004671E8">
      <w:rPr>
        <w:rFonts w:ascii="Times New Roman" w:hAnsi="Times New Roman" w:cs="Times New Roman"/>
        <w:sz w:val="24"/>
      </w:rPr>
      <w:instrText>PAGE   \* MERGEFORMAT</w:instrText>
    </w:r>
    <w:r w:rsidRPr="004671E8">
      <w:rPr>
        <w:rFonts w:ascii="Times New Roman" w:hAnsi="Times New Roman" w:cs="Times New Roman"/>
        <w:sz w:val="24"/>
      </w:rPr>
      <w:fldChar w:fldCharType="separate"/>
    </w:r>
    <w:r w:rsidR="009E4825" w:rsidRPr="009E4825">
      <w:rPr>
        <w:rFonts w:ascii="Times New Roman" w:hAnsi="Times New Roman" w:cs="Times New Roman"/>
        <w:noProof/>
        <w:sz w:val="24"/>
        <w:lang w:val="zh-TW"/>
      </w:rPr>
      <w:t>1</w:t>
    </w:r>
    <w:r w:rsidRPr="004671E8">
      <w:rPr>
        <w:rFonts w:ascii="Times New Roman" w:hAnsi="Times New Roman" w:cs="Times New Roman"/>
        <w:sz w:val="24"/>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E94F92" w:rsidRDefault="00E22C88" w:rsidP="00E22C88">
    <w:pPr>
      <w:pStyle w:val="a3"/>
      <w:jc w:val="center"/>
      <w:rPr>
        <w:rFonts w:ascii="Times New Roman" w:eastAsia="新細明體" w:hAnsi="Times New Roman" w:cs="Times New Roman"/>
        <w:sz w:val="24"/>
        <w:szCs w:val="24"/>
      </w:rPr>
    </w:pPr>
    <w:r w:rsidRPr="00E94F92">
      <w:rPr>
        <w:rFonts w:ascii="Times New Roman" w:hAnsi="Times New Roman" w:cs="Times New Roman"/>
        <w:sz w:val="24"/>
        <w:szCs w:val="24"/>
      </w:rPr>
      <w:fldChar w:fldCharType="begin"/>
    </w:r>
    <w:r w:rsidRPr="00E94F92">
      <w:rPr>
        <w:rFonts w:ascii="Times New Roman" w:hAnsi="Times New Roman" w:cs="Times New Roman"/>
        <w:sz w:val="24"/>
        <w:szCs w:val="24"/>
      </w:rPr>
      <w:instrText>PAGE   \* MERGEFORMAT</w:instrText>
    </w:r>
    <w:r w:rsidRPr="00E94F92">
      <w:rPr>
        <w:rFonts w:ascii="Times New Roman" w:hAnsi="Times New Roman" w:cs="Times New Roman"/>
        <w:sz w:val="24"/>
        <w:szCs w:val="24"/>
      </w:rPr>
      <w:fldChar w:fldCharType="separate"/>
    </w:r>
    <w:r w:rsidR="00F166AA" w:rsidRPr="00F166AA">
      <w:rPr>
        <w:rFonts w:ascii="Times New Roman" w:hAnsi="Times New Roman" w:cs="Times New Roman"/>
        <w:noProof/>
        <w:sz w:val="24"/>
        <w:szCs w:val="24"/>
        <w:lang w:val="zh-TW"/>
      </w:rPr>
      <w:t>10</w:t>
    </w:r>
    <w:r w:rsidRPr="00E94F92">
      <w:rPr>
        <w:rFonts w:ascii="Times New Roman" w:hAnsi="Times New Roman" w:cs="Times New Roman"/>
        <w:sz w:val="24"/>
        <w:szCs w:val="24"/>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8E0660" w:rsidRDefault="00E22C88" w:rsidP="00E22C88">
    <w:pPr>
      <w:pStyle w:val="a3"/>
      <w:jc w:val="center"/>
      <w:rPr>
        <w:rFonts w:ascii="Times New Roman" w:eastAsia="新細明體" w:hAnsi="Times New Roman" w:cs="Times New Roman"/>
        <w:sz w:val="24"/>
      </w:rPr>
    </w:pPr>
    <w:r w:rsidRPr="008E0660">
      <w:rPr>
        <w:rFonts w:ascii="Times New Roman" w:hAnsi="Times New Roman" w:cs="Times New Roman"/>
        <w:sz w:val="24"/>
      </w:rPr>
      <w:fldChar w:fldCharType="begin"/>
    </w:r>
    <w:r w:rsidRPr="008E0660">
      <w:rPr>
        <w:rFonts w:ascii="Times New Roman" w:hAnsi="Times New Roman" w:cs="Times New Roman"/>
        <w:sz w:val="24"/>
      </w:rPr>
      <w:instrText>PAGE   \* MERGEFORMAT</w:instrText>
    </w:r>
    <w:r w:rsidRPr="008E0660">
      <w:rPr>
        <w:rFonts w:ascii="Times New Roman" w:hAnsi="Times New Roman" w:cs="Times New Roman"/>
        <w:sz w:val="24"/>
      </w:rPr>
      <w:fldChar w:fldCharType="separate"/>
    </w:r>
    <w:r w:rsidR="00F166AA" w:rsidRPr="00F166AA">
      <w:rPr>
        <w:rFonts w:ascii="Times New Roman" w:hAnsi="Times New Roman" w:cs="Times New Roman"/>
        <w:noProof/>
        <w:sz w:val="24"/>
        <w:lang w:val="zh-TW"/>
      </w:rPr>
      <w:t>6</w:t>
    </w:r>
    <w:r w:rsidRPr="008E0660">
      <w:rPr>
        <w:rFonts w:ascii="Times New Roman" w:hAnsi="Times New Roman" w:cs="Times New Roman"/>
        <w:sz w:val="24"/>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6608"/>
      <w:docPartObj>
        <w:docPartGallery w:val="Page Numbers (Bottom of Page)"/>
        <w:docPartUnique/>
      </w:docPartObj>
    </w:sdtPr>
    <w:sdtEndPr>
      <w:rPr>
        <w:rFonts w:ascii="Times New Roman" w:hAnsi="Times New Roman" w:cs="Times New Roman"/>
        <w:sz w:val="24"/>
      </w:rPr>
    </w:sdtEndPr>
    <w:sdtContent>
      <w:p w:rsidR="00E22C88" w:rsidRPr="00583C05" w:rsidRDefault="00E22C88" w:rsidP="00E22C88">
        <w:pPr>
          <w:pStyle w:val="a3"/>
          <w:jc w:val="center"/>
          <w:rPr>
            <w:rFonts w:ascii="Times New Roman" w:hAnsi="Times New Roman" w:cs="Times New Roman"/>
            <w:sz w:val="24"/>
          </w:rPr>
        </w:pPr>
        <w:r w:rsidRPr="00583C05">
          <w:rPr>
            <w:rFonts w:ascii="Times New Roman" w:hAnsi="Times New Roman" w:cs="Times New Roman"/>
            <w:sz w:val="24"/>
          </w:rPr>
          <w:fldChar w:fldCharType="begin"/>
        </w:r>
        <w:r w:rsidRPr="00583C05">
          <w:rPr>
            <w:rFonts w:ascii="Times New Roman" w:hAnsi="Times New Roman" w:cs="Times New Roman"/>
            <w:sz w:val="24"/>
          </w:rPr>
          <w:instrText>PAGE   \* MERGEFORMAT</w:instrText>
        </w:r>
        <w:r w:rsidRPr="00583C05">
          <w:rPr>
            <w:rFonts w:ascii="Times New Roman" w:hAnsi="Times New Roman" w:cs="Times New Roman"/>
            <w:sz w:val="24"/>
          </w:rPr>
          <w:fldChar w:fldCharType="separate"/>
        </w:r>
        <w:r w:rsidR="00F166AA" w:rsidRPr="00F166AA">
          <w:rPr>
            <w:rFonts w:ascii="Times New Roman" w:hAnsi="Times New Roman" w:cs="Times New Roman"/>
            <w:noProof/>
            <w:sz w:val="24"/>
            <w:lang w:val="zh-TW"/>
          </w:rPr>
          <w:t>1</w:t>
        </w:r>
        <w:r w:rsidRPr="00583C05">
          <w:rPr>
            <w:rFonts w:ascii="Times New Roman" w:hAnsi="Times New Roman" w:cs="Times New Roman"/>
            <w:sz w:val="24"/>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919860"/>
      <w:docPartObj>
        <w:docPartGallery w:val="Page Numbers (Bottom of Page)"/>
        <w:docPartUnique/>
      </w:docPartObj>
    </w:sdtPr>
    <w:sdtEndPr>
      <w:rPr>
        <w:rFonts w:ascii="Times New Roman" w:hAnsi="Times New Roman"/>
        <w:sz w:val="24"/>
      </w:rPr>
    </w:sdtEndPr>
    <w:sdtContent>
      <w:p w:rsidR="00E22C88" w:rsidRPr="00B5743D" w:rsidRDefault="00E22C88" w:rsidP="00E22C88">
        <w:pPr>
          <w:pStyle w:val="a3"/>
          <w:jc w:val="center"/>
          <w:rPr>
            <w:rFonts w:ascii="Times New Roman" w:hAnsi="Times New Roman"/>
            <w:sz w:val="24"/>
          </w:rPr>
        </w:pPr>
        <w:r w:rsidRPr="00B5743D">
          <w:rPr>
            <w:rFonts w:ascii="Times New Roman" w:hAnsi="Times New Roman"/>
            <w:sz w:val="24"/>
          </w:rPr>
          <w:fldChar w:fldCharType="begin"/>
        </w:r>
        <w:r w:rsidRPr="00B5743D">
          <w:rPr>
            <w:rFonts w:ascii="Times New Roman" w:hAnsi="Times New Roman"/>
            <w:sz w:val="24"/>
          </w:rPr>
          <w:instrText>PAGE   \* MERGEFORMAT</w:instrText>
        </w:r>
        <w:r w:rsidRPr="00B5743D">
          <w:rPr>
            <w:rFonts w:ascii="Times New Roman" w:hAnsi="Times New Roman"/>
            <w:sz w:val="24"/>
          </w:rPr>
          <w:fldChar w:fldCharType="separate"/>
        </w:r>
        <w:r w:rsidR="00F166AA" w:rsidRPr="00F166AA">
          <w:rPr>
            <w:rFonts w:ascii="Times New Roman" w:hAnsi="Times New Roman"/>
            <w:noProof/>
            <w:sz w:val="24"/>
            <w:lang w:val="zh-TW"/>
          </w:rPr>
          <w:t>7</w:t>
        </w:r>
        <w:r w:rsidRPr="00B5743D">
          <w:rPr>
            <w:rFonts w:ascii="Times New Roman" w:hAnsi="Times New Roman"/>
            <w:sz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66341508"/>
      <w:docPartObj>
        <w:docPartGallery w:val="Page Numbers (Bottom of Page)"/>
        <w:docPartUnique/>
      </w:docPartObj>
    </w:sdtPr>
    <w:sdtEndPr>
      <w:rPr>
        <w:sz w:val="24"/>
      </w:rPr>
    </w:sdtEndPr>
    <w:sdtContent>
      <w:p w:rsidR="00E22C88" w:rsidRPr="00D358E8" w:rsidRDefault="00E22C88" w:rsidP="00523037">
        <w:pPr>
          <w:pStyle w:val="a3"/>
          <w:jc w:val="center"/>
          <w:rPr>
            <w:rFonts w:ascii="Times New Roman" w:hAnsi="Times New Roman" w:cs="Times New Roman"/>
            <w:sz w:val="24"/>
          </w:rPr>
        </w:pPr>
        <w:r w:rsidRPr="00BE0C00">
          <w:rPr>
            <w:rFonts w:ascii="Times New Roman" w:hAnsi="Times New Roman" w:cs="Times New Roman"/>
            <w:sz w:val="24"/>
          </w:rPr>
          <w:fldChar w:fldCharType="begin"/>
        </w:r>
        <w:r w:rsidRPr="00BE0C00">
          <w:rPr>
            <w:rFonts w:ascii="Times New Roman" w:hAnsi="Times New Roman" w:cs="Times New Roman"/>
            <w:sz w:val="24"/>
          </w:rPr>
          <w:instrText>PAGE   \* MERGEFORMAT</w:instrText>
        </w:r>
        <w:r w:rsidRPr="00BE0C00">
          <w:rPr>
            <w:rFonts w:ascii="Times New Roman" w:hAnsi="Times New Roman" w:cs="Times New Roman"/>
            <w:sz w:val="24"/>
          </w:rPr>
          <w:fldChar w:fldCharType="separate"/>
        </w:r>
        <w:r w:rsidR="00B658E3" w:rsidRPr="00B658E3">
          <w:rPr>
            <w:rFonts w:ascii="Times New Roman" w:hAnsi="Times New Roman" w:cs="Times New Roman"/>
            <w:noProof/>
            <w:sz w:val="24"/>
            <w:lang w:val="zh-TW"/>
          </w:rPr>
          <w:t>4</w:t>
        </w:r>
        <w:r w:rsidRPr="00BE0C00">
          <w:rPr>
            <w:rFonts w:ascii="Times New Roman" w:hAnsi="Times New Roman" w:cs="Times New Roman"/>
            <w:sz w:val="24"/>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871141"/>
      <w:docPartObj>
        <w:docPartGallery w:val="Page Numbers (Bottom of Page)"/>
        <w:docPartUnique/>
      </w:docPartObj>
    </w:sdtPr>
    <w:sdtEndPr/>
    <w:sdtContent>
      <w:p w:rsidR="00E22C88" w:rsidRDefault="00E22C88" w:rsidP="00E22C88">
        <w:pPr>
          <w:pStyle w:val="a3"/>
          <w:jc w:val="center"/>
        </w:pPr>
        <w:r w:rsidRPr="00B5743D">
          <w:rPr>
            <w:rFonts w:ascii="Times New Roman" w:hAnsi="Times New Roman"/>
            <w:sz w:val="24"/>
          </w:rPr>
          <w:fldChar w:fldCharType="begin"/>
        </w:r>
        <w:r w:rsidRPr="00B5743D">
          <w:rPr>
            <w:rFonts w:ascii="Times New Roman" w:hAnsi="Times New Roman"/>
            <w:sz w:val="24"/>
          </w:rPr>
          <w:instrText>PAGE   \* MERGEFORMAT</w:instrText>
        </w:r>
        <w:r w:rsidRPr="00B5743D">
          <w:rPr>
            <w:rFonts w:ascii="Times New Roman" w:hAnsi="Times New Roman"/>
            <w:sz w:val="24"/>
          </w:rPr>
          <w:fldChar w:fldCharType="separate"/>
        </w:r>
        <w:r w:rsidR="00F166AA" w:rsidRPr="00F166AA">
          <w:rPr>
            <w:rFonts w:ascii="Times New Roman" w:hAnsi="Times New Roman"/>
            <w:noProof/>
            <w:sz w:val="24"/>
            <w:lang w:val="zh-TW"/>
          </w:rPr>
          <w:t>1</w:t>
        </w:r>
        <w:r w:rsidRPr="00B5743D">
          <w:rPr>
            <w:rFonts w:ascii="Times New Roman" w:hAnsi="Times New Roman"/>
            <w:sz w:val="24"/>
          </w:rP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41484"/>
      <w:docPartObj>
        <w:docPartGallery w:val="Page Numbers (Bottom of Page)"/>
        <w:docPartUnique/>
      </w:docPartObj>
    </w:sdtPr>
    <w:sdtEndPr>
      <w:rPr>
        <w:rFonts w:ascii="Times New Roman" w:hAnsi="Times New Roman" w:cs="Times New Roman"/>
        <w:sz w:val="24"/>
      </w:rPr>
    </w:sdtEndPr>
    <w:sdtContent>
      <w:p w:rsidR="00E22C88" w:rsidRPr="00812B53" w:rsidRDefault="00E22C88" w:rsidP="00E22C88">
        <w:pPr>
          <w:pStyle w:val="a3"/>
          <w:jc w:val="center"/>
          <w:rPr>
            <w:rFonts w:ascii="Times New Roman" w:hAnsi="Times New Roman" w:cs="Times New Roman"/>
            <w:sz w:val="24"/>
          </w:rPr>
        </w:pPr>
        <w:r w:rsidRPr="00812B53">
          <w:rPr>
            <w:rFonts w:ascii="Times New Roman" w:hAnsi="Times New Roman" w:cs="Times New Roman"/>
            <w:sz w:val="24"/>
          </w:rPr>
          <w:fldChar w:fldCharType="begin"/>
        </w:r>
        <w:r w:rsidRPr="00812B53">
          <w:rPr>
            <w:rFonts w:ascii="Times New Roman" w:hAnsi="Times New Roman" w:cs="Times New Roman"/>
            <w:sz w:val="24"/>
          </w:rPr>
          <w:instrText>PAGE   \* MERGEFORMAT</w:instrText>
        </w:r>
        <w:r w:rsidRPr="00812B53">
          <w:rPr>
            <w:rFonts w:ascii="Times New Roman" w:hAnsi="Times New Roman" w:cs="Times New Roman"/>
            <w:sz w:val="24"/>
          </w:rPr>
          <w:fldChar w:fldCharType="separate"/>
        </w:r>
        <w:r w:rsidR="00F166AA" w:rsidRPr="00F166AA">
          <w:rPr>
            <w:rFonts w:ascii="Times New Roman" w:hAnsi="Times New Roman" w:cs="Times New Roman"/>
            <w:noProof/>
            <w:sz w:val="24"/>
            <w:lang w:val="zh-TW"/>
          </w:rPr>
          <w:t>2</w:t>
        </w:r>
        <w:r w:rsidRPr="00812B53">
          <w:rPr>
            <w:rFonts w:ascii="Times New Roman" w:hAnsi="Times New Roman" w:cs="Times New Roman"/>
            <w:sz w:val="24"/>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07243"/>
      <w:docPartObj>
        <w:docPartGallery w:val="Page Numbers (Bottom of Page)"/>
        <w:docPartUnique/>
      </w:docPartObj>
    </w:sdtPr>
    <w:sdtEndPr>
      <w:rPr>
        <w:rFonts w:ascii="Times New Roman" w:hAnsi="Times New Roman" w:cs="Times New Roman"/>
        <w:sz w:val="24"/>
      </w:rPr>
    </w:sdtEndPr>
    <w:sdtContent>
      <w:p w:rsidR="00E22C88" w:rsidRPr="00812B53" w:rsidRDefault="00E22C88" w:rsidP="00E22C88">
        <w:pPr>
          <w:pStyle w:val="a3"/>
          <w:jc w:val="center"/>
          <w:rPr>
            <w:rFonts w:ascii="Times New Roman" w:hAnsi="Times New Roman" w:cs="Times New Roman"/>
            <w:sz w:val="24"/>
          </w:rPr>
        </w:pPr>
        <w:r w:rsidRPr="00812B53">
          <w:rPr>
            <w:rFonts w:ascii="Times New Roman" w:hAnsi="Times New Roman" w:cs="Times New Roman"/>
            <w:sz w:val="24"/>
          </w:rPr>
          <w:fldChar w:fldCharType="begin"/>
        </w:r>
        <w:r w:rsidRPr="00812B53">
          <w:rPr>
            <w:rFonts w:ascii="Times New Roman" w:hAnsi="Times New Roman" w:cs="Times New Roman"/>
            <w:sz w:val="24"/>
          </w:rPr>
          <w:instrText>PAGE   \* MERGEFORMAT</w:instrText>
        </w:r>
        <w:r w:rsidRPr="00812B53">
          <w:rPr>
            <w:rFonts w:ascii="Times New Roman" w:hAnsi="Times New Roman" w:cs="Times New Roman"/>
            <w:sz w:val="24"/>
          </w:rPr>
          <w:fldChar w:fldCharType="separate"/>
        </w:r>
        <w:r w:rsidR="00F166AA" w:rsidRPr="00F166AA">
          <w:rPr>
            <w:rFonts w:ascii="Times New Roman" w:hAnsi="Times New Roman" w:cs="Times New Roman"/>
            <w:noProof/>
            <w:sz w:val="24"/>
            <w:lang w:val="zh-TW"/>
          </w:rPr>
          <w:t>1</w:t>
        </w:r>
        <w:r w:rsidRPr="00812B53">
          <w:rPr>
            <w:rFonts w:ascii="Times New Roman" w:hAnsi="Times New Roman" w:cs="Times New Roman"/>
            <w:sz w:val="24"/>
          </w:rPr>
          <w:fldChar w:fldCharType="end"/>
        </w:r>
      </w:p>
    </w:sdtContent>
  </w:sdt>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6805150"/>
      <w:docPartObj>
        <w:docPartGallery w:val="Page Numbers (Bottom of Page)"/>
        <w:docPartUnique/>
      </w:docPartObj>
    </w:sdtPr>
    <w:sdtEndPr>
      <w:rPr>
        <w:sz w:val="24"/>
      </w:rPr>
    </w:sdtEndPr>
    <w:sdtContent>
      <w:p w:rsidR="00E22C88" w:rsidRPr="00AC5EA8" w:rsidRDefault="00E22C88" w:rsidP="00E22C88">
        <w:pPr>
          <w:pStyle w:val="a3"/>
          <w:jc w:val="center"/>
          <w:rPr>
            <w:rFonts w:ascii="Times New Roman" w:hAnsi="Times New Roman" w:cs="Times New Roman"/>
            <w:sz w:val="24"/>
          </w:rPr>
        </w:pPr>
        <w:r w:rsidRPr="00AC5EA8">
          <w:rPr>
            <w:rFonts w:ascii="Times New Roman" w:hAnsi="Times New Roman" w:cs="Times New Roman"/>
            <w:sz w:val="24"/>
          </w:rPr>
          <w:fldChar w:fldCharType="begin"/>
        </w:r>
        <w:r w:rsidRPr="00AC5EA8">
          <w:rPr>
            <w:rFonts w:ascii="Times New Roman" w:hAnsi="Times New Roman" w:cs="Times New Roman"/>
            <w:sz w:val="24"/>
          </w:rPr>
          <w:instrText>PAGE   \* MERGEFORMAT</w:instrText>
        </w:r>
        <w:r w:rsidRPr="00AC5EA8">
          <w:rPr>
            <w:rFonts w:ascii="Times New Roman" w:hAnsi="Times New Roman" w:cs="Times New Roman"/>
            <w:sz w:val="24"/>
          </w:rPr>
          <w:fldChar w:fldCharType="separate"/>
        </w:r>
        <w:r w:rsidR="00F166AA" w:rsidRPr="00F166AA">
          <w:rPr>
            <w:rFonts w:ascii="Times New Roman" w:hAnsi="Times New Roman" w:cs="Times New Roman"/>
            <w:noProof/>
            <w:sz w:val="24"/>
            <w:lang w:val="zh-TW"/>
          </w:rPr>
          <w:t>2</w:t>
        </w:r>
        <w:r w:rsidRPr="00AC5EA8">
          <w:rPr>
            <w:rFonts w:ascii="Times New Roman" w:hAnsi="Times New Roman" w:cs="Times New Roman"/>
            <w:sz w:val="24"/>
          </w:rP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406114"/>
      <w:docPartObj>
        <w:docPartGallery w:val="Page Numbers (Bottom of Page)"/>
        <w:docPartUnique/>
      </w:docPartObj>
    </w:sdtPr>
    <w:sdtEndPr>
      <w:rPr>
        <w:rFonts w:ascii="Times New Roman" w:hAnsi="Times New Roman" w:cs="Times New Roman"/>
        <w:sz w:val="24"/>
      </w:rPr>
    </w:sdtEndPr>
    <w:sdtContent>
      <w:p w:rsidR="00E22C88" w:rsidRPr="00AC5EA8" w:rsidRDefault="00E22C88" w:rsidP="00E22C88">
        <w:pPr>
          <w:pStyle w:val="a3"/>
          <w:jc w:val="center"/>
          <w:rPr>
            <w:rFonts w:ascii="Times New Roman" w:hAnsi="Times New Roman" w:cs="Times New Roman"/>
            <w:sz w:val="24"/>
          </w:rPr>
        </w:pPr>
        <w:r w:rsidRPr="00AC5EA8">
          <w:rPr>
            <w:rFonts w:ascii="Times New Roman" w:hAnsi="Times New Roman" w:cs="Times New Roman"/>
            <w:sz w:val="24"/>
          </w:rPr>
          <w:fldChar w:fldCharType="begin"/>
        </w:r>
        <w:r w:rsidRPr="00AC5EA8">
          <w:rPr>
            <w:rFonts w:ascii="Times New Roman" w:hAnsi="Times New Roman" w:cs="Times New Roman"/>
            <w:sz w:val="24"/>
          </w:rPr>
          <w:instrText>PAGE   \* MERGEFORMAT</w:instrText>
        </w:r>
        <w:r w:rsidRPr="00AC5EA8">
          <w:rPr>
            <w:rFonts w:ascii="Times New Roman" w:hAnsi="Times New Roman" w:cs="Times New Roman"/>
            <w:sz w:val="24"/>
          </w:rPr>
          <w:fldChar w:fldCharType="separate"/>
        </w:r>
        <w:r w:rsidR="00F166AA" w:rsidRPr="00F166AA">
          <w:rPr>
            <w:rFonts w:ascii="Times New Roman" w:hAnsi="Times New Roman" w:cs="Times New Roman"/>
            <w:noProof/>
            <w:sz w:val="24"/>
            <w:lang w:val="zh-TW"/>
          </w:rPr>
          <w:t>1</w:t>
        </w:r>
        <w:r w:rsidRPr="00AC5EA8">
          <w:rPr>
            <w:rFonts w:ascii="Times New Roman" w:hAnsi="Times New Roman" w:cs="Times New Roman"/>
            <w:sz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D20D85" w:rsidRDefault="00E22C88">
    <w:pPr>
      <w:pStyle w:val="a3"/>
      <w:jc w:val="center"/>
      <w:rPr>
        <w:rFonts w:ascii="Times New Roman" w:hAnsi="Times New Roman" w:cs="Times New Roman"/>
        <w:sz w:val="24"/>
        <w:szCs w:val="24"/>
      </w:rPr>
    </w:pPr>
    <w:r w:rsidRPr="00D20D85">
      <w:rPr>
        <w:rStyle w:val="a5"/>
        <w:rFonts w:ascii="Times New Roman" w:hAnsi="Times New Roman" w:cs="Times New Roman"/>
        <w:sz w:val="24"/>
        <w:szCs w:val="24"/>
      </w:rPr>
      <w:fldChar w:fldCharType="begin"/>
    </w:r>
    <w:r w:rsidRPr="00D20D85">
      <w:rPr>
        <w:rStyle w:val="a5"/>
        <w:rFonts w:ascii="Times New Roman" w:hAnsi="Times New Roman" w:cs="Times New Roman"/>
        <w:sz w:val="24"/>
        <w:szCs w:val="24"/>
      </w:rPr>
      <w:instrText xml:space="preserve"> PAGE </w:instrText>
    </w:r>
    <w:r w:rsidRPr="00D20D85">
      <w:rPr>
        <w:rStyle w:val="a5"/>
        <w:rFonts w:ascii="Times New Roman" w:hAnsi="Times New Roman" w:cs="Times New Roman"/>
        <w:sz w:val="24"/>
        <w:szCs w:val="24"/>
      </w:rPr>
      <w:fldChar w:fldCharType="separate"/>
    </w:r>
    <w:r w:rsidR="00B658E3">
      <w:rPr>
        <w:rStyle w:val="a5"/>
        <w:rFonts w:ascii="Times New Roman" w:hAnsi="Times New Roman" w:cs="Times New Roman"/>
        <w:noProof/>
        <w:sz w:val="24"/>
        <w:szCs w:val="24"/>
      </w:rPr>
      <w:t>11</w:t>
    </w:r>
    <w:r w:rsidRPr="00D20D85">
      <w:rPr>
        <w:rStyle w:val="a5"/>
        <w:rFonts w:ascii="Times New Roman" w:hAnsi="Times New Roman" w:cs="Times New Roman"/>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D20D85" w:rsidRDefault="00E22C88" w:rsidP="005C4451">
    <w:pPr>
      <w:pStyle w:val="a3"/>
      <w:jc w:val="center"/>
      <w:rPr>
        <w:rFonts w:ascii="Times New Roman" w:hAnsi="Times New Roman" w:cs="Times New Roman"/>
      </w:rPr>
    </w:pPr>
    <w:r w:rsidRPr="00D20D85">
      <w:rPr>
        <w:rFonts w:ascii="Times New Roman" w:hAnsi="Times New Roman" w:cs="Times New Roman"/>
        <w:sz w:val="24"/>
      </w:rPr>
      <w:fldChar w:fldCharType="begin"/>
    </w:r>
    <w:r w:rsidRPr="00D20D85">
      <w:rPr>
        <w:rFonts w:ascii="Times New Roman" w:hAnsi="Times New Roman" w:cs="Times New Roman"/>
        <w:sz w:val="24"/>
      </w:rPr>
      <w:instrText>PAGE   \* MERGEFORMAT</w:instrText>
    </w:r>
    <w:r w:rsidRPr="00D20D85">
      <w:rPr>
        <w:rFonts w:ascii="Times New Roman" w:hAnsi="Times New Roman" w:cs="Times New Roman"/>
        <w:sz w:val="24"/>
      </w:rPr>
      <w:fldChar w:fldCharType="separate"/>
    </w:r>
    <w:r w:rsidR="00B658E3" w:rsidRPr="00B658E3">
      <w:rPr>
        <w:rFonts w:ascii="Times New Roman" w:hAnsi="Times New Roman" w:cs="Times New Roman"/>
        <w:noProof/>
        <w:sz w:val="24"/>
        <w:lang w:val="zh-TW"/>
      </w:rPr>
      <w:t>1</w:t>
    </w:r>
    <w:r w:rsidRPr="00D20D85">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88" w:rsidRDefault="00E22C88" w:rsidP="006D2061">
      <w:r>
        <w:separator/>
      </w:r>
    </w:p>
  </w:footnote>
  <w:footnote w:type="continuationSeparator" w:id="0">
    <w:p w:rsidR="00E22C88" w:rsidRDefault="00E22C88" w:rsidP="006D2061">
      <w:r>
        <w:continuationSeparator/>
      </w:r>
    </w:p>
  </w:footnote>
  <w:footnote w:id="1">
    <w:p w:rsidR="00E22C88" w:rsidRPr="0007705B" w:rsidRDefault="00E22C88" w:rsidP="007F7E98">
      <w:pPr>
        <w:pStyle w:val="a7"/>
        <w:ind w:left="400" w:hangingChars="200" w:hanging="400"/>
        <w:rPr>
          <w:rFonts w:ascii="Times New Roman" w:hAnsi="Times New Roman"/>
        </w:rPr>
      </w:pPr>
      <w:r w:rsidRPr="00646DE4">
        <w:rPr>
          <w:rStyle w:val="a9"/>
          <w:rFonts w:ascii="Times New Roman" w:hAnsi="Times New Roman"/>
        </w:rPr>
        <w:footnoteRef/>
      </w:r>
      <w:r>
        <w:t xml:space="preserve"> </w:t>
      </w:r>
      <w:r w:rsidRPr="0007705B">
        <w:rPr>
          <w:rFonts w:ascii="Times New Roman" w:hAnsi="Times New Roman"/>
        </w:rPr>
        <w:tab/>
      </w:r>
      <w:r w:rsidRPr="00BF5AF2">
        <w:rPr>
          <w:rFonts w:ascii="Times New Roman" w:eastAsia="標楷體" w:hAnsi="Times New Roman"/>
        </w:rPr>
        <w:t>終審法院在</w:t>
      </w:r>
      <w:r w:rsidRPr="00BF5AF2">
        <w:rPr>
          <w:rFonts w:ascii="Times New Roman" w:eastAsia="標楷體" w:hAnsi="Times New Roman"/>
          <w:i/>
        </w:rPr>
        <w:t>孔允明</w:t>
      </w:r>
      <w:r w:rsidRPr="00BF5AF2">
        <w:rPr>
          <w:rFonts w:ascii="Times New Roman" w:eastAsia="標楷體" w:hAnsi="Times New Roman"/>
          <w:i/>
        </w:rPr>
        <w:t xml:space="preserve"> </w:t>
      </w:r>
      <w:r w:rsidRPr="00BF5AF2">
        <w:rPr>
          <w:rFonts w:ascii="Times New Roman" w:eastAsia="標楷體" w:hAnsi="Times New Roman"/>
          <w:i/>
        </w:rPr>
        <w:t>訴</w:t>
      </w:r>
      <w:r w:rsidRPr="00BF5AF2">
        <w:rPr>
          <w:rFonts w:ascii="Times New Roman" w:eastAsia="標楷體" w:hAnsi="Times New Roman"/>
          <w:i/>
        </w:rPr>
        <w:t xml:space="preserve"> </w:t>
      </w:r>
      <w:r w:rsidRPr="00BF5AF2">
        <w:rPr>
          <w:rFonts w:ascii="Times New Roman" w:eastAsia="標楷體" w:hAnsi="Times New Roman"/>
          <w:i/>
        </w:rPr>
        <w:t>社會福利</w:t>
      </w:r>
      <w:proofErr w:type="gramStart"/>
      <w:r w:rsidRPr="00BF5AF2">
        <w:rPr>
          <w:rFonts w:ascii="Times New Roman" w:eastAsia="標楷體" w:hAnsi="Times New Roman"/>
          <w:i/>
        </w:rPr>
        <w:t>署</w:t>
      </w:r>
      <w:proofErr w:type="gramEnd"/>
      <w:r w:rsidRPr="00BF5AF2">
        <w:rPr>
          <w:rFonts w:ascii="Times New Roman" w:eastAsia="標楷體" w:hAnsi="Times New Roman"/>
          <w:i/>
        </w:rPr>
        <w:t>署長</w:t>
      </w:r>
      <w:r w:rsidRPr="00BF5AF2">
        <w:rPr>
          <w:rFonts w:ascii="Times New Roman" w:eastAsia="標楷體" w:hAnsi="Times New Roman"/>
        </w:rPr>
        <w:t xml:space="preserve"> (2013) 15 16 HKCFAR 950</w:t>
      </w:r>
      <w:proofErr w:type="gramStart"/>
      <w:r w:rsidRPr="00BF5AF2">
        <w:rPr>
          <w:rFonts w:ascii="Times New Roman" w:eastAsia="標楷體" w:hAnsi="Times New Roman"/>
        </w:rPr>
        <w:t>一</w:t>
      </w:r>
      <w:proofErr w:type="gramEnd"/>
      <w:r w:rsidRPr="00BF5AF2">
        <w:rPr>
          <w:rFonts w:ascii="Times New Roman" w:eastAsia="標楷體" w:hAnsi="Times New Roman"/>
        </w:rPr>
        <w:t>案中裁定，</w:t>
      </w:r>
      <w:proofErr w:type="gramStart"/>
      <w:r w:rsidRPr="00BF5AF2">
        <w:rPr>
          <w:rFonts w:ascii="Times New Roman" w:eastAsia="標楷體" w:hAnsi="Times New Roman"/>
          <w:lang w:eastAsia="zh-HK"/>
        </w:rPr>
        <w:t>之前</w:t>
      </w:r>
      <w:r w:rsidRPr="00BF5AF2">
        <w:rPr>
          <w:rFonts w:ascii="Times New Roman" w:eastAsia="標楷體" w:hAnsi="Times New Roman"/>
        </w:rPr>
        <w:t>綜援</w:t>
      </w:r>
      <w:proofErr w:type="gramEnd"/>
      <w:r w:rsidRPr="00BF5AF2">
        <w:rPr>
          <w:rFonts w:ascii="Times New Roman" w:eastAsia="標楷體" w:hAnsi="Times New Roman"/>
        </w:rPr>
        <w:t>計劃所設的七年居港規</w:t>
      </w:r>
      <w:r w:rsidRPr="00BF5AF2">
        <w:rPr>
          <w:rFonts w:ascii="Times New Roman" w:eastAsia="標楷體" w:hAnsi="Times New Roman"/>
          <w:lang w:eastAsia="zh-HK"/>
        </w:rPr>
        <w:t>定為違憲</w:t>
      </w:r>
      <w:r w:rsidRPr="00BF5AF2">
        <w:rPr>
          <w:rFonts w:ascii="Times New Roman" w:eastAsia="標楷體" w:hAnsi="Times New Roman"/>
        </w:rPr>
        <w:t>。</w:t>
      </w:r>
    </w:p>
  </w:footnote>
  <w:footnote w:id="2">
    <w:p w:rsidR="00E22C88" w:rsidRPr="00AF4AAD" w:rsidRDefault="00E22C88" w:rsidP="007F7E98">
      <w:pPr>
        <w:pStyle w:val="a7"/>
        <w:keepLines/>
        <w:ind w:left="400" w:hangingChars="200" w:hanging="400"/>
        <w:jc w:val="both"/>
      </w:pPr>
      <w:r w:rsidRPr="00BE2752">
        <w:rPr>
          <w:rStyle w:val="a9"/>
        </w:rPr>
        <w:footnoteRef/>
      </w:r>
      <w:r w:rsidRPr="00BE2752">
        <w:t xml:space="preserve"> </w:t>
      </w:r>
      <w:r w:rsidRPr="00BE2752">
        <w:tab/>
      </w:r>
      <w:r w:rsidRPr="00BE2752">
        <w:rPr>
          <w:rFonts w:ascii="標楷體" w:eastAsia="標楷體" w:hAnsi="標楷體" w:hint="eastAsia"/>
        </w:rPr>
        <w:t>跨專業服務團隊包括職業治療師、物理治療師、言語治療師、臨床／教育心理學家、社工，以及特殊幼兒工作員。</w:t>
      </w:r>
    </w:p>
  </w:footnote>
  <w:footnote w:id="3">
    <w:p w:rsidR="00E22C88" w:rsidRPr="00AF4AAD" w:rsidRDefault="00E22C88" w:rsidP="007F7E98">
      <w:pPr>
        <w:pStyle w:val="a7"/>
        <w:ind w:left="400" w:hangingChars="200" w:hanging="400"/>
        <w:jc w:val="both"/>
      </w:pPr>
      <w:r w:rsidRPr="00BE2752">
        <w:rPr>
          <w:rStyle w:val="a9"/>
        </w:rPr>
        <w:footnoteRef/>
      </w:r>
      <w:r w:rsidRPr="00BE2752">
        <w:t xml:space="preserve"> </w:t>
      </w:r>
      <w:r w:rsidRPr="00BE2752">
        <w:tab/>
      </w:r>
      <w:r w:rsidRPr="00BE2752">
        <w:rPr>
          <w:rFonts w:ascii="標楷體" w:eastAsia="標楷體" w:hAnsi="標楷體" w:hint="eastAsia"/>
        </w:rPr>
        <w:t>實務守則載錄有關住宿設備、消防安全及防火措施、樓面面積、保健及照顧服務等的詳細規定。</w:t>
      </w:r>
    </w:p>
  </w:footnote>
  <w:footnote w:id="4">
    <w:p w:rsidR="00E22C88" w:rsidRDefault="00E22C88" w:rsidP="007F7E98">
      <w:pPr>
        <w:pStyle w:val="a7"/>
        <w:ind w:left="400" w:hangingChars="200" w:hanging="400"/>
      </w:pPr>
      <w:r w:rsidRPr="00D60540">
        <w:rPr>
          <w:rStyle w:val="a9"/>
        </w:rPr>
        <w:footnoteRef/>
      </w:r>
      <w:r w:rsidRPr="00D60540">
        <w:t xml:space="preserve"> </w:t>
      </w:r>
      <w:r w:rsidRPr="00D60540">
        <w:tab/>
      </w:r>
      <w:r w:rsidRPr="00D60540">
        <w:rPr>
          <w:rFonts w:ascii="標楷體" w:eastAsia="標楷體" w:hAnsi="標楷體" w:hint="eastAsia"/>
        </w:rPr>
        <w:t>《精神健康檢討報告》</w:t>
      </w:r>
      <w:r w:rsidRPr="00D60540">
        <w:rPr>
          <w:rFonts w:ascii="標楷體" w:eastAsia="標楷體" w:hAnsi="標楷體" w:hint="eastAsia"/>
          <w:lang w:eastAsia="zh-HK"/>
        </w:rPr>
        <w:t xml:space="preserve">的連結為 </w:t>
      </w:r>
      <w:r w:rsidRPr="00D60540">
        <w:rPr>
          <w:rFonts w:ascii="標楷體" w:eastAsia="標楷體" w:hAnsi="標楷體" w:hint="eastAsia"/>
        </w:rPr>
        <w:t>-</w:t>
      </w:r>
      <w:r w:rsidRPr="00D60540">
        <w:br/>
        <w:t>https://www.fhb.gov.hk/cn/press_and_publications/otherinfo/180500_mhr/mhr_background.html</w:t>
      </w:r>
    </w:p>
  </w:footnote>
  <w:footnote w:id="5">
    <w:p w:rsidR="00E22C88" w:rsidRPr="00B54A29" w:rsidRDefault="00E22C88" w:rsidP="007F7E98">
      <w:pPr>
        <w:pStyle w:val="a7"/>
        <w:jc w:val="both"/>
        <w:rPr>
          <w:rFonts w:ascii="Times New Roman" w:hAnsi="Times New Roman"/>
        </w:rPr>
      </w:pPr>
      <w:r w:rsidRPr="00370239">
        <w:rPr>
          <w:rStyle w:val="a9"/>
          <w:rFonts w:ascii="Times New Roman" w:hAnsi="Times New Roman"/>
        </w:rPr>
        <w:footnoteRef/>
      </w:r>
      <w:r w:rsidRPr="00B54A29">
        <w:rPr>
          <w:rFonts w:ascii="Times New Roman" w:hAnsi="Times New Roman"/>
        </w:rPr>
        <w:t xml:space="preserve"> </w:t>
      </w:r>
      <w:r w:rsidRPr="00B54A29">
        <w:rPr>
          <w:rFonts w:ascii="Times New Roman" w:hAnsi="Times New Roman"/>
        </w:rPr>
        <w:tab/>
      </w:r>
      <w:r w:rsidRPr="00B54A29">
        <w:rPr>
          <w:rFonts w:ascii="標楷體" w:eastAsia="標楷體" w:hAnsi="標楷體" w:hint="eastAsia"/>
        </w:rPr>
        <w:t>規劃教育支援時，「家庭常用語言不是中文」的學生均歸納為非華語學生。</w:t>
      </w:r>
    </w:p>
  </w:footnote>
  <w:footnote w:id="6">
    <w:p w:rsidR="00E22C88" w:rsidRPr="00930C40" w:rsidRDefault="00E22C88" w:rsidP="007F7E98">
      <w:pPr>
        <w:pStyle w:val="a7"/>
        <w:ind w:left="400" w:hangingChars="200" w:hanging="400"/>
        <w:jc w:val="both"/>
        <w:rPr>
          <w:rFonts w:ascii="Times New Roman" w:hAnsi="Times New Roman"/>
        </w:rPr>
      </w:pPr>
      <w:r w:rsidRPr="00930C40">
        <w:rPr>
          <w:rStyle w:val="a9"/>
          <w:rFonts w:ascii="Times New Roman" w:hAnsi="Times New Roman"/>
        </w:rPr>
        <w:footnoteRef/>
      </w:r>
      <w:r w:rsidRPr="00930C40">
        <w:rPr>
          <w:rFonts w:ascii="Times New Roman" w:hAnsi="Times New Roman"/>
        </w:rPr>
        <w:t xml:space="preserve"> </w:t>
      </w:r>
      <w:r>
        <w:rPr>
          <w:rFonts w:ascii="Times New Roman" w:hAnsi="Times New Roman"/>
        </w:rPr>
        <w:tab/>
      </w:r>
      <w:r w:rsidRPr="00930C40">
        <w:rPr>
          <w:rFonts w:ascii="標楷體" w:eastAsia="標楷體" w:hAnsi="標楷體" w:hint="eastAsia"/>
        </w:rPr>
        <w:t>第一層支援是及早識別，並透過優化課堂教學，及早照顧學生的不同學習及適應需要，包括有輕微或短暫學習或適應困難的學生；第二層支援是安排額外支援</w:t>
      </w:r>
      <w:r w:rsidRPr="0043591D">
        <w:rPr>
          <w:rFonts w:ascii="標楷體" w:eastAsia="標楷體" w:hAnsi="標楷體" w:hint="eastAsia"/>
        </w:rPr>
        <w:t>／</w:t>
      </w:r>
      <w:r w:rsidRPr="00930C40">
        <w:rPr>
          <w:rFonts w:ascii="標楷體" w:eastAsia="標楷體" w:hAnsi="標楷體" w:hint="eastAsia"/>
        </w:rPr>
        <w:t>提供「增補」輔導予有持續學習或適應困難的學生，例如小組學習和抽離式輔導；第三層支援是為有持續及嚴重學習或適應困難的學生提供個別化的加強支援，包括訂定個別學習計劃。</w:t>
      </w:r>
    </w:p>
  </w:footnote>
  <w:footnote w:id="7">
    <w:p w:rsidR="00E22C88" w:rsidRPr="004F6B4E" w:rsidRDefault="00E22C88" w:rsidP="000D6A5B">
      <w:pPr>
        <w:pStyle w:val="a7"/>
        <w:ind w:left="400" w:hangingChars="200" w:hanging="400"/>
        <w:rPr>
          <w:rFonts w:ascii="標楷體" w:eastAsia="標楷體" w:hAnsi="標楷體"/>
        </w:rPr>
      </w:pPr>
      <w:r w:rsidRPr="00473141">
        <w:rPr>
          <w:rStyle w:val="a9"/>
          <w:rFonts w:ascii="Times New Roman" w:hAnsi="Times New Roman"/>
        </w:rPr>
        <w:t>1</w:t>
      </w:r>
      <w:r w:rsidRPr="000D6A5B">
        <w:rPr>
          <w:rFonts w:ascii="Times New Roman" w:eastAsia="標楷體" w:hAnsi="Times New Roman"/>
        </w:rPr>
        <w:t xml:space="preserve"> </w:t>
      </w:r>
      <w:r w:rsidRPr="004F6B4E">
        <w:rPr>
          <w:rFonts w:ascii="標楷體" w:eastAsia="標楷體" w:hAnsi="標楷體"/>
        </w:rPr>
        <w:tab/>
      </w:r>
      <w:proofErr w:type="gramStart"/>
      <w:r w:rsidRPr="004F6B4E">
        <w:rPr>
          <w:rFonts w:ascii="標楷體" w:eastAsia="標楷體" w:hAnsi="標楷體" w:hint="eastAsia"/>
        </w:rPr>
        <w:t>撇</w:t>
      </w:r>
      <w:proofErr w:type="gramEnd"/>
      <w:r w:rsidRPr="004F6B4E">
        <w:rPr>
          <w:rFonts w:ascii="標楷體" w:eastAsia="標楷體" w:hAnsi="標楷體" w:hint="eastAsia"/>
        </w:rPr>
        <w:t>除法定最低工資所不適用的政府僱員及留宿家庭傭工。</w:t>
      </w:r>
    </w:p>
  </w:footnote>
  <w:footnote w:id="8">
    <w:p w:rsidR="00E22C88" w:rsidRDefault="00E22C88" w:rsidP="001E730A">
      <w:pPr>
        <w:pStyle w:val="a7"/>
        <w:ind w:left="180" w:hanging="180"/>
      </w:pPr>
      <w:r>
        <w:rPr>
          <w:rStyle w:val="a9"/>
        </w:rPr>
        <w:footnoteRef/>
      </w:r>
      <w:r>
        <w:t xml:space="preserve"> </w:t>
      </w:r>
      <w:r w:rsidRPr="00040CE0">
        <w:rPr>
          <w:rFonts w:ascii="標楷體" w:eastAsia="標楷體" w:hAnsi="標楷體" w:hint="eastAsia"/>
        </w:rPr>
        <w:t>按連續性合約受</w:t>
      </w:r>
      <w:proofErr w:type="gramStart"/>
      <w:r w:rsidRPr="00040CE0">
        <w:rPr>
          <w:rFonts w:ascii="標楷體" w:eastAsia="標楷體" w:hAnsi="標楷體" w:hint="eastAsia"/>
        </w:rPr>
        <w:t>僱</w:t>
      </w:r>
      <w:proofErr w:type="gramEnd"/>
      <w:r w:rsidRPr="00040CE0">
        <w:rPr>
          <w:rFonts w:ascii="標楷體" w:eastAsia="標楷體" w:hAnsi="標楷體" w:hint="eastAsia"/>
        </w:rPr>
        <w:t>的定義是指僱員受</w:t>
      </w:r>
      <w:proofErr w:type="gramStart"/>
      <w:r w:rsidRPr="00040CE0">
        <w:rPr>
          <w:rFonts w:ascii="標楷體" w:eastAsia="標楷體" w:hAnsi="標楷體" w:hint="eastAsia"/>
        </w:rPr>
        <w:t>僱</w:t>
      </w:r>
      <w:proofErr w:type="gramEnd"/>
      <w:r w:rsidRPr="00040CE0">
        <w:rPr>
          <w:rFonts w:ascii="標楷體" w:eastAsia="標楷體" w:hAnsi="標楷體" w:hint="eastAsia"/>
        </w:rPr>
        <w:t>於同一僱主四星期或以上，而每周工作</w:t>
      </w:r>
      <w:r w:rsidRPr="00040CE0">
        <w:rPr>
          <w:rFonts w:ascii="Times New Roman" w:eastAsia="標楷體" w:hAnsi="Times New Roman"/>
        </w:rPr>
        <w:t>18</w:t>
      </w:r>
      <w:r w:rsidRPr="00040CE0">
        <w:rPr>
          <w:rFonts w:ascii="標楷體" w:eastAsia="標楷體" w:hAnsi="標楷體" w:hint="eastAsia"/>
        </w:rPr>
        <w:t>小時或以上。</w:t>
      </w:r>
    </w:p>
  </w:footnote>
  <w:footnote w:id="9">
    <w:p w:rsidR="00E22C88" w:rsidRDefault="00E22C88" w:rsidP="003A171D">
      <w:pPr>
        <w:pStyle w:val="a7"/>
        <w:ind w:left="400" w:hangingChars="200" w:hanging="400"/>
        <w:jc w:val="both"/>
      </w:pPr>
      <w:r>
        <w:rPr>
          <w:rStyle w:val="a9"/>
        </w:rPr>
        <w:footnoteRef/>
      </w:r>
      <w:r>
        <w:t xml:space="preserve"> </w:t>
      </w:r>
      <w:r>
        <w:tab/>
      </w:r>
      <w:r w:rsidRPr="001567CD">
        <w:rPr>
          <w:rFonts w:ascii="Times New Roman" w:eastAsia="標楷體" w:hAnsi="Times New Roman" w:hint="eastAsia"/>
        </w:rPr>
        <w:t>在</w:t>
      </w:r>
      <w:r w:rsidRPr="001567CD">
        <w:rPr>
          <w:rFonts w:ascii="Times New Roman" w:eastAsia="標楷體" w:hAnsi="Times New Roman"/>
        </w:rPr>
        <w:t>2001</w:t>
      </w:r>
      <w:r w:rsidRPr="001567CD">
        <w:rPr>
          <w:rFonts w:ascii="Times New Roman" w:eastAsia="標楷體" w:hAnsi="Times New Roman" w:hint="eastAsia"/>
        </w:rPr>
        <w:t>年</w:t>
      </w:r>
      <w:r w:rsidRPr="001567CD">
        <w:rPr>
          <w:rFonts w:ascii="Times New Roman" w:eastAsia="標楷體" w:hAnsi="Times New Roman"/>
        </w:rPr>
        <w:t>11</w:t>
      </w:r>
      <w:r w:rsidRPr="001567CD">
        <w:rPr>
          <w:rFonts w:ascii="Times New Roman" w:eastAsia="標楷體" w:hAnsi="Times New Roman" w:hint="eastAsia"/>
        </w:rPr>
        <w:t>月</w:t>
      </w:r>
      <w:r w:rsidRPr="001567CD">
        <w:rPr>
          <w:rFonts w:ascii="Times New Roman" w:eastAsia="標楷體" w:hAnsi="Times New Roman"/>
        </w:rPr>
        <w:t>1</w:t>
      </w:r>
      <w:r w:rsidRPr="001567CD">
        <w:rPr>
          <w:rFonts w:ascii="Times New Roman" w:eastAsia="標楷體" w:hAnsi="Times New Roman" w:hint="eastAsia"/>
        </w:rPr>
        <w:t>日前，根據內地有關規定，香港特區居民在內地符合規定條件而未滿</w:t>
      </w:r>
      <w:r w:rsidRPr="001567CD">
        <w:rPr>
          <w:rFonts w:ascii="Times New Roman" w:eastAsia="標楷體" w:hAnsi="Times New Roman"/>
        </w:rPr>
        <w:t>14</w:t>
      </w:r>
      <w:r w:rsidRPr="001567CD">
        <w:rPr>
          <w:rFonts w:ascii="Times New Roman" w:eastAsia="標楷體" w:hAnsi="Times New Roman" w:hint="eastAsia"/>
        </w:rPr>
        <w:t>周歲的子女，可以申請單程證來港定居，惟申請人若在等候內地機關審批過程中滿</w:t>
      </w:r>
      <w:r w:rsidRPr="001567CD">
        <w:rPr>
          <w:rFonts w:ascii="Times New Roman" w:eastAsia="標楷體" w:hAnsi="Times New Roman"/>
        </w:rPr>
        <w:t>14</w:t>
      </w:r>
      <w:r w:rsidRPr="001567CD">
        <w:rPr>
          <w:rFonts w:ascii="Times New Roman" w:eastAsia="標楷體" w:hAnsi="Times New Roman" w:hint="eastAsia"/>
        </w:rPr>
        <w:t>周歲，便不獲批准。「超齡子女」就是指：</w:t>
      </w:r>
      <w:r w:rsidRPr="001567CD">
        <w:rPr>
          <w:rFonts w:ascii="Times New Roman" w:eastAsia="標楷體" w:hAnsi="Times New Roman"/>
        </w:rPr>
        <w:t>(a)</w:t>
      </w:r>
      <w:r w:rsidRPr="001567CD">
        <w:rPr>
          <w:rFonts w:ascii="Times New Roman" w:eastAsia="標楷體" w:hAnsi="Times New Roman" w:hint="eastAsia"/>
        </w:rPr>
        <w:t>在</w:t>
      </w:r>
      <w:r w:rsidRPr="001567CD">
        <w:rPr>
          <w:rFonts w:ascii="Times New Roman" w:eastAsia="標楷體" w:hAnsi="Times New Roman"/>
        </w:rPr>
        <w:t>2001</w:t>
      </w:r>
      <w:r w:rsidRPr="001567CD">
        <w:rPr>
          <w:rFonts w:ascii="Times New Roman" w:eastAsia="標楷體" w:hAnsi="Times New Roman" w:hint="eastAsia"/>
        </w:rPr>
        <w:t>年</w:t>
      </w:r>
      <w:r w:rsidRPr="001567CD">
        <w:rPr>
          <w:rFonts w:ascii="Times New Roman" w:eastAsia="標楷體" w:hAnsi="Times New Roman"/>
        </w:rPr>
        <w:t>11</w:t>
      </w:r>
      <w:r w:rsidRPr="001567CD">
        <w:rPr>
          <w:rFonts w:ascii="Times New Roman" w:eastAsia="標楷體" w:hAnsi="Times New Roman" w:hint="eastAsia"/>
        </w:rPr>
        <w:t>月</w:t>
      </w:r>
      <w:r w:rsidRPr="001567CD">
        <w:rPr>
          <w:rFonts w:ascii="Times New Roman" w:eastAsia="標楷體" w:hAnsi="Times New Roman"/>
        </w:rPr>
        <w:t>1</w:t>
      </w:r>
      <w:r w:rsidRPr="001567CD">
        <w:rPr>
          <w:rFonts w:ascii="Times New Roman" w:eastAsia="標楷體" w:hAnsi="Times New Roman" w:hint="eastAsia"/>
        </w:rPr>
        <w:t>日前，其親生父親或母親取得香港居民身份時，其內地子女當時未滿</w:t>
      </w:r>
      <w:r w:rsidRPr="001567CD">
        <w:rPr>
          <w:rFonts w:ascii="Times New Roman" w:eastAsia="標楷體" w:hAnsi="Times New Roman"/>
        </w:rPr>
        <w:t>14</w:t>
      </w:r>
      <w:r w:rsidRPr="001567CD">
        <w:rPr>
          <w:rFonts w:ascii="Times New Roman" w:eastAsia="標楷體" w:hAnsi="Times New Roman" w:hint="eastAsia"/>
        </w:rPr>
        <w:t>週歲；及</w:t>
      </w:r>
      <w:r w:rsidRPr="001567CD">
        <w:rPr>
          <w:rFonts w:ascii="Times New Roman" w:eastAsia="標楷體" w:hAnsi="Times New Roman"/>
        </w:rPr>
        <w:t>(b)</w:t>
      </w:r>
      <w:r w:rsidRPr="001567CD">
        <w:rPr>
          <w:rFonts w:ascii="Times New Roman" w:eastAsia="標楷體" w:hAnsi="Times New Roman" w:hint="eastAsia"/>
        </w:rPr>
        <w:t>在等候審批過程中，因超過</w:t>
      </w:r>
      <w:r w:rsidRPr="001567CD">
        <w:rPr>
          <w:rFonts w:ascii="Times New Roman" w:eastAsia="標楷體" w:hAnsi="Times New Roman"/>
        </w:rPr>
        <w:t>14</w:t>
      </w:r>
      <w:r w:rsidRPr="001567CD">
        <w:rPr>
          <w:rFonts w:ascii="Times New Roman" w:eastAsia="標楷體" w:hAnsi="Times New Roman" w:hint="eastAsia"/>
        </w:rPr>
        <w:t>週歲而失去獲審批資格。</w:t>
      </w:r>
    </w:p>
  </w:footnote>
  <w:footnote w:id="10">
    <w:p w:rsidR="00E22C88" w:rsidRDefault="00E22C88" w:rsidP="00BC2CCC">
      <w:pPr>
        <w:pStyle w:val="a7"/>
        <w:ind w:left="400" w:hangingChars="200" w:hanging="400"/>
        <w:jc w:val="both"/>
      </w:pPr>
      <w:r>
        <w:rPr>
          <w:rStyle w:val="a9"/>
        </w:rPr>
        <w:footnoteRef/>
      </w:r>
      <w:r>
        <w:t xml:space="preserve"> </w:t>
      </w:r>
      <w:r>
        <w:tab/>
      </w:r>
      <w:r w:rsidRPr="00D11F4B">
        <w:rPr>
          <w:rFonts w:eastAsia="標楷體"/>
        </w:rPr>
        <w:t>所提供</w:t>
      </w:r>
      <w:proofErr w:type="gramStart"/>
      <w:r w:rsidRPr="00D11F4B">
        <w:rPr>
          <w:rFonts w:eastAsia="標楷體"/>
        </w:rPr>
        <w:t>的宿位數目</w:t>
      </w:r>
      <w:proofErr w:type="gramEnd"/>
      <w:r w:rsidRPr="00D11F4B">
        <w:rPr>
          <w:rFonts w:eastAsia="標楷體"/>
        </w:rPr>
        <w:t>分項如下：提供基本護理服務的</w:t>
      </w:r>
      <w:proofErr w:type="gramStart"/>
      <w:r w:rsidRPr="00D11F4B">
        <w:rPr>
          <w:rFonts w:eastAsia="標楷體"/>
        </w:rPr>
        <w:t>安老院宿位約</w:t>
      </w:r>
      <w:proofErr w:type="gramEnd"/>
      <w:r w:rsidRPr="00D11F4B">
        <w:rPr>
          <w:rFonts w:eastAsia="標楷體"/>
        </w:rPr>
        <w:t>100</w:t>
      </w:r>
      <w:r w:rsidRPr="00D11F4B">
        <w:rPr>
          <w:rFonts w:eastAsia="標楷體"/>
        </w:rPr>
        <w:t>個、提供起居照顧和有限度護理服務的護理安</w:t>
      </w:r>
      <w:proofErr w:type="gramStart"/>
      <w:r w:rsidRPr="00D11F4B">
        <w:rPr>
          <w:rFonts w:eastAsia="標楷體"/>
        </w:rPr>
        <w:t>老宿位</w:t>
      </w:r>
      <w:proofErr w:type="gramEnd"/>
      <w:r w:rsidRPr="00D11F4B">
        <w:rPr>
          <w:rFonts w:eastAsia="標楷體"/>
        </w:rPr>
        <w:t>約</w:t>
      </w:r>
      <w:r w:rsidRPr="00D11F4B">
        <w:rPr>
          <w:rFonts w:eastAsia="標楷體"/>
        </w:rPr>
        <w:t>23</w:t>
      </w:r>
      <w:r>
        <w:rPr>
          <w:rFonts w:eastAsia="標楷體"/>
          <w:szCs w:val="28"/>
        </w:rPr>
        <w:t> </w:t>
      </w:r>
      <w:r w:rsidRPr="00D11F4B">
        <w:rPr>
          <w:rFonts w:eastAsia="標楷體"/>
        </w:rPr>
        <w:t>300</w:t>
      </w:r>
      <w:r w:rsidRPr="00D11F4B">
        <w:rPr>
          <w:rFonts w:eastAsia="標楷體"/>
        </w:rPr>
        <w:t>個，以及提供較全面護理服務的護養院宿位約</w:t>
      </w:r>
      <w:r w:rsidRPr="00D11F4B">
        <w:rPr>
          <w:rFonts w:eastAsia="標楷體"/>
        </w:rPr>
        <w:t>4</w:t>
      </w:r>
      <w:r>
        <w:rPr>
          <w:rFonts w:eastAsia="標楷體"/>
          <w:szCs w:val="28"/>
        </w:rPr>
        <w:t> </w:t>
      </w:r>
      <w:r w:rsidRPr="00D11F4B">
        <w:rPr>
          <w:rFonts w:eastAsia="標楷體"/>
        </w:rPr>
        <w:t>000</w:t>
      </w:r>
      <w:r w:rsidRPr="00D11F4B">
        <w:rPr>
          <w:rFonts w:eastAsia="標楷體"/>
        </w:rPr>
        <w:t>個。</w:t>
      </w:r>
    </w:p>
  </w:footnote>
  <w:footnote w:id="11">
    <w:p w:rsidR="00E22C88" w:rsidRPr="00BA1F6C" w:rsidRDefault="00E22C88" w:rsidP="00BA1F6C">
      <w:pPr>
        <w:pStyle w:val="a7"/>
        <w:ind w:left="400" w:hangingChars="200" w:hanging="400"/>
        <w:rPr>
          <w:rFonts w:ascii="Times New Roman" w:hAnsi="Times New Roman"/>
        </w:rPr>
      </w:pPr>
      <w:r w:rsidRPr="00BA1F6C">
        <w:rPr>
          <w:rStyle w:val="a9"/>
          <w:rFonts w:ascii="Times New Roman" w:hAnsi="Times New Roman"/>
        </w:rPr>
        <w:footnoteRef/>
      </w:r>
      <w:r w:rsidRPr="00BA1F6C">
        <w:rPr>
          <w:rFonts w:ascii="Times New Roman" w:hAnsi="Times New Roman"/>
        </w:rPr>
        <w:t xml:space="preserve"> </w:t>
      </w:r>
      <w:r w:rsidRPr="00BA1F6C">
        <w:rPr>
          <w:rFonts w:ascii="Times New Roman" w:hAnsi="Times New Roman"/>
        </w:rPr>
        <w:tab/>
      </w:r>
      <w:r w:rsidRPr="00BA1F6C">
        <w:rPr>
          <w:rFonts w:ascii="Times New Roman" w:eastAsia="標楷體" w:hAnsi="Times New Roman"/>
        </w:rPr>
        <w:t>2009-2017</w:t>
      </w:r>
      <w:r w:rsidRPr="00BA1F6C">
        <w:rPr>
          <w:rFonts w:ascii="Times New Roman" w:eastAsia="標楷體" w:hAnsi="Times New Roman"/>
        </w:rPr>
        <w:t>年按不同特徵劃分的貧窮數據載於</w:t>
      </w:r>
      <w:r w:rsidRPr="00BA1F6C">
        <w:rPr>
          <w:rFonts w:ascii="Times New Roman" w:eastAsia="標楷體" w:hAnsi="Times New Roman"/>
          <w:b/>
        </w:rPr>
        <w:t>附</w:t>
      </w:r>
      <w:r w:rsidRPr="00BA1F6C">
        <w:rPr>
          <w:rFonts w:ascii="Times New Roman" w:eastAsia="標楷體" w:hAnsi="Times New Roman"/>
          <w:b/>
          <w:lang w:eastAsia="zh-HK"/>
        </w:rPr>
        <w:t>錄</w:t>
      </w:r>
      <w:r w:rsidRPr="00BA1F6C">
        <w:rPr>
          <w:rFonts w:ascii="Times New Roman" w:eastAsia="標楷體" w:hAnsi="Times New Roman"/>
          <w:b/>
        </w:rPr>
        <w:t>。</w:t>
      </w:r>
    </w:p>
  </w:footnote>
  <w:footnote w:id="12">
    <w:p w:rsidR="00E22C88" w:rsidRDefault="00E22C88" w:rsidP="00BE6C12">
      <w:pPr>
        <w:pStyle w:val="a7"/>
        <w:ind w:left="400" w:hangingChars="200" w:hanging="400"/>
        <w:jc w:val="both"/>
      </w:pPr>
      <w:r w:rsidRPr="00CD1A98">
        <w:rPr>
          <w:rStyle w:val="a9"/>
          <w:rFonts w:ascii="Times New Roman" w:hAnsi="Times New Roman"/>
        </w:rPr>
        <w:footnoteRef/>
      </w:r>
      <w:r>
        <w:t xml:space="preserve"> </w:t>
      </w:r>
      <w:r>
        <w:tab/>
      </w:r>
      <w:r w:rsidRPr="00B91DEA">
        <w:rPr>
          <w:rFonts w:ascii="標楷體" w:eastAsia="標楷體" w:hAnsi="標楷體" w:hint="eastAsia"/>
        </w:rPr>
        <w:t>根據新的定價政策，我們會按前一</w:t>
      </w:r>
      <w:proofErr w:type="gramStart"/>
      <w:r w:rsidRPr="00B91DEA">
        <w:rPr>
          <w:rFonts w:ascii="標楷體" w:eastAsia="標楷體" w:hAnsi="標楷體" w:hint="eastAsia"/>
        </w:rPr>
        <w:t>期居屋</w:t>
      </w:r>
      <w:proofErr w:type="gramEnd"/>
      <w:r w:rsidRPr="00B91DEA">
        <w:rPr>
          <w:rFonts w:ascii="標楷體" w:eastAsia="標楷體" w:hAnsi="標楷體" w:hint="eastAsia"/>
        </w:rPr>
        <w:t>評估市值的折扣率，訂定其他資助出售房屋項目的折扣率，包括「</w:t>
      </w:r>
      <w:proofErr w:type="gramStart"/>
      <w:r w:rsidRPr="00B91DEA">
        <w:rPr>
          <w:rFonts w:ascii="標楷體" w:eastAsia="標楷體" w:hAnsi="標楷體" w:hint="eastAsia"/>
        </w:rPr>
        <w:t>首置</w:t>
      </w:r>
      <w:proofErr w:type="gramEnd"/>
      <w:r w:rsidRPr="00B91DEA">
        <w:rPr>
          <w:rFonts w:ascii="標楷體" w:eastAsia="標楷體" w:hAnsi="標楷體" w:hint="eastAsia"/>
        </w:rPr>
        <w:t>」先導項目折扣會</w:t>
      </w:r>
      <w:proofErr w:type="gramStart"/>
      <w:r w:rsidRPr="00B91DEA">
        <w:rPr>
          <w:rFonts w:ascii="標楷體" w:eastAsia="標楷體" w:hAnsi="標楷體" w:hint="eastAsia"/>
        </w:rPr>
        <w:t>比居屋</w:t>
      </w:r>
      <w:proofErr w:type="gramEnd"/>
      <w:r w:rsidRPr="00B91DEA">
        <w:rPr>
          <w:rFonts w:ascii="標楷體" w:eastAsia="標楷體" w:hAnsi="標楷體" w:hint="eastAsia"/>
        </w:rPr>
        <w:t>低一至兩折，而「</w:t>
      </w:r>
      <w:proofErr w:type="gramStart"/>
      <w:r w:rsidRPr="00B91DEA">
        <w:rPr>
          <w:rFonts w:ascii="標楷體" w:eastAsia="標楷體" w:hAnsi="標楷體" w:hint="eastAsia"/>
        </w:rPr>
        <w:t>綠置居</w:t>
      </w:r>
      <w:proofErr w:type="gramEnd"/>
      <w:r w:rsidRPr="00B91DEA">
        <w:rPr>
          <w:rFonts w:ascii="標楷體" w:eastAsia="標楷體" w:hAnsi="標楷體" w:hint="eastAsia"/>
        </w:rPr>
        <w:t>」會多一折。</w:t>
      </w:r>
    </w:p>
  </w:footnote>
  <w:footnote w:id="13">
    <w:p w:rsidR="00E22C88" w:rsidRPr="00851CE7" w:rsidRDefault="00E22C88" w:rsidP="00747021">
      <w:pPr>
        <w:pStyle w:val="a7"/>
        <w:ind w:left="180" w:hanging="180"/>
        <w:rPr>
          <w:rFonts w:ascii="Times New Roman" w:hAnsi="Times New Roman"/>
        </w:rPr>
      </w:pPr>
      <w:r w:rsidRPr="00851CE7">
        <w:rPr>
          <w:rStyle w:val="a9"/>
          <w:rFonts w:ascii="Times New Roman" w:hAnsi="Times New Roman"/>
        </w:rPr>
        <w:footnoteRef/>
      </w:r>
      <w:r w:rsidRPr="00851CE7">
        <w:rPr>
          <w:rFonts w:ascii="Times New Roman" w:hAnsi="Times New Roman"/>
        </w:rPr>
        <w:t xml:space="preserve"> </w:t>
      </w:r>
      <w:r w:rsidRPr="00851CE7">
        <w:rPr>
          <w:rFonts w:ascii="Times New Roman" w:eastAsia="標楷體" w:hAnsi="Times New Roman"/>
        </w:rPr>
        <w:t>為加強預防及控制非傳染病，衞生署在</w:t>
      </w:r>
      <w:r w:rsidRPr="00851CE7">
        <w:rPr>
          <w:rFonts w:ascii="Times New Roman" w:eastAsia="標楷體" w:hAnsi="Times New Roman"/>
        </w:rPr>
        <w:t>2008</w:t>
      </w:r>
      <w:r w:rsidRPr="00851CE7">
        <w:rPr>
          <w:rFonts w:ascii="Times New Roman" w:eastAsia="標楷體" w:hAnsi="Times New Roman"/>
        </w:rPr>
        <w:t>年</w:t>
      </w:r>
      <w:r w:rsidRPr="00851CE7">
        <w:rPr>
          <w:rFonts w:ascii="Times New Roman" w:eastAsia="標楷體" w:hAnsi="Times New Roman"/>
        </w:rPr>
        <w:t>10</w:t>
      </w:r>
      <w:r w:rsidRPr="00851CE7">
        <w:rPr>
          <w:rFonts w:ascii="Times New Roman" w:eastAsia="標楷體" w:hAnsi="Times New Roman"/>
        </w:rPr>
        <w:t>月推出此框架。框架是參考世界衞生組織有關預防疾病和促進健康的指導原則，並經與持份者諮詢而制訂。我們成立了由食衞局局長領導的防控非傳染病督導委員會，以審議和監督在香港預防及控制非傳染病的整體發展及策略。酗酒是</w:t>
      </w:r>
      <w:r w:rsidRPr="00851CE7">
        <w:rPr>
          <w:rFonts w:ascii="Times New Roman" w:eastAsia="標楷體" w:hAnsi="Times New Roman"/>
          <w:lang w:eastAsia="zh-HK"/>
        </w:rPr>
        <w:t>框</w:t>
      </w:r>
      <w:r w:rsidRPr="00851CE7">
        <w:rPr>
          <w:rFonts w:ascii="Times New Roman" w:eastAsia="標楷體" w:hAnsi="Times New Roman"/>
        </w:rPr>
        <w:t>架</w:t>
      </w:r>
      <w:r w:rsidRPr="00851CE7">
        <w:rPr>
          <w:rFonts w:ascii="Times New Roman" w:eastAsia="標楷體" w:hAnsi="Times New Roman"/>
          <w:lang w:eastAsia="zh-HK"/>
        </w:rPr>
        <w:t>下</w:t>
      </w:r>
      <w:r w:rsidRPr="00851CE7">
        <w:rPr>
          <w:rFonts w:ascii="Times New Roman" w:eastAsia="標楷體" w:hAnsi="Times New Roman"/>
        </w:rPr>
        <w:t>其中一個優先行動領域。</w:t>
      </w:r>
    </w:p>
  </w:footnote>
  <w:footnote w:id="14">
    <w:p w:rsidR="00E22C88" w:rsidRPr="00AF4AAD" w:rsidRDefault="00E22C88" w:rsidP="00747021">
      <w:pPr>
        <w:pStyle w:val="a7"/>
        <w:ind w:left="400" w:hangingChars="200" w:hanging="400"/>
        <w:jc w:val="both"/>
      </w:pPr>
      <w:r w:rsidRPr="00A45A23">
        <w:rPr>
          <w:rStyle w:val="a9"/>
          <w:rFonts w:ascii="Times New Roman" w:hAnsi="Times New Roman"/>
        </w:rPr>
        <w:footnoteRef/>
      </w:r>
      <w:r>
        <w:t xml:space="preserve"> </w:t>
      </w:r>
      <w:r>
        <w:tab/>
      </w:r>
      <w:r w:rsidRPr="00FD08A2">
        <w:rPr>
          <w:rFonts w:eastAsia="標楷體"/>
        </w:rPr>
        <w:t>現時全港設有</w:t>
      </w:r>
      <w:r w:rsidRPr="00FD08A2">
        <w:rPr>
          <w:rFonts w:eastAsia="標楷體"/>
        </w:rPr>
        <w:t>16</w:t>
      </w:r>
      <w:r w:rsidRPr="00FD08A2">
        <w:rPr>
          <w:rFonts w:eastAsia="標楷體"/>
        </w:rPr>
        <w:t>間地區支援中心，為殘疾人士及其家人和照顧者提供以地區為本、一</w:t>
      </w:r>
      <w:proofErr w:type="gramStart"/>
      <w:r w:rsidRPr="00FD08A2">
        <w:rPr>
          <w:rFonts w:eastAsia="標楷體"/>
        </w:rPr>
        <w:t>站式的支援</w:t>
      </w:r>
      <w:proofErr w:type="gramEnd"/>
      <w:r w:rsidRPr="00FD08A2">
        <w:rPr>
          <w:rFonts w:eastAsia="標楷體"/>
        </w:rPr>
        <w:t>。</w:t>
      </w:r>
    </w:p>
  </w:footnote>
  <w:footnote w:id="15">
    <w:p w:rsidR="00E22C88" w:rsidRPr="00B54A29" w:rsidRDefault="00E22C88" w:rsidP="00407946">
      <w:pPr>
        <w:pStyle w:val="a7"/>
        <w:ind w:left="400" w:hangingChars="200" w:hanging="400"/>
        <w:jc w:val="both"/>
        <w:rPr>
          <w:rFonts w:ascii="Times New Roman" w:hAnsi="Times New Roman"/>
        </w:rPr>
      </w:pPr>
      <w:r w:rsidRPr="00B54A29">
        <w:rPr>
          <w:rStyle w:val="a9"/>
          <w:rFonts w:ascii="Times New Roman" w:hAnsi="Times New Roman"/>
        </w:rPr>
        <w:footnoteRef/>
      </w:r>
      <w:r w:rsidRPr="00B54A29">
        <w:rPr>
          <w:rFonts w:ascii="Times New Roman" w:hAnsi="Times New Roman"/>
        </w:rPr>
        <w:t xml:space="preserve"> </w:t>
      </w:r>
      <w:r>
        <w:rPr>
          <w:rFonts w:ascii="Times New Roman" w:hAnsi="Times New Roman"/>
        </w:rPr>
        <w:tab/>
      </w:r>
      <w:r>
        <w:rPr>
          <w:rFonts w:ascii="Times New Roman" w:hAnsi="Times New Roman"/>
        </w:rPr>
        <w:tab/>
      </w:r>
      <w:r w:rsidRPr="00B54A29">
        <w:rPr>
          <w:rFonts w:ascii="Times New Roman" w:eastAsia="標楷體" w:hAnsi="Times New Roman"/>
        </w:rPr>
        <w:t>2006/07</w:t>
      </w:r>
      <w:r w:rsidRPr="00B54A29">
        <w:rPr>
          <w:rFonts w:ascii="Times New Roman" w:eastAsia="標楷體" w:hAnsi="Times New Roman"/>
        </w:rPr>
        <w:t>至</w:t>
      </w:r>
      <w:r w:rsidRPr="00B54A29">
        <w:rPr>
          <w:rFonts w:ascii="Times New Roman" w:eastAsia="標楷體" w:hAnsi="Times New Roman"/>
        </w:rPr>
        <w:t>2012/13</w:t>
      </w:r>
      <w:r w:rsidRPr="00B54A29">
        <w:rPr>
          <w:rFonts w:ascii="Times New Roman" w:eastAsia="標楷體" w:hAnsi="Times New Roman"/>
        </w:rPr>
        <w:t>學年，我們為錄取</w:t>
      </w:r>
      <w:proofErr w:type="gramStart"/>
      <w:r w:rsidRPr="00B54A29">
        <w:rPr>
          <w:rFonts w:ascii="Times New Roman" w:eastAsia="標楷體" w:hAnsi="Times New Roman"/>
        </w:rPr>
        <w:t>一</w:t>
      </w:r>
      <w:proofErr w:type="gramEnd"/>
      <w:r w:rsidRPr="00B54A29">
        <w:rPr>
          <w:rFonts w:ascii="Times New Roman" w:eastAsia="標楷體" w:hAnsi="Times New Roman"/>
        </w:rPr>
        <w:t>定數目的非華語學生、有照顧非華語學生經驗、願意與教育局合作發展校本支援措施，以及願意與其他學校分享經驗的學校，提供特別津貼。這些學校一般被稱為所謂的「指定學校」。</w:t>
      </w:r>
    </w:p>
  </w:footnote>
  <w:footnote w:id="16">
    <w:p w:rsidR="00E22C88" w:rsidRPr="00E5546D" w:rsidRDefault="00E22C88" w:rsidP="00DE51D8">
      <w:pPr>
        <w:pStyle w:val="a7"/>
        <w:ind w:left="450" w:hangingChars="225" w:hanging="450"/>
        <w:jc w:val="both"/>
        <w:rPr>
          <w:rFonts w:ascii="Times New Roman" w:eastAsia="標楷體" w:hAnsi="Times New Roman"/>
        </w:rPr>
      </w:pPr>
      <w:r w:rsidRPr="00E5546D">
        <w:rPr>
          <w:rStyle w:val="a9"/>
          <w:rFonts w:ascii="Times New Roman" w:hAnsi="Times New Roman"/>
        </w:rPr>
        <w:footnoteRef/>
      </w:r>
      <w:r w:rsidRPr="00E5546D">
        <w:rPr>
          <w:rFonts w:ascii="Times New Roman" w:hAnsi="Times New Roman"/>
        </w:rPr>
        <w:t xml:space="preserve"> </w:t>
      </w:r>
      <w:r>
        <w:rPr>
          <w:rFonts w:ascii="Times New Roman" w:hAnsi="Times New Roman"/>
        </w:rPr>
        <w:tab/>
      </w:r>
      <w:r w:rsidRPr="00E5546D">
        <w:rPr>
          <w:rFonts w:ascii="Times New Roman" w:eastAsia="標楷體" w:hAnsi="Times New Roman"/>
        </w:rPr>
        <w:t>合資格非華語學生是指符合以下情況的學生：</w:t>
      </w:r>
    </w:p>
    <w:p w:rsidR="00E22C88" w:rsidRPr="00E5546D" w:rsidRDefault="00E22C88" w:rsidP="008774C7">
      <w:pPr>
        <w:pStyle w:val="a7"/>
        <w:ind w:leftChars="161" w:left="961" w:hangingChars="255" w:hanging="510"/>
        <w:jc w:val="both"/>
        <w:rPr>
          <w:rFonts w:ascii="Times New Roman" w:eastAsia="標楷體" w:hAnsi="Times New Roman"/>
        </w:rPr>
      </w:pPr>
      <w:r w:rsidRPr="00E5546D">
        <w:rPr>
          <w:rFonts w:ascii="Times New Roman" w:eastAsia="標楷體" w:hAnsi="Times New Roman"/>
        </w:rPr>
        <w:t>(a)</w:t>
      </w:r>
      <w:r w:rsidRPr="00E5546D">
        <w:rPr>
          <w:rFonts w:ascii="Times New Roman" w:eastAsia="標楷體" w:hAnsi="Times New Roman"/>
        </w:rPr>
        <w:tab/>
      </w:r>
      <w:r w:rsidRPr="00E5546D">
        <w:rPr>
          <w:rFonts w:ascii="Times New Roman" w:eastAsia="標楷體" w:hAnsi="Times New Roman"/>
        </w:rPr>
        <w:t>在接受中小學教育期間學習中國語文少於六年時間；或</w:t>
      </w:r>
    </w:p>
    <w:p w:rsidR="00E22C88" w:rsidRPr="00E5546D" w:rsidRDefault="00E22C88" w:rsidP="008774C7">
      <w:pPr>
        <w:pStyle w:val="a7"/>
        <w:ind w:leftChars="161" w:left="961" w:hangingChars="255" w:hanging="510"/>
        <w:jc w:val="both"/>
        <w:rPr>
          <w:rFonts w:ascii="Times New Roman" w:hAnsi="Times New Roman"/>
        </w:rPr>
      </w:pPr>
      <w:r w:rsidRPr="00E5546D">
        <w:rPr>
          <w:rFonts w:ascii="Times New Roman" w:eastAsia="標楷體" w:hAnsi="Times New Roman"/>
        </w:rPr>
        <w:t>(b)</w:t>
      </w:r>
      <w:r w:rsidRPr="00E5546D">
        <w:rPr>
          <w:rFonts w:ascii="Times New Roman" w:eastAsia="標楷體" w:hAnsi="Times New Roman"/>
        </w:rPr>
        <w:tab/>
      </w:r>
      <w:r w:rsidRPr="00E5546D">
        <w:rPr>
          <w:rFonts w:ascii="Times New Roman" w:eastAsia="標楷體" w:hAnsi="Times New Roman"/>
        </w:rPr>
        <w:t>在學校學習中國語文已有六年或以上時間，但期間是按一個經調適並較淺易的中國語文課程學習，而有關的課程一般並不適用於其他大部分在本地學校就讀的學生。</w:t>
      </w:r>
    </w:p>
  </w:footnote>
  <w:footnote w:id="17">
    <w:p w:rsidR="00E22C88" w:rsidRPr="00EC584D" w:rsidRDefault="00E22C88" w:rsidP="00407946">
      <w:pPr>
        <w:pStyle w:val="a7"/>
        <w:ind w:left="400" w:hangingChars="200" w:hanging="400"/>
        <w:jc w:val="both"/>
        <w:rPr>
          <w:rFonts w:ascii="Times New Roman" w:hAnsi="Times New Roman"/>
        </w:rPr>
      </w:pPr>
      <w:r w:rsidRPr="00EC584D">
        <w:rPr>
          <w:rStyle w:val="a9"/>
          <w:rFonts w:ascii="Times New Roman" w:hAnsi="Times New Roman"/>
        </w:rPr>
        <w:footnoteRef/>
      </w:r>
      <w:r w:rsidRPr="00EC584D">
        <w:rPr>
          <w:rFonts w:ascii="Times New Roman" w:hAnsi="Times New Roman"/>
        </w:rPr>
        <w:t xml:space="preserve"> </w:t>
      </w:r>
      <w:r>
        <w:rPr>
          <w:rFonts w:ascii="Times New Roman" w:hAnsi="Times New Roman"/>
        </w:rPr>
        <w:tab/>
      </w:r>
      <w:r w:rsidRPr="00EC584D">
        <w:rPr>
          <w:rFonts w:ascii="標楷體" w:eastAsia="標楷體" w:hAnsi="標楷體" w:hint="eastAsia"/>
        </w:rPr>
        <w:t>七種主要少數族裔語文包括印尼文、印度文、尼泊爾文、旁遮普文（印度）、菲律賓他</w:t>
      </w:r>
      <w:proofErr w:type="gramStart"/>
      <w:r w:rsidRPr="00EC584D">
        <w:rPr>
          <w:rFonts w:ascii="標楷體" w:eastAsia="標楷體" w:hAnsi="標楷體" w:hint="eastAsia"/>
        </w:rPr>
        <w:t>加祿文</w:t>
      </w:r>
      <w:proofErr w:type="gramEnd"/>
      <w:r w:rsidRPr="00EC584D">
        <w:rPr>
          <w:rFonts w:ascii="標楷體" w:eastAsia="標楷體" w:hAnsi="標楷體" w:hint="eastAsia"/>
        </w:rPr>
        <w:t>、泰文和</w:t>
      </w:r>
      <w:proofErr w:type="gramStart"/>
      <w:r w:rsidRPr="00EC584D">
        <w:rPr>
          <w:rFonts w:ascii="標楷體" w:eastAsia="標楷體" w:hAnsi="標楷體" w:hint="eastAsia"/>
        </w:rPr>
        <w:t>烏爾都語</w:t>
      </w:r>
      <w:proofErr w:type="gramEnd"/>
      <w:r w:rsidRPr="00EC584D">
        <w:rPr>
          <w:rFonts w:ascii="標楷體" w:eastAsia="標楷體" w:hAnsi="標楷體" w:hint="eastAsia"/>
        </w:rPr>
        <w:t>。</w:t>
      </w:r>
    </w:p>
  </w:footnote>
  <w:footnote w:id="18">
    <w:p w:rsidR="00E22C88" w:rsidRPr="00EC584D" w:rsidRDefault="00E22C88" w:rsidP="00407946">
      <w:pPr>
        <w:pStyle w:val="a7"/>
        <w:ind w:left="400" w:hangingChars="200" w:hanging="400"/>
        <w:jc w:val="both"/>
        <w:rPr>
          <w:rFonts w:ascii="Times New Roman" w:hAnsi="Times New Roman"/>
        </w:rPr>
      </w:pPr>
      <w:r w:rsidRPr="00EC584D">
        <w:rPr>
          <w:rStyle w:val="a9"/>
          <w:rFonts w:ascii="Times New Roman" w:hAnsi="Times New Roman"/>
        </w:rPr>
        <w:footnoteRef/>
      </w:r>
      <w:r w:rsidRPr="00EC584D">
        <w:rPr>
          <w:rFonts w:ascii="Times New Roman" w:hAnsi="Times New Roman"/>
        </w:rPr>
        <w:t xml:space="preserve"> </w:t>
      </w:r>
      <w:r>
        <w:rPr>
          <w:rFonts w:ascii="Times New Roman" w:hAnsi="Times New Roman"/>
        </w:rPr>
        <w:tab/>
      </w:r>
      <w:r w:rsidRPr="00EC584D">
        <w:rPr>
          <w:rFonts w:ascii="Times New Roman" w:eastAsia="標楷體" w:hAnsi="Times New Roman"/>
        </w:rPr>
        <w:t>六種主要少數族裔語言包括印尼文、印度文、尼泊爾文、菲律賓他</w:t>
      </w:r>
      <w:proofErr w:type="gramStart"/>
      <w:r w:rsidRPr="00EC584D">
        <w:rPr>
          <w:rFonts w:ascii="Times New Roman" w:eastAsia="標楷體" w:hAnsi="Times New Roman"/>
        </w:rPr>
        <w:t>加祿文</w:t>
      </w:r>
      <w:proofErr w:type="gramEnd"/>
      <w:r w:rsidRPr="00EC584D">
        <w:rPr>
          <w:rFonts w:ascii="Times New Roman" w:eastAsia="標楷體" w:hAnsi="Times New Roman"/>
        </w:rPr>
        <w:t>、泰文和</w:t>
      </w:r>
      <w:proofErr w:type="gramStart"/>
      <w:r w:rsidRPr="00EC584D">
        <w:rPr>
          <w:rFonts w:ascii="Times New Roman" w:eastAsia="標楷體" w:hAnsi="Times New Roman"/>
        </w:rPr>
        <w:t>烏爾都語</w:t>
      </w:r>
      <w:proofErr w:type="gramEnd"/>
      <w:r w:rsidRPr="00EC584D">
        <w:rPr>
          <w:rFonts w:ascii="Times New Roman" w:eastAsia="標楷體" w:hAnsi="Times New Roman"/>
        </w:rPr>
        <w:t>。由</w:t>
      </w:r>
      <w:r w:rsidRPr="00EC584D">
        <w:rPr>
          <w:rFonts w:ascii="Times New Roman" w:eastAsia="標楷體" w:hAnsi="Times New Roman"/>
        </w:rPr>
        <w:t>2019/20</w:t>
      </w:r>
      <w:r w:rsidRPr="00EC584D">
        <w:rPr>
          <w:rFonts w:ascii="Times New Roman" w:eastAsia="標楷體" w:hAnsi="Times New Roman"/>
        </w:rPr>
        <w:t>學年開始，將包括旁遮普文（印度）。</w:t>
      </w:r>
    </w:p>
  </w:footnote>
  <w:footnote w:id="19">
    <w:p w:rsidR="00E22C88" w:rsidRPr="00930C40" w:rsidRDefault="00E22C88" w:rsidP="00DB339E">
      <w:pPr>
        <w:pStyle w:val="a7"/>
        <w:ind w:left="400" w:hangingChars="200" w:hanging="400"/>
        <w:rPr>
          <w:rFonts w:ascii="Times New Roman" w:eastAsia="標楷體" w:hAnsi="Times New Roman"/>
        </w:rPr>
      </w:pPr>
      <w:r w:rsidRPr="00930C40">
        <w:rPr>
          <w:rStyle w:val="a9"/>
          <w:rFonts w:ascii="Times New Roman" w:eastAsia="標楷體" w:hAnsi="Times New Roman"/>
        </w:rPr>
        <w:footnoteRef/>
      </w:r>
      <w:r w:rsidRPr="00930C40">
        <w:rPr>
          <w:rFonts w:ascii="Times New Roman" w:eastAsia="標楷體" w:hAnsi="Times New Roman"/>
        </w:rPr>
        <w:tab/>
      </w:r>
      <w:r w:rsidRPr="00930C40">
        <w:rPr>
          <w:rFonts w:ascii="Times New Roman" w:eastAsia="標楷體" w:hAnsi="Times New Roman"/>
        </w:rPr>
        <w:t>每所公營普通學校須在</w:t>
      </w:r>
      <w:r w:rsidRPr="00930C40">
        <w:rPr>
          <w:rFonts w:ascii="Times New Roman" w:eastAsia="標楷體" w:hAnsi="Times New Roman"/>
        </w:rPr>
        <w:t>2019/20</w:t>
      </w:r>
      <w:r w:rsidRPr="00930C40">
        <w:rPr>
          <w:rFonts w:ascii="Times New Roman" w:eastAsia="標楷體" w:hAnsi="Times New Roman"/>
        </w:rPr>
        <w:t>學年完結前達到的培訓目標如下：</w:t>
      </w:r>
    </w:p>
    <w:p w:rsidR="00E22C88" w:rsidRPr="00930C40" w:rsidRDefault="00E22C88" w:rsidP="00DB339E">
      <w:pPr>
        <w:pStyle w:val="a7"/>
        <w:ind w:left="400" w:hangingChars="200" w:hanging="400"/>
        <w:rPr>
          <w:rFonts w:ascii="Times New Roman" w:eastAsia="標楷體" w:hAnsi="Times New Roman"/>
        </w:rPr>
      </w:pPr>
      <w:r>
        <w:rPr>
          <w:rFonts w:ascii="Times New Roman" w:eastAsia="標楷體" w:hAnsi="Times New Roman"/>
        </w:rPr>
        <w:tab/>
      </w:r>
      <w:r w:rsidRPr="00930C40">
        <w:rPr>
          <w:rFonts w:ascii="Times New Roman" w:eastAsia="標楷體" w:hAnsi="Times New Roman"/>
        </w:rPr>
        <w:t>(</w:t>
      </w:r>
      <w:r>
        <w:rPr>
          <w:rFonts w:ascii="Times New Roman" w:eastAsia="標楷體" w:hAnsi="Times New Roman"/>
        </w:rPr>
        <w:t>a</w:t>
      </w:r>
      <w:r w:rsidRPr="00930C40">
        <w:rPr>
          <w:rFonts w:ascii="Times New Roman" w:eastAsia="標楷體" w:hAnsi="Times New Roman"/>
        </w:rPr>
        <w:t>)</w:t>
      </w:r>
      <w:r w:rsidRPr="00930C40">
        <w:rPr>
          <w:rFonts w:ascii="Times New Roman" w:eastAsia="標楷體" w:hAnsi="Times New Roman"/>
        </w:rPr>
        <w:tab/>
      </w:r>
      <w:r w:rsidRPr="00930C40">
        <w:rPr>
          <w:rFonts w:ascii="Times New Roman" w:eastAsia="標楷體" w:hAnsi="Times New Roman"/>
        </w:rPr>
        <w:t>最少有</w:t>
      </w:r>
      <w:r w:rsidRPr="00930C40">
        <w:rPr>
          <w:rFonts w:ascii="Times New Roman" w:eastAsia="標楷體" w:hAnsi="Times New Roman"/>
        </w:rPr>
        <w:t>15%</w:t>
      </w:r>
      <w:r w:rsidRPr="00930C40">
        <w:rPr>
          <w:rFonts w:ascii="Times New Roman" w:eastAsia="標楷體" w:hAnsi="Times New Roman"/>
        </w:rPr>
        <w:t>至</w:t>
      </w:r>
      <w:r w:rsidRPr="00930C40">
        <w:rPr>
          <w:rFonts w:ascii="Times New Roman" w:eastAsia="標楷體" w:hAnsi="Times New Roman"/>
        </w:rPr>
        <w:t>25%</w:t>
      </w:r>
      <w:r w:rsidRPr="00930C40">
        <w:rPr>
          <w:rFonts w:ascii="Times New Roman" w:eastAsia="標楷體" w:hAnsi="Times New Roman"/>
        </w:rPr>
        <w:t>的教師完成基礎課程；</w:t>
      </w:r>
    </w:p>
    <w:p w:rsidR="00E22C88" w:rsidRPr="00930C40" w:rsidRDefault="00E22C88" w:rsidP="00DB339E">
      <w:pPr>
        <w:pStyle w:val="a7"/>
        <w:ind w:left="400" w:hangingChars="200" w:hanging="400"/>
        <w:rPr>
          <w:rFonts w:ascii="Times New Roman" w:eastAsia="標楷體" w:hAnsi="Times New Roman"/>
        </w:rPr>
      </w:pPr>
      <w:r>
        <w:rPr>
          <w:rFonts w:ascii="Times New Roman" w:eastAsia="標楷體" w:hAnsi="Times New Roman"/>
        </w:rPr>
        <w:tab/>
      </w:r>
      <w:r w:rsidRPr="00930C40">
        <w:rPr>
          <w:rFonts w:ascii="Times New Roman" w:eastAsia="標楷體" w:hAnsi="Times New Roman"/>
        </w:rPr>
        <w:t>(</w:t>
      </w:r>
      <w:r>
        <w:rPr>
          <w:rFonts w:ascii="Times New Roman" w:eastAsia="標楷體" w:hAnsi="Times New Roman"/>
        </w:rPr>
        <w:t>b</w:t>
      </w:r>
      <w:r w:rsidRPr="00930C40">
        <w:rPr>
          <w:rFonts w:ascii="Times New Roman" w:eastAsia="標楷體" w:hAnsi="Times New Roman"/>
        </w:rPr>
        <w:t>)</w:t>
      </w:r>
      <w:r w:rsidRPr="00930C40">
        <w:rPr>
          <w:rFonts w:ascii="Times New Roman" w:eastAsia="標楷體" w:hAnsi="Times New Roman"/>
        </w:rPr>
        <w:tab/>
      </w:r>
      <w:r w:rsidRPr="00930C40">
        <w:rPr>
          <w:rFonts w:ascii="Times New Roman" w:eastAsia="標楷體" w:hAnsi="Times New Roman"/>
        </w:rPr>
        <w:t>最少有</w:t>
      </w:r>
      <w:r w:rsidRPr="00930C40">
        <w:rPr>
          <w:rFonts w:ascii="Times New Roman" w:eastAsia="標楷體" w:hAnsi="Times New Roman"/>
        </w:rPr>
        <w:t>6</w:t>
      </w:r>
      <w:r w:rsidRPr="00930C40">
        <w:rPr>
          <w:rFonts w:ascii="Times New Roman" w:eastAsia="標楷體" w:hAnsi="Times New Roman"/>
        </w:rPr>
        <w:t>至</w:t>
      </w:r>
      <w:r w:rsidRPr="00930C40">
        <w:rPr>
          <w:rFonts w:ascii="Times New Roman" w:eastAsia="標楷體" w:hAnsi="Times New Roman"/>
        </w:rPr>
        <w:t>9</w:t>
      </w:r>
      <w:r w:rsidRPr="00930C40">
        <w:rPr>
          <w:rFonts w:ascii="Times New Roman" w:eastAsia="標楷體" w:hAnsi="Times New Roman"/>
        </w:rPr>
        <w:t>名教師完成高級課程；以及</w:t>
      </w:r>
    </w:p>
    <w:p w:rsidR="00E22C88" w:rsidRPr="00930C40" w:rsidRDefault="00E22C88" w:rsidP="00DB339E">
      <w:pPr>
        <w:pStyle w:val="a7"/>
        <w:ind w:left="400" w:hangingChars="200" w:hanging="400"/>
        <w:rPr>
          <w:rFonts w:ascii="Times New Roman" w:eastAsia="標楷體" w:hAnsi="Times New Roman"/>
        </w:rPr>
      </w:pPr>
      <w:r>
        <w:rPr>
          <w:rFonts w:ascii="Times New Roman" w:eastAsia="標楷體" w:hAnsi="Times New Roman"/>
        </w:rPr>
        <w:tab/>
      </w:r>
      <w:r w:rsidRPr="00930C40">
        <w:rPr>
          <w:rFonts w:ascii="Times New Roman" w:eastAsia="標楷體" w:hAnsi="Times New Roman"/>
        </w:rPr>
        <w:t>(</w:t>
      </w:r>
      <w:r>
        <w:rPr>
          <w:rFonts w:ascii="Times New Roman" w:eastAsia="標楷體" w:hAnsi="Times New Roman"/>
        </w:rPr>
        <w:t>c</w:t>
      </w:r>
      <w:r w:rsidRPr="00930C40">
        <w:rPr>
          <w:rFonts w:ascii="Times New Roman" w:eastAsia="標楷體" w:hAnsi="Times New Roman"/>
        </w:rPr>
        <w:t>)</w:t>
      </w:r>
      <w:r w:rsidRPr="00930C40">
        <w:rPr>
          <w:rFonts w:ascii="Times New Roman" w:eastAsia="標楷體" w:hAnsi="Times New Roman"/>
        </w:rPr>
        <w:tab/>
      </w:r>
      <w:r w:rsidRPr="00930C40">
        <w:rPr>
          <w:rFonts w:ascii="Times New Roman" w:eastAsia="標楷體" w:hAnsi="Times New Roman"/>
        </w:rPr>
        <w:t>最少有</w:t>
      </w:r>
      <w:r w:rsidRPr="00930C40">
        <w:rPr>
          <w:rFonts w:ascii="Times New Roman" w:eastAsia="標楷體" w:hAnsi="Times New Roman"/>
        </w:rPr>
        <w:t>6</w:t>
      </w:r>
      <w:r w:rsidRPr="00930C40">
        <w:rPr>
          <w:rFonts w:ascii="Times New Roman" w:eastAsia="標楷體" w:hAnsi="Times New Roman"/>
        </w:rPr>
        <w:t>至</w:t>
      </w:r>
      <w:r w:rsidRPr="00930C40">
        <w:rPr>
          <w:rFonts w:ascii="Times New Roman" w:eastAsia="標楷體" w:hAnsi="Times New Roman"/>
        </w:rPr>
        <w:t>9</w:t>
      </w:r>
      <w:r w:rsidRPr="00930C40">
        <w:rPr>
          <w:rFonts w:ascii="Times New Roman" w:eastAsia="標楷體" w:hAnsi="Times New Roman"/>
        </w:rPr>
        <w:t>名教師完成專題課程。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a"/>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a"/>
      <w:jc w:val="center"/>
    </w:pPr>
  </w:p>
  <w:p w:rsidR="00E22C88" w:rsidRDefault="00E22C8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Default="00E22C88">
    <w:pPr>
      <w:pStyle w:val="aa"/>
      <w:jc w:val="center"/>
    </w:pPr>
  </w:p>
  <w:p w:rsidR="00E22C88" w:rsidRPr="00412758" w:rsidRDefault="00E22C88">
    <w:pPr>
      <w:pStyle w:val="aa"/>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F86F53" w:rsidRDefault="00E22C88" w:rsidP="00E22C88">
    <w:pPr>
      <w:pStyle w:val="aa"/>
      <w:wordWrap w:val="0"/>
      <w:jc w:val="right"/>
      <w:rPr>
        <w:rFonts w:eastAsia="新細明體"/>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88" w:rsidRPr="00F86F53" w:rsidRDefault="00E22C88" w:rsidP="00E22C88">
    <w:pPr>
      <w:pStyle w:val="aa"/>
      <w:wordWrap w:val="0"/>
      <w:jc w:val="right"/>
      <w:rPr>
        <w:rFonts w:eastAsia="新細明體"/>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1C36"/>
    <w:multiLevelType w:val="hybridMultilevel"/>
    <w:tmpl w:val="1FD20F92"/>
    <w:lvl w:ilvl="0" w:tplc="A4E42BE4">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22601"/>
    <w:multiLevelType w:val="hybridMultilevel"/>
    <w:tmpl w:val="6B10B0B4"/>
    <w:lvl w:ilvl="0" w:tplc="4C663516">
      <w:start w:val="1"/>
      <w:numFmt w:val="lowerLetter"/>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8B4"/>
    <w:multiLevelType w:val="hybridMultilevel"/>
    <w:tmpl w:val="086443BE"/>
    <w:lvl w:ilvl="0" w:tplc="6A7C7462">
      <w:start w:val="1"/>
      <w:numFmt w:val="lowerLetter"/>
      <w:lvlText w:val="(%1)"/>
      <w:lvlJc w:val="left"/>
      <w:pPr>
        <w:tabs>
          <w:tab w:val="num" w:pos="859"/>
        </w:tabs>
        <w:ind w:left="85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C07CE0"/>
    <w:multiLevelType w:val="hybridMultilevel"/>
    <w:tmpl w:val="E480B0B6"/>
    <w:lvl w:ilvl="0" w:tplc="15629CF6">
      <w:start w:val="1"/>
      <w:numFmt w:val="lowerLetter"/>
      <w:lvlText w:val="(%1)"/>
      <w:lvlJc w:val="left"/>
      <w:pPr>
        <w:tabs>
          <w:tab w:val="num" w:pos="859"/>
        </w:tabs>
        <w:ind w:left="85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497BF9"/>
    <w:multiLevelType w:val="hybridMultilevel"/>
    <w:tmpl w:val="E76CA8F0"/>
    <w:lvl w:ilvl="0" w:tplc="EF1ED57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9B3445"/>
    <w:multiLevelType w:val="hybridMultilevel"/>
    <w:tmpl w:val="54E8DD58"/>
    <w:lvl w:ilvl="0" w:tplc="F1F2882C">
      <w:start w:val="1"/>
      <w:numFmt w:val="lowerLetter"/>
      <w:lvlText w:val="(%1)"/>
      <w:lvlJc w:val="left"/>
      <w:pPr>
        <w:ind w:left="1540" w:hanging="69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31025D50"/>
    <w:multiLevelType w:val="hybridMultilevel"/>
    <w:tmpl w:val="7E66A1A0"/>
    <w:lvl w:ilvl="0" w:tplc="91A84A7A">
      <w:start w:val="1"/>
      <w:numFmt w:val="lowerLetter"/>
      <w:lvlText w:val="(%1)"/>
      <w:lvlJc w:val="left"/>
      <w:pPr>
        <w:tabs>
          <w:tab w:val="num" w:pos="859"/>
        </w:tabs>
        <w:ind w:left="859" w:hanging="360"/>
      </w:pPr>
      <w:rPr>
        <w:rFonts w:hint="default"/>
      </w:rPr>
    </w:lvl>
    <w:lvl w:ilvl="1" w:tplc="04090019" w:tentative="1">
      <w:start w:val="1"/>
      <w:numFmt w:val="ideographTraditional"/>
      <w:lvlText w:val="%2、"/>
      <w:lvlJc w:val="left"/>
      <w:pPr>
        <w:tabs>
          <w:tab w:val="num" w:pos="1459"/>
        </w:tabs>
        <w:ind w:left="1459" w:hanging="480"/>
      </w:pPr>
    </w:lvl>
    <w:lvl w:ilvl="2" w:tplc="0409001B" w:tentative="1">
      <w:start w:val="1"/>
      <w:numFmt w:val="lowerRoman"/>
      <w:lvlText w:val="%3."/>
      <w:lvlJc w:val="right"/>
      <w:pPr>
        <w:tabs>
          <w:tab w:val="num" w:pos="1939"/>
        </w:tabs>
        <w:ind w:left="1939" w:hanging="480"/>
      </w:pPr>
    </w:lvl>
    <w:lvl w:ilvl="3" w:tplc="0409000F" w:tentative="1">
      <w:start w:val="1"/>
      <w:numFmt w:val="decimal"/>
      <w:lvlText w:val="%4."/>
      <w:lvlJc w:val="left"/>
      <w:pPr>
        <w:tabs>
          <w:tab w:val="num" w:pos="2419"/>
        </w:tabs>
        <w:ind w:left="2419" w:hanging="480"/>
      </w:pPr>
    </w:lvl>
    <w:lvl w:ilvl="4" w:tplc="04090019" w:tentative="1">
      <w:start w:val="1"/>
      <w:numFmt w:val="ideographTraditional"/>
      <w:lvlText w:val="%5、"/>
      <w:lvlJc w:val="left"/>
      <w:pPr>
        <w:tabs>
          <w:tab w:val="num" w:pos="2899"/>
        </w:tabs>
        <w:ind w:left="2899" w:hanging="480"/>
      </w:pPr>
    </w:lvl>
    <w:lvl w:ilvl="5" w:tplc="0409001B" w:tentative="1">
      <w:start w:val="1"/>
      <w:numFmt w:val="lowerRoman"/>
      <w:lvlText w:val="%6."/>
      <w:lvlJc w:val="right"/>
      <w:pPr>
        <w:tabs>
          <w:tab w:val="num" w:pos="3379"/>
        </w:tabs>
        <w:ind w:left="3379" w:hanging="480"/>
      </w:pPr>
    </w:lvl>
    <w:lvl w:ilvl="6" w:tplc="0409000F" w:tentative="1">
      <w:start w:val="1"/>
      <w:numFmt w:val="decimal"/>
      <w:lvlText w:val="%7."/>
      <w:lvlJc w:val="left"/>
      <w:pPr>
        <w:tabs>
          <w:tab w:val="num" w:pos="3859"/>
        </w:tabs>
        <w:ind w:left="3859" w:hanging="480"/>
      </w:pPr>
    </w:lvl>
    <w:lvl w:ilvl="7" w:tplc="04090019" w:tentative="1">
      <w:start w:val="1"/>
      <w:numFmt w:val="ideographTraditional"/>
      <w:lvlText w:val="%8、"/>
      <w:lvlJc w:val="left"/>
      <w:pPr>
        <w:tabs>
          <w:tab w:val="num" w:pos="4339"/>
        </w:tabs>
        <w:ind w:left="4339" w:hanging="480"/>
      </w:pPr>
    </w:lvl>
    <w:lvl w:ilvl="8" w:tplc="0409001B" w:tentative="1">
      <w:start w:val="1"/>
      <w:numFmt w:val="lowerRoman"/>
      <w:lvlText w:val="%9."/>
      <w:lvlJc w:val="right"/>
      <w:pPr>
        <w:tabs>
          <w:tab w:val="num" w:pos="4819"/>
        </w:tabs>
        <w:ind w:left="4819" w:hanging="480"/>
      </w:pPr>
    </w:lvl>
  </w:abstractNum>
  <w:abstractNum w:abstractNumId="8" w15:restartNumberingAfterBreak="0">
    <w:nsid w:val="3AD66374"/>
    <w:multiLevelType w:val="hybridMultilevel"/>
    <w:tmpl w:val="510CA78E"/>
    <w:lvl w:ilvl="0" w:tplc="1186B892">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130DF5"/>
    <w:multiLevelType w:val="hybridMultilevel"/>
    <w:tmpl w:val="E6748920"/>
    <w:lvl w:ilvl="0" w:tplc="E68AFB9A">
      <w:start w:val="1"/>
      <w:numFmt w:val="lowerLetter"/>
      <w:lvlText w:val="(%1)"/>
      <w:lvlJc w:val="left"/>
      <w:pPr>
        <w:ind w:left="1540" w:hanging="6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4F0F3BC8"/>
    <w:multiLevelType w:val="singleLevel"/>
    <w:tmpl w:val="FFFFFFFF"/>
    <w:lvl w:ilvl="0">
      <w:numFmt w:val="decimal"/>
      <w:lvlText w:val="*"/>
      <w:lvlJc w:val="left"/>
    </w:lvl>
  </w:abstractNum>
  <w:abstractNum w:abstractNumId="11" w15:restartNumberingAfterBreak="0">
    <w:nsid w:val="560F48AC"/>
    <w:multiLevelType w:val="hybridMultilevel"/>
    <w:tmpl w:val="BF8620B2"/>
    <w:lvl w:ilvl="0" w:tplc="E22EB900">
      <w:start w:val="1"/>
      <w:numFmt w:val="lowerLetter"/>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2" w15:restartNumberingAfterBreak="0">
    <w:nsid w:val="606E1B69"/>
    <w:multiLevelType w:val="hybridMultilevel"/>
    <w:tmpl w:val="A44A58BE"/>
    <w:lvl w:ilvl="0" w:tplc="BCD23F2C">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67770DAA"/>
    <w:multiLevelType w:val="singleLevel"/>
    <w:tmpl w:val="FFFFFFFF"/>
    <w:lvl w:ilvl="0">
      <w:numFmt w:val="decimal"/>
      <w:lvlText w:val="*"/>
      <w:lvlJc w:val="left"/>
    </w:lvl>
  </w:abstractNum>
  <w:num w:numId="1">
    <w:abstractNumId w:val="12"/>
  </w:num>
  <w:num w:numId="2">
    <w:abstractNumId w:val="2"/>
  </w:num>
  <w:num w:numId="3">
    <w:abstractNumId w:val="9"/>
  </w:num>
  <w:num w:numId="4">
    <w:abstractNumId w:val="0"/>
    <w:lvlOverride w:ilvl="0">
      <w:lvl w:ilvl="0">
        <w:start w:val="1"/>
        <w:numFmt w:val="bullet"/>
        <w:lvlText w:val="-"/>
        <w:legacy w:legacy="1" w:legacySpace="0" w:legacyIndent="425"/>
        <w:lvlJc w:val="left"/>
        <w:pPr>
          <w:ind w:left="425" w:hanging="425"/>
        </w:pPr>
        <w:rPr>
          <w:rFonts w:ascii="Courier New" w:hAnsi="Courier New" w:hint="default"/>
        </w:rPr>
      </w:lvl>
    </w:lvlOverride>
  </w:num>
  <w:num w:numId="5">
    <w:abstractNumId w:val="13"/>
  </w:num>
  <w:num w:numId="6">
    <w:abstractNumId w:val="10"/>
  </w:num>
  <w:num w:numId="7">
    <w:abstractNumId w:val="11"/>
  </w:num>
  <w:num w:numId="8">
    <w:abstractNumId w:val="6"/>
  </w:num>
  <w:num w:numId="9">
    <w:abstractNumId w:val="1"/>
  </w:num>
  <w:num w:numId="10">
    <w:abstractNumId w:val="8"/>
  </w:num>
  <w:num w:numId="11">
    <w:abstractNumId w:val="7"/>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efaultTabStop w:val="480"/>
  <w:drawingGridHorizontalSpacing w:val="140"/>
  <w:drawingGridVerticalSpacing w:val="381"/>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61"/>
    <w:rsid w:val="00002E2E"/>
    <w:rsid w:val="000112F5"/>
    <w:rsid w:val="0001383C"/>
    <w:rsid w:val="00036B35"/>
    <w:rsid w:val="00060B13"/>
    <w:rsid w:val="00063D27"/>
    <w:rsid w:val="00085602"/>
    <w:rsid w:val="000917F0"/>
    <w:rsid w:val="00095BC6"/>
    <w:rsid w:val="000B71BB"/>
    <w:rsid w:val="000D6A5B"/>
    <w:rsid w:val="000E39CA"/>
    <w:rsid w:val="00104C42"/>
    <w:rsid w:val="001324ED"/>
    <w:rsid w:val="001745ED"/>
    <w:rsid w:val="00185038"/>
    <w:rsid w:val="001E0DE8"/>
    <w:rsid w:val="001E730A"/>
    <w:rsid w:val="001F3B0D"/>
    <w:rsid w:val="001F3C5E"/>
    <w:rsid w:val="001F77B3"/>
    <w:rsid w:val="00221770"/>
    <w:rsid w:val="00221C37"/>
    <w:rsid w:val="00222D16"/>
    <w:rsid w:val="00234550"/>
    <w:rsid w:val="00276690"/>
    <w:rsid w:val="0028557A"/>
    <w:rsid w:val="00293000"/>
    <w:rsid w:val="002B6D11"/>
    <w:rsid w:val="002B75FF"/>
    <w:rsid w:val="002C393F"/>
    <w:rsid w:val="002D083A"/>
    <w:rsid w:val="002E06E5"/>
    <w:rsid w:val="002E445E"/>
    <w:rsid w:val="002E6E68"/>
    <w:rsid w:val="003013A5"/>
    <w:rsid w:val="00313AC2"/>
    <w:rsid w:val="00315CF6"/>
    <w:rsid w:val="00323D2E"/>
    <w:rsid w:val="00336E2F"/>
    <w:rsid w:val="00342147"/>
    <w:rsid w:val="00363489"/>
    <w:rsid w:val="00372E7C"/>
    <w:rsid w:val="00382215"/>
    <w:rsid w:val="003966A8"/>
    <w:rsid w:val="003A171D"/>
    <w:rsid w:val="003B302B"/>
    <w:rsid w:val="00402F3C"/>
    <w:rsid w:val="00406C4D"/>
    <w:rsid w:val="004078B6"/>
    <w:rsid w:val="00407946"/>
    <w:rsid w:val="00415A36"/>
    <w:rsid w:val="004377C6"/>
    <w:rsid w:val="00464CFF"/>
    <w:rsid w:val="004671E8"/>
    <w:rsid w:val="00473141"/>
    <w:rsid w:val="0047337A"/>
    <w:rsid w:val="004874A9"/>
    <w:rsid w:val="004D2512"/>
    <w:rsid w:val="004D4FE3"/>
    <w:rsid w:val="004F23B5"/>
    <w:rsid w:val="004F3DBB"/>
    <w:rsid w:val="00502325"/>
    <w:rsid w:val="005104C7"/>
    <w:rsid w:val="00511CEE"/>
    <w:rsid w:val="00523037"/>
    <w:rsid w:val="005412ED"/>
    <w:rsid w:val="00563F55"/>
    <w:rsid w:val="005948B3"/>
    <w:rsid w:val="00596E8B"/>
    <w:rsid w:val="005C3CDA"/>
    <w:rsid w:val="005C4451"/>
    <w:rsid w:val="0060362E"/>
    <w:rsid w:val="00611795"/>
    <w:rsid w:val="00613F91"/>
    <w:rsid w:val="00615A91"/>
    <w:rsid w:val="0062110B"/>
    <w:rsid w:val="00621DE3"/>
    <w:rsid w:val="00646108"/>
    <w:rsid w:val="00646DE4"/>
    <w:rsid w:val="00656420"/>
    <w:rsid w:val="0066301C"/>
    <w:rsid w:val="00670A0F"/>
    <w:rsid w:val="00683482"/>
    <w:rsid w:val="006859B1"/>
    <w:rsid w:val="006940BF"/>
    <w:rsid w:val="006977CC"/>
    <w:rsid w:val="006A05AA"/>
    <w:rsid w:val="006B7854"/>
    <w:rsid w:val="006D2061"/>
    <w:rsid w:val="006D20ED"/>
    <w:rsid w:val="006D33B8"/>
    <w:rsid w:val="006F6D1D"/>
    <w:rsid w:val="00725BB0"/>
    <w:rsid w:val="007269AD"/>
    <w:rsid w:val="00740A02"/>
    <w:rsid w:val="00741C57"/>
    <w:rsid w:val="00747021"/>
    <w:rsid w:val="007721B9"/>
    <w:rsid w:val="00781A3A"/>
    <w:rsid w:val="00792F2B"/>
    <w:rsid w:val="0079515C"/>
    <w:rsid w:val="007A389B"/>
    <w:rsid w:val="007C0E55"/>
    <w:rsid w:val="007D30ED"/>
    <w:rsid w:val="007E0698"/>
    <w:rsid w:val="007F224C"/>
    <w:rsid w:val="007F576E"/>
    <w:rsid w:val="007F7E98"/>
    <w:rsid w:val="008375BB"/>
    <w:rsid w:val="0084370E"/>
    <w:rsid w:val="00856ED6"/>
    <w:rsid w:val="0086200B"/>
    <w:rsid w:val="00872CAC"/>
    <w:rsid w:val="008774C7"/>
    <w:rsid w:val="008A08B3"/>
    <w:rsid w:val="008B0075"/>
    <w:rsid w:val="008B4EC9"/>
    <w:rsid w:val="008B5A17"/>
    <w:rsid w:val="008C02ED"/>
    <w:rsid w:val="008D209A"/>
    <w:rsid w:val="008E0660"/>
    <w:rsid w:val="008F1AC8"/>
    <w:rsid w:val="008F62C0"/>
    <w:rsid w:val="00901437"/>
    <w:rsid w:val="00906CDA"/>
    <w:rsid w:val="0092370A"/>
    <w:rsid w:val="009331AE"/>
    <w:rsid w:val="00940580"/>
    <w:rsid w:val="0096475F"/>
    <w:rsid w:val="009655A8"/>
    <w:rsid w:val="009768B5"/>
    <w:rsid w:val="00990518"/>
    <w:rsid w:val="00992DFC"/>
    <w:rsid w:val="009B0955"/>
    <w:rsid w:val="009D6393"/>
    <w:rsid w:val="009E4825"/>
    <w:rsid w:val="00A36403"/>
    <w:rsid w:val="00A45A23"/>
    <w:rsid w:val="00A71DE2"/>
    <w:rsid w:val="00A8506E"/>
    <w:rsid w:val="00AB65FF"/>
    <w:rsid w:val="00AE5C13"/>
    <w:rsid w:val="00AE74EF"/>
    <w:rsid w:val="00AF0B59"/>
    <w:rsid w:val="00AF4ECB"/>
    <w:rsid w:val="00B258EE"/>
    <w:rsid w:val="00B61B9B"/>
    <w:rsid w:val="00B62998"/>
    <w:rsid w:val="00B658E3"/>
    <w:rsid w:val="00B82DC6"/>
    <w:rsid w:val="00B94F98"/>
    <w:rsid w:val="00BA1F6C"/>
    <w:rsid w:val="00BC2CCC"/>
    <w:rsid w:val="00BC3DC7"/>
    <w:rsid w:val="00BE6C12"/>
    <w:rsid w:val="00BE7083"/>
    <w:rsid w:val="00C659B3"/>
    <w:rsid w:val="00C9106F"/>
    <w:rsid w:val="00CA23C5"/>
    <w:rsid w:val="00CB1441"/>
    <w:rsid w:val="00CD1A98"/>
    <w:rsid w:val="00CD50E6"/>
    <w:rsid w:val="00CE0549"/>
    <w:rsid w:val="00CE0B84"/>
    <w:rsid w:val="00CE1606"/>
    <w:rsid w:val="00CE4C66"/>
    <w:rsid w:val="00CE7180"/>
    <w:rsid w:val="00CE7CFC"/>
    <w:rsid w:val="00CF3DEC"/>
    <w:rsid w:val="00CF75FA"/>
    <w:rsid w:val="00D002EE"/>
    <w:rsid w:val="00D20D85"/>
    <w:rsid w:val="00D330E3"/>
    <w:rsid w:val="00D36FD6"/>
    <w:rsid w:val="00D51FC1"/>
    <w:rsid w:val="00D53513"/>
    <w:rsid w:val="00D5636B"/>
    <w:rsid w:val="00D57BCD"/>
    <w:rsid w:val="00D6019D"/>
    <w:rsid w:val="00D62B04"/>
    <w:rsid w:val="00D91B85"/>
    <w:rsid w:val="00D92691"/>
    <w:rsid w:val="00D92CA5"/>
    <w:rsid w:val="00DA10C5"/>
    <w:rsid w:val="00DB3262"/>
    <w:rsid w:val="00DB339E"/>
    <w:rsid w:val="00DE51D8"/>
    <w:rsid w:val="00DE54D6"/>
    <w:rsid w:val="00DF434A"/>
    <w:rsid w:val="00E0073F"/>
    <w:rsid w:val="00E01471"/>
    <w:rsid w:val="00E22C88"/>
    <w:rsid w:val="00E34305"/>
    <w:rsid w:val="00E74B36"/>
    <w:rsid w:val="00E74E52"/>
    <w:rsid w:val="00E94F92"/>
    <w:rsid w:val="00EA42ED"/>
    <w:rsid w:val="00EB11BD"/>
    <w:rsid w:val="00EB7564"/>
    <w:rsid w:val="00EE18E7"/>
    <w:rsid w:val="00EE2A75"/>
    <w:rsid w:val="00EE77A6"/>
    <w:rsid w:val="00EF2927"/>
    <w:rsid w:val="00F166AA"/>
    <w:rsid w:val="00F60B57"/>
    <w:rsid w:val="00F6791D"/>
    <w:rsid w:val="00F73F53"/>
    <w:rsid w:val="00F82C75"/>
    <w:rsid w:val="00F84D8C"/>
    <w:rsid w:val="00F9032E"/>
    <w:rsid w:val="00FA1F76"/>
    <w:rsid w:val="00FA39CC"/>
    <w:rsid w:val="00FC167B"/>
    <w:rsid w:val="00FD1329"/>
    <w:rsid w:val="00FD6393"/>
    <w:rsid w:val="00FE1EFE"/>
    <w:rsid w:val="00FE2A7D"/>
    <w:rsid w:val="00FF6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6385"/>
    <o:shapelayout v:ext="edit">
      <o:idmap v:ext="edit" data="1"/>
    </o:shapelayout>
  </w:shapeDefaults>
  <w:decimalSymbol w:val="."/>
  <w:listSeparator w:val=","/>
  <w14:docId w14:val="24CC2E7C"/>
  <w15:chartTrackingRefBased/>
  <w15:docId w15:val="{9DE6D418-C464-4D64-BB8D-5D86070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8"/>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E445E"/>
    <w:pPr>
      <w:keepNext/>
      <w:adjustRightInd w:val="0"/>
      <w:spacing w:before="180" w:after="180" w:line="720" w:lineRule="atLeast"/>
      <w:textAlignment w:val="baseline"/>
      <w:outlineLvl w:val="0"/>
    </w:pPr>
    <w:rPr>
      <w:rFonts w:ascii="Calibri Light" w:eastAsia="新細明體" w:hAnsi="Calibri Light" w:cs="Times New Roman"/>
      <w:b/>
      <w:bCs/>
      <w:kern w:val="52"/>
      <w:sz w:val="52"/>
      <w:szCs w:val="52"/>
    </w:rPr>
  </w:style>
  <w:style w:type="paragraph" w:styleId="4">
    <w:name w:val="heading 4"/>
    <w:basedOn w:val="a"/>
    <w:next w:val="a"/>
    <w:link w:val="40"/>
    <w:qFormat/>
    <w:rsid w:val="006D2061"/>
    <w:pPr>
      <w:keepNext/>
      <w:widowControl/>
      <w:snapToGrid w:val="0"/>
      <w:spacing w:line="360" w:lineRule="auto"/>
      <w:ind w:right="86"/>
      <w:outlineLvl w:val="3"/>
    </w:pPr>
    <w:rPr>
      <w:rFonts w:eastAsia="新細明體"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2061"/>
    <w:pPr>
      <w:tabs>
        <w:tab w:val="center" w:pos="4153"/>
        <w:tab w:val="right" w:pos="8306"/>
      </w:tabs>
      <w:snapToGrid w:val="0"/>
    </w:pPr>
    <w:rPr>
      <w:rFonts w:asciiTheme="minorHAnsi" w:eastAsiaTheme="minorEastAsia" w:hAnsiTheme="minorHAnsi"/>
      <w:sz w:val="20"/>
      <w:szCs w:val="20"/>
    </w:rPr>
  </w:style>
  <w:style w:type="character" w:customStyle="1" w:styleId="a4">
    <w:name w:val="頁尾 字元"/>
    <w:basedOn w:val="a0"/>
    <w:link w:val="a3"/>
    <w:uiPriority w:val="99"/>
    <w:rsid w:val="006D2061"/>
    <w:rPr>
      <w:rFonts w:asciiTheme="minorHAnsi" w:eastAsiaTheme="minorEastAsia" w:hAnsiTheme="minorHAnsi"/>
      <w:sz w:val="20"/>
      <w:szCs w:val="20"/>
    </w:rPr>
  </w:style>
  <w:style w:type="character" w:styleId="a5">
    <w:name w:val="page number"/>
    <w:basedOn w:val="a0"/>
    <w:rsid w:val="006D2061"/>
  </w:style>
  <w:style w:type="paragraph" w:styleId="a6">
    <w:name w:val="List Paragraph"/>
    <w:basedOn w:val="a"/>
    <w:uiPriority w:val="34"/>
    <w:qFormat/>
    <w:rsid w:val="006D2061"/>
    <w:pPr>
      <w:widowControl/>
      <w:tabs>
        <w:tab w:val="left" w:pos="840"/>
        <w:tab w:val="left" w:pos="1680"/>
      </w:tabs>
      <w:snapToGrid w:val="0"/>
      <w:spacing w:after="360" w:line="480" w:lineRule="atLeast"/>
      <w:ind w:leftChars="200" w:left="480"/>
      <w:jc w:val="both"/>
    </w:pPr>
    <w:rPr>
      <w:rFonts w:cs="Times New Roman"/>
      <w:szCs w:val="28"/>
    </w:rPr>
  </w:style>
  <w:style w:type="character" w:customStyle="1" w:styleId="40">
    <w:name w:val="標題 4 字元"/>
    <w:basedOn w:val="a0"/>
    <w:link w:val="4"/>
    <w:rsid w:val="006D2061"/>
    <w:rPr>
      <w:rFonts w:eastAsia="新細明體" w:cs="Times New Roman"/>
      <w:kern w:val="0"/>
      <w:szCs w:val="20"/>
    </w:rPr>
  </w:style>
  <w:style w:type="paragraph" w:styleId="2">
    <w:name w:val="Body Text 2"/>
    <w:basedOn w:val="a"/>
    <w:link w:val="20"/>
    <w:rsid w:val="006D2061"/>
    <w:pPr>
      <w:widowControl/>
      <w:spacing w:after="120" w:line="480" w:lineRule="auto"/>
    </w:pPr>
    <w:rPr>
      <w:rFonts w:eastAsia="新細明體" w:cs="Times New Roman"/>
      <w:kern w:val="0"/>
      <w:sz w:val="20"/>
      <w:szCs w:val="20"/>
    </w:rPr>
  </w:style>
  <w:style w:type="character" w:customStyle="1" w:styleId="20">
    <w:name w:val="本文 2 字元"/>
    <w:basedOn w:val="a0"/>
    <w:link w:val="2"/>
    <w:rsid w:val="006D2061"/>
    <w:rPr>
      <w:rFonts w:eastAsia="新細明體" w:cs="Times New Roman"/>
      <w:kern w:val="0"/>
      <w:sz w:val="20"/>
      <w:szCs w:val="20"/>
    </w:rPr>
  </w:style>
  <w:style w:type="paragraph" w:styleId="a7">
    <w:name w:val="footnote text"/>
    <w:basedOn w:val="a"/>
    <w:link w:val="a8"/>
    <w:uiPriority w:val="99"/>
    <w:unhideWhenUsed/>
    <w:rsid w:val="006D2061"/>
    <w:pPr>
      <w:snapToGrid w:val="0"/>
    </w:pPr>
    <w:rPr>
      <w:rFonts w:ascii="Calibri" w:eastAsia="新細明體" w:hAnsi="Calibri" w:cs="Times New Roman"/>
      <w:sz w:val="20"/>
      <w:szCs w:val="20"/>
    </w:rPr>
  </w:style>
  <w:style w:type="character" w:customStyle="1" w:styleId="a8">
    <w:name w:val="註腳文字 字元"/>
    <w:basedOn w:val="a0"/>
    <w:link w:val="a7"/>
    <w:uiPriority w:val="99"/>
    <w:rsid w:val="006D2061"/>
    <w:rPr>
      <w:rFonts w:ascii="Calibri" w:eastAsia="新細明體" w:hAnsi="Calibri" w:cs="Times New Roman"/>
      <w:sz w:val="20"/>
      <w:szCs w:val="20"/>
    </w:rPr>
  </w:style>
  <w:style w:type="character" w:styleId="a9">
    <w:name w:val="footnote reference"/>
    <w:unhideWhenUsed/>
    <w:rsid w:val="006D2061"/>
    <w:rPr>
      <w:vertAlign w:val="superscript"/>
    </w:rPr>
  </w:style>
  <w:style w:type="paragraph" w:styleId="Web">
    <w:name w:val="Normal (Web)"/>
    <w:basedOn w:val="a"/>
    <w:rsid w:val="006D2061"/>
    <w:pPr>
      <w:widowControl/>
      <w:spacing w:before="100" w:beforeAutospacing="1" w:after="100" w:afterAutospacing="1"/>
    </w:pPr>
    <w:rPr>
      <w:rFonts w:ascii="新細明體" w:eastAsia="新細明體" w:hAnsi="新細明體" w:cs="新細明體"/>
      <w:kern w:val="0"/>
      <w:sz w:val="24"/>
      <w:szCs w:val="24"/>
    </w:rPr>
  </w:style>
  <w:style w:type="paragraph" w:styleId="aa">
    <w:name w:val="header"/>
    <w:basedOn w:val="a"/>
    <w:link w:val="ab"/>
    <w:uiPriority w:val="99"/>
    <w:unhideWhenUsed/>
    <w:rsid w:val="006D2061"/>
    <w:pPr>
      <w:tabs>
        <w:tab w:val="center" w:pos="4153"/>
        <w:tab w:val="right" w:pos="8306"/>
      </w:tabs>
      <w:snapToGrid w:val="0"/>
    </w:pPr>
    <w:rPr>
      <w:sz w:val="20"/>
      <w:szCs w:val="20"/>
    </w:rPr>
  </w:style>
  <w:style w:type="character" w:customStyle="1" w:styleId="ab">
    <w:name w:val="頁首 字元"/>
    <w:basedOn w:val="a0"/>
    <w:link w:val="aa"/>
    <w:uiPriority w:val="99"/>
    <w:rsid w:val="006D2061"/>
    <w:rPr>
      <w:sz w:val="20"/>
      <w:szCs w:val="20"/>
    </w:rPr>
  </w:style>
  <w:style w:type="character" w:customStyle="1" w:styleId="10">
    <w:name w:val="標題 1 字元"/>
    <w:basedOn w:val="a0"/>
    <w:link w:val="1"/>
    <w:uiPriority w:val="9"/>
    <w:rsid w:val="002E445E"/>
    <w:rPr>
      <w:rFonts w:ascii="Calibri Light" w:eastAsia="新細明體" w:hAnsi="Calibri Light" w:cs="Times New Roman"/>
      <w:b/>
      <w:bCs/>
      <w:kern w:val="52"/>
      <w:sz w:val="52"/>
      <w:szCs w:val="52"/>
    </w:rPr>
  </w:style>
  <w:style w:type="paragraph" w:styleId="ac">
    <w:name w:val="Balloon Text"/>
    <w:basedOn w:val="a"/>
    <w:link w:val="ad"/>
    <w:uiPriority w:val="99"/>
    <w:semiHidden/>
    <w:unhideWhenUsed/>
    <w:rsid w:val="002E445E"/>
    <w:pPr>
      <w:adjustRightInd w:val="0"/>
      <w:textAlignment w:val="baseline"/>
    </w:pPr>
    <w:rPr>
      <w:rFonts w:ascii="Calibri Light" w:eastAsia="新細明體" w:hAnsi="Calibri Light" w:cs="Times New Roman"/>
      <w:kern w:val="0"/>
      <w:sz w:val="18"/>
      <w:szCs w:val="18"/>
    </w:rPr>
  </w:style>
  <w:style w:type="character" w:customStyle="1" w:styleId="ad">
    <w:name w:val="註解方塊文字 字元"/>
    <w:basedOn w:val="a0"/>
    <w:link w:val="ac"/>
    <w:uiPriority w:val="99"/>
    <w:semiHidden/>
    <w:rsid w:val="002E445E"/>
    <w:rPr>
      <w:rFonts w:ascii="Calibri Light" w:eastAsia="新細明體" w:hAnsi="Calibri Light" w:cs="Times New Roman"/>
      <w:kern w:val="0"/>
      <w:sz w:val="18"/>
      <w:szCs w:val="18"/>
    </w:rPr>
  </w:style>
  <w:style w:type="character" w:styleId="ae">
    <w:name w:val="Hyperlink"/>
    <w:uiPriority w:val="99"/>
    <w:unhideWhenUsed/>
    <w:rsid w:val="002E445E"/>
    <w:rPr>
      <w:color w:val="0563C1"/>
      <w:u w:val="single"/>
    </w:rPr>
  </w:style>
  <w:style w:type="character" w:styleId="af">
    <w:name w:val="FollowedHyperlink"/>
    <w:uiPriority w:val="99"/>
    <w:semiHidden/>
    <w:unhideWhenUsed/>
    <w:rsid w:val="002E445E"/>
    <w:rPr>
      <w:color w:val="954F72"/>
      <w:u w:val="single"/>
    </w:rPr>
  </w:style>
  <w:style w:type="paragraph" w:styleId="af0">
    <w:name w:val="Body Text"/>
    <w:basedOn w:val="a"/>
    <w:link w:val="af1"/>
    <w:uiPriority w:val="1"/>
    <w:unhideWhenUsed/>
    <w:qFormat/>
    <w:rsid w:val="005C4451"/>
    <w:pPr>
      <w:spacing w:after="120"/>
    </w:pPr>
  </w:style>
  <w:style w:type="character" w:customStyle="1" w:styleId="af1">
    <w:name w:val="本文 字元"/>
    <w:basedOn w:val="a0"/>
    <w:link w:val="af0"/>
    <w:uiPriority w:val="99"/>
    <w:semiHidden/>
    <w:rsid w:val="005C4451"/>
  </w:style>
  <w:style w:type="table" w:customStyle="1" w:styleId="TableNormal">
    <w:name w:val="Table Normal"/>
    <w:uiPriority w:val="2"/>
    <w:semiHidden/>
    <w:unhideWhenUsed/>
    <w:qFormat/>
    <w:rsid w:val="005C4451"/>
    <w:pPr>
      <w:widowControl w:val="0"/>
      <w:autoSpaceDE w:val="0"/>
      <w:autoSpaceDN w:val="0"/>
    </w:pPr>
    <w:rPr>
      <w:rFonts w:ascii="Calibri" w:eastAsia="新細明體" w:hAnsi="Calibri"/>
      <w:kern w:val="0"/>
      <w:sz w:val="22"/>
      <w:lang w:eastAsia="en-US"/>
    </w:rPr>
    <w:tblPr>
      <w:tblInd w:w="0" w:type="dxa"/>
      <w:tblCellMar>
        <w:top w:w="0" w:type="dxa"/>
        <w:left w:w="0" w:type="dxa"/>
        <w:bottom w:w="0" w:type="dxa"/>
        <w:right w:w="0" w:type="dxa"/>
      </w:tblCellMar>
    </w:tblPr>
  </w:style>
  <w:style w:type="numbering" w:customStyle="1" w:styleId="11">
    <w:name w:val="無清單1"/>
    <w:next w:val="a2"/>
    <w:uiPriority w:val="99"/>
    <w:semiHidden/>
    <w:unhideWhenUsed/>
    <w:rsid w:val="00CE0549"/>
  </w:style>
  <w:style w:type="table" w:customStyle="1" w:styleId="TableNormal1">
    <w:name w:val="Table Normal1"/>
    <w:uiPriority w:val="2"/>
    <w:semiHidden/>
    <w:unhideWhenUsed/>
    <w:qFormat/>
    <w:rsid w:val="00CE0549"/>
    <w:pPr>
      <w:widowControl w:val="0"/>
      <w:autoSpaceDE w:val="0"/>
      <w:autoSpaceDN w:val="0"/>
    </w:pPr>
    <w:rPr>
      <w:rFonts w:ascii="Calibri" w:eastAsia="新細明體" w:hAnsi="Calibr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0549"/>
    <w:pPr>
      <w:autoSpaceDE w:val="0"/>
      <w:autoSpaceDN w:val="0"/>
      <w:spacing w:before="51"/>
      <w:jc w:val="right"/>
    </w:pPr>
    <w:rPr>
      <w:rFonts w:eastAsia="Times New Roman" w:cs="Times New Roman"/>
      <w:kern w:val="0"/>
      <w:sz w:val="22"/>
      <w:lang w:eastAsia="en-US"/>
    </w:rPr>
  </w:style>
  <w:style w:type="table" w:styleId="af2">
    <w:name w:val="Table Grid"/>
    <w:basedOn w:val="a1"/>
    <w:uiPriority w:val="39"/>
    <w:rsid w:val="00CE0549"/>
    <w:pPr>
      <w:widowControl w:val="0"/>
      <w:autoSpaceDE w:val="0"/>
      <w:autoSpaceDN w:val="0"/>
    </w:pPr>
    <w:rPr>
      <w:rFonts w:ascii="Calibri" w:eastAsia="新細明體"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footer" Target="footer51.xml"/><Relationship Id="rId68" Type="http://schemas.openxmlformats.org/officeDocument/2006/relationships/footer" Target="footer55.xml"/><Relationship Id="rId84" Type="http://schemas.openxmlformats.org/officeDocument/2006/relationships/footer" Target="footer69.xml"/><Relationship Id="rId89" Type="http://schemas.openxmlformats.org/officeDocument/2006/relationships/footer" Target="footer74.xml"/><Relationship Id="rId16" Type="http://schemas.openxmlformats.org/officeDocument/2006/relationships/footer" Target="footer8.xml"/><Relationship Id="rId11" Type="http://schemas.openxmlformats.org/officeDocument/2006/relationships/footer" Target="footer4.xml"/><Relationship Id="rId32" Type="http://schemas.openxmlformats.org/officeDocument/2006/relationships/footer" Target="footer23.xml"/><Relationship Id="rId37" Type="http://schemas.openxmlformats.org/officeDocument/2006/relationships/footer" Target="footer28.xml"/><Relationship Id="rId53" Type="http://schemas.openxmlformats.org/officeDocument/2006/relationships/footer" Target="footer44.xml"/><Relationship Id="rId58" Type="http://schemas.openxmlformats.org/officeDocument/2006/relationships/footer" Target="footer47.xml"/><Relationship Id="rId74" Type="http://schemas.openxmlformats.org/officeDocument/2006/relationships/footer" Target="footer61.xml"/><Relationship Id="rId79" Type="http://schemas.openxmlformats.org/officeDocument/2006/relationships/footer" Target="footer65.xml"/><Relationship Id="rId5" Type="http://schemas.openxmlformats.org/officeDocument/2006/relationships/webSettings" Target="webSettings.xml"/><Relationship Id="rId90" Type="http://schemas.openxmlformats.org/officeDocument/2006/relationships/fontTable" Target="fontTable.xml"/><Relationship Id="rId22" Type="http://schemas.openxmlformats.org/officeDocument/2006/relationships/footer" Target="footer14.xml"/><Relationship Id="rId27" Type="http://schemas.openxmlformats.org/officeDocument/2006/relationships/header" Target="header2.xml"/><Relationship Id="rId43" Type="http://schemas.openxmlformats.org/officeDocument/2006/relationships/footer" Target="footer34.xml"/><Relationship Id="rId48" Type="http://schemas.openxmlformats.org/officeDocument/2006/relationships/footer" Target="footer39.xml"/><Relationship Id="rId64" Type="http://schemas.openxmlformats.org/officeDocument/2006/relationships/footer" Target="footer52.xml"/><Relationship Id="rId69" Type="http://schemas.openxmlformats.org/officeDocument/2006/relationships/footer" Target="footer56.xml"/><Relationship Id="rId8" Type="http://schemas.openxmlformats.org/officeDocument/2006/relationships/footer" Target="footer1.xml"/><Relationship Id="rId51" Type="http://schemas.openxmlformats.org/officeDocument/2006/relationships/footer" Target="footer42.xml"/><Relationship Id="rId72" Type="http://schemas.openxmlformats.org/officeDocument/2006/relationships/footer" Target="footer59.xml"/><Relationship Id="rId80" Type="http://schemas.openxmlformats.org/officeDocument/2006/relationships/footer" Target="footer66.xml"/><Relationship Id="rId85" Type="http://schemas.openxmlformats.org/officeDocument/2006/relationships/footer" Target="footer70.xm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header" Target="header5.xml"/><Relationship Id="rId67" Type="http://schemas.openxmlformats.org/officeDocument/2006/relationships/footer" Target="footer54.xml"/><Relationship Id="rId20" Type="http://schemas.openxmlformats.org/officeDocument/2006/relationships/footer" Target="footer12.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0.xml"/><Relationship Id="rId70" Type="http://schemas.openxmlformats.org/officeDocument/2006/relationships/footer" Target="footer57.xml"/><Relationship Id="rId75" Type="http://schemas.openxmlformats.org/officeDocument/2006/relationships/footer" Target="footer62.xml"/><Relationship Id="rId83" Type="http://schemas.openxmlformats.org/officeDocument/2006/relationships/footer" Target="footer68.xml"/><Relationship Id="rId88" Type="http://schemas.openxmlformats.org/officeDocument/2006/relationships/footer" Target="footer7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6.xml"/><Relationship Id="rId10" Type="http://schemas.openxmlformats.org/officeDocument/2006/relationships/footer" Target="footer3.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48.xml"/><Relationship Id="rId65" Type="http://schemas.openxmlformats.org/officeDocument/2006/relationships/header" Target="header6.xml"/><Relationship Id="rId73" Type="http://schemas.openxmlformats.org/officeDocument/2006/relationships/footer" Target="footer60.xml"/><Relationship Id="rId78" Type="http://schemas.openxmlformats.org/officeDocument/2006/relationships/header" Target="header7.xml"/><Relationship Id="rId81" Type="http://schemas.openxmlformats.org/officeDocument/2006/relationships/header" Target="header8.xml"/><Relationship Id="rId86" Type="http://schemas.openxmlformats.org/officeDocument/2006/relationships/footer" Target="footer71.xml"/><Relationship Id="rId9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9" Type="http://schemas.openxmlformats.org/officeDocument/2006/relationships/footer" Target="footer30.xml"/><Relationship Id="rId34" Type="http://schemas.openxmlformats.org/officeDocument/2006/relationships/footer" Target="footer25.xml"/><Relationship Id="rId50" Type="http://schemas.openxmlformats.org/officeDocument/2006/relationships/footer" Target="footer41.xml"/><Relationship Id="rId55" Type="http://schemas.openxmlformats.org/officeDocument/2006/relationships/header" Target="header3.xml"/><Relationship Id="rId76" Type="http://schemas.openxmlformats.org/officeDocument/2006/relationships/footer" Target="footer63.xml"/><Relationship Id="rId7" Type="http://schemas.openxmlformats.org/officeDocument/2006/relationships/endnotes" Target="endnotes.xml"/><Relationship Id="rId71" Type="http://schemas.openxmlformats.org/officeDocument/2006/relationships/footer" Target="footer58.xm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footer" Target="footer20.xml"/><Relationship Id="rId24" Type="http://schemas.openxmlformats.org/officeDocument/2006/relationships/footer" Target="footer16.xml"/><Relationship Id="rId40" Type="http://schemas.openxmlformats.org/officeDocument/2006/relationships/footer" Target="footer31.xml"/><Relationship Id="rId45" Type="http://schemas.openxmlformats.org/officeDocument/2006/relationships/footer" Target="footer36.xml"/><Relationship Id="rId66" Type="http://schemas.openxmlformats.org/officeDocument/2006/relationships/footer" Target="footer53.xml"/><Relationship Id="rId87" Type="http://schemas.openxmlformats.org/officeDocument/2006/relationships/footer" Target="footer72.xml"/><Relationship Id="rId61" Type="http://schemas.openxmlformats.org/officeDocument/2006/relationships/footer" Target="footer49.xml"/><Relationship Id="rId82" Type="http://schemas.openxmlformats.org/officeDocument/2006/relationships/footer" Target="footer67.xml"/><Relationship Id="rId19" Type="http://schemas.openxmlformats.org/officeDocument/2006/relationships/footer" Target="footer11.xml"/><Relationship Id="rId14" Type="http://schemas.openxmlformats.org/officeDocument/2006/relationships/footer" Target="footer7.xml"/><Relationship Id="rId30" Type="http://schemas.openxmlformats.org/officeDocument/2006/relationships/footer" Target="footer21.xml"/><Relationship Id="rId35" Type="http://schemas.openxmlformats.org/officeDocument/2006/relationships/footer" Target="footer26.xml"/><Relationship Id="rId56" Type="http://schemas.openxmlformats.org/officeDocument/2006/relationships/header" Target="header4.xml"/><Relationship Id="rId77" Type="http://schemas.openxmlformats.org/officeDocument/2006/relationships/footer" Target="footer6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F6554-E375-435F-8A72-8A84545C1CF7}">
  <ds:schemaRefs>
    <ds:schemaRef ds:uri="http://schemas.openxmlformats.org/officeDocument/2006/bibliography"/>
  </ds:schemaRefs>
</ds:datastoreItem>
</file>

<file path=customXml/itemProps2.xml><?xml version="1.0" encoding="utf-8"?>
<ds:datastoreItem xmlns:ds="http://schemas.openxmlformats.org/officeDocument/2006/customXml" ds:itemID="{099BB8D7-29FE-47D8-B1A0-1346C5D1D511}"/>
</file>

<file path=customXml/itemProps3.xml><?xml version="1.0" encoding="utf-8"?>
<ds:datastoreItem xmlns:ds="http://schemas.openxmlformats.org/officeDocument/2006/customXml" ds:itemID="{E3821AC3-CC04-499B-BB82-FEC5C5CFE237}"/>
</file>

<file path=customXml/itemProps4.xml><?xml version="1.0" encoding="utf-8"?>
<ds:datastoreItem xmlns:ds="http://schemas.openxmlformats.org/officeDocument/2006/customXml" ds:itemID="{CAF9B4B7-AE4E-4E4A-B407-F5DF25C75ABD}"/>
</file>

<file path=docProps/app.xml><?xml version="1.0" encoding="utf-8"?>
<Properties xmlns="http://schemas.openxmlformats.org/officeDocument/2006/extended-properties" xmlns:vt="http://schemas.openxmlformats.org/officeDocument/2006/docPropsVTypes">
  <Template>Normal</Template>
  <TotalTime>424</TotalTime>
  <Pages>223</Pages>
  <Words>19938</Words>
  <Characters>113651</Characters>
  <Application>Microsoft Office Word</Application>
  <DocSecurity>0</DocSecurity>
  <Lines>947</Lines>
  <Paragraphs>266</Paragraphs>
  <ScaleCrop>false</ScaleCrop>
  <Company>HK Govt</Company>
  <LinksUpToDate>false</LinksUpToDate>
  <CharactersWithSpaces>133323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NG</dc:creator>
  <cp:keywords/>
  <dc:description/>
  <cp:lastModifiedBy>Team 5</cp:lastModifiedBy>
  <cp:revision>208</cp:revision>
  <cp:lastPrinted>2019-07-11T02:44:00Z</cp:lastPrinted>
  <dcterms:created xsi:type="dcterms:W3CDTF">2019-07-08T09:04:00Z</dcterms:created>
  <dcterms:modified xsi:type="dcterms:W3CDTF">2019-07-11T02:56:00Z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